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861"/>
        <w:gridCol w:w="3260"/>
      </w:tblGrid>
      <w:tr w:rsidR="00736BC2" w14:paraId="6E060F47" w14:textId="77777777" w:rsidTr="00A46BB1">
        <w:tblPrEx>
          <w:tblCellMar>
            <w:top w:w="0" w:type="dxa"/>
            <w:bottom w:w="0" w:type="dxa"/>
          </w:tblCellMar>
        </w:tblPrEx>
        <w:tc>
          <w:tcPr>
            <w:tcW w:w="1843" w:type="dxa"/>
            <w:tcBorders>
              <w:top w:val="nil"/>
              <w:bottom w:val="single" w:sz="12" w:space="0" w:color="000000"/>
            </w:tcBorders>
          </w:tcPr>
          <w:p w14:paraId="2A8FADB9" w14:textId="77777777" w:rsidR="00736BC2" w:rsidRDefault="00D924B6" w:rsidP="006507F2">
            <w:pPr>
              <w:pStyle w:val="Quotationtextindented"/>
            </w:pPr>
            <w:r>
              <w:rPr>
                <w:noProof/>
              </w:rPr>
              <w:drawing>
                <wp:inline distT="0" distB="0" distL="0" distR="0" wp14:anchorId="57827E33" wp14:editId="100A67B0">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65085D0F" w14:textId="77777777" w:rsidR="00736BC2" w:rsidRDefault="00D924B6">
            <w:r>
              <w:rPr>
                <w:b/>
                <w:noProof/>
              </w:rPr>
              <w:drawing>
                <wp:inline distT="0" distB="0" distL="0" distR="0" wp14:anchorId="0A31A208" wp14:editId="1A998EDD">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741" w:type="dxa"/>
            <w:gridSpan w:val="3"/>
            <w:tcBorders>
              <w:top w:val="nil"/>
              <w:bottom w:val="single" w:sz="12" w:space="0" w:color="000000"/>
            </w:tcBorders>
          </w:tcPr>
          <w:p w14:paraId="0CE6F3E6" w14:textId="77777777" w:rsidR="00736BC2" w:rsidRDefault="00736BC2" w:rsidP="003F6E44">
            <w:pPr>
              <w:tabs>
                <w:tab w:val="right" w:pos="7611"/>
              </w:tabs>
              <w:ind w:right="459"/>
              <w:jc w:val="right"/>
              <w:rPr>
                <w:rFonts w:ascii="Univers" w:hAnsi="Univers"/>
                <w:b/>
                <w:sz w:val="32"/>
              </w:rPr>
            </w:pPr>
            <w:r>
              <w:rPr>
                <w:rFonts w:ascii="Univers" w:hAnsi="Univers"/>
                <w:b/>
                <w:sz w:val="32"/>
              </w:rPr>
              <w:t>CBD</w:t>
            </w:r>
          </w:p>
          <w:p w14:paraId="1327842B" w14:textId="77777777" w:rsidR="00736BC2" w:rsidRDefault="00736BC2" w:rsidP="00A46BB1">
            <w:pPr>
              <w:jc w:val="left"/>
              <w:rPr>
                <w:b/>
                <w:sz w:val="28"/>
              </w:rPr>
            </w:pPr>
          </w:p>
        </w:tc>
      </w:tr>
      <w:tr w:rsidR="00736BC2" w14:paraId="37D52D80" w14:textId="77777777" w:rsidTr="00A46BB1">
        <w:tblPrEx>
          <w:tblCellMar>
            <w:top w:w="0" w:type="dxa"/>
            <w:bottom w:w="0" w:type="dxa"/>
          </w:tblCellMar>
        </w:tblPrEx>
        <w:trPr>
          <w:trHeight w:val="1693"/>
        </w:trPr>
        <w:tc>
          <w:tcPr>
            <w:tcW w:w="6227" w:type="dxa"/>
            <w:gridSpan w:val="3"/>
            <w:tcBorders>
              <w:top w:val="nil"/>
              <w:bottom w:val="single" w:sz="36" w:space="0" w:color="000000"/>
            </w:tcBorders>
          </w:tcPr>
          <w:p w14:paraId="798516B1" w14:textId="77777777" w:rsidR="00736BC2" w:rsidRDefault="00736BC2"/>
          <w:p w14:paraId="01C486E8" w14:textId="77777777" w:rsidR="00736BC2" w:rsidRPr="00A36C97" w:rsidRDefault="00D924B6" w:rsidP="00736BC2">
            <w:r w:rsidRPr="00A36C97">
              <w:rPr>
                <w:noProof/>
              </w:rPr>
              <w:drawing>
                <wp:inline distT="0" distB="0" distL="0" distR="0" wp14:anchorId="03B2F7B5" wp14:editId="03D58FBB">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6B781678" w14:textId="77777777" w:rsidR="00736BC2" w:rsidRDefault="00736BC2">
            <w:pPr>
              <w:rPr>
                <w:rFonts w:ascii="Univers" w:hAnsi="Univers"/>
                <w:sz w:val="32"/>
              </w:rPr>
            </w:pPr>
          </w:p>
        </w:tc>
        <w:tc>
          <w:tcPr>
            <w:tcW w:w="861" w:type="dxa"/>
            <w:tcBorders>
              <w:top w:val="nil"/>
              <w:bottom w:val="single" w:sz="36" w:space="0" w:color="000000"/>
            </w:tcBorders>
          </w:tcPr>
          <w:p w14:paraId="7902EF88" w14:textId="77777777" w:rsidR="00736BC2" w:rsidRPr="00A46BB1" w:rsidRDefault="00736BC2">
            <w:pPr>
              <w:pStyle w:val="Header"/>
              <w:tabs>
                <w:tab w:val="clear" w:pos="4320"/>
                <w:tab w:val="clear" w:pos="8640"/>
              </w:tabs>
              <w:rPr>
                <w:bCs/>
                <w:sz w:val="32"/>
                <w:szCs w:val="32"/>
              </w:rPr>
            </w:pPr>
          </w:p>
        </w:tc>
        <w:tc>
          <w:tcPr>
            <w:tcW w:w="3260" w:type="dxa"/>
            <w:tcBorders>
              <w:top w:val="nil"/>
              <w:bottom w:val="single" w:sz="36" w:space="0" w:color="000000"/>
            </w:tcBorders>
          </w:tcPr>
          <w:p w14:paraId="00AC216E" w14:textId="77777777" w:rsidR="00736BC2" w:rsidRPr="00A46BB1" w:rsidRDefault="00736BC2" w:rsidP="00B271A0">
            <w:pPr>
              <w:ind w:left="63"/>
              <w:rPr>
                <w:szCs w:val="22"/>
              </w:rPr>
            </w:pPr>
            <w:r w:rsidRPr="00A46BB1">
              <w:rPr>
                <w:szCs w:val="22"/>
              </w:rPr>
              <w:t>Distr.</w:t>
            </w:r>
          </w:p>
          <w:p w14:paraId="668B3786" w14:textId="77777777" w:rsidR="00736BC2" w:rsidRPr="00A46BB1" w:rsidRDefault="00736BC2" w:rsidP="00B271A0">
            <w:pPr>
              <w:ind w:left="63"/>
              <w:rPr>
                <w:szCs w:val="22"/>
              </w:rPr>
            </w:pPr>
            <w:r w:rsidRPr="00A46BB1">
              <w:rPr>
                <w:szCs w:val="22"/>
              </w:rPr>
              <w:t>GENERAL</w:t>
            </w:r>
          </w:p>
          <w:p w14:paraId="05DE0339" w14:textId="77777777" w:rsidR="00736BC2" w:rsidRPr="00A46BB1" w:rsidRDefault="00736BC2" w:rsidP="00B271A0">
            <w:pPr>
              <w:ind w:left="63"/>
              <w:rPr>
                <w:szCs w:val="22"/>
              </w:rPr>
            </w:pPr>
          </w:p>
          <w:p w14:paraId="312E6418" w14:textId="77777777" w:rsidR="00736BC2" w:rsidRPr="00A46BB1" w:rsidRDefault="00CA6B87" w:rsidP="00B271A0">
            <w:pPr>
              <w:ind w:left="63"/>
              <w:rPr>
                <w:szCs w:val="22"/>
              </w:rPr>
            </w:pPr>
            <w:r w:rsidRPr="00A46BB1">
              <w:rPr>
                <w:szCs w:val="22"/>
              </w:rPr>
              <w:t>CBD/COP/</w:t>
            </w:r>
            <w:r w:rsidR="003B20AB" w:rsidRPr="00A46BB1">
              <w:rPr>
                <w:szCs w:val="22"/>
              </w:rPr>
              <w:t>DEC/XIII/9</w:t>
            </w:r>
          </w:p>
          <w:p w14:paraId="5BC2C402" w14:textId="77777777" w:rsidR="00736BC2" w:rsidRPr="00A46BB1" w:rsidRDefault="005D088E" w:rsidP="00B271A0">
            <w:pPr>
              <w:ind w:left="63"/>
              <w:rPr>
                <w:szCs w:val="22"/>
              </w:rPr>
            </w:pPr>
            <w:r w:rsidRPr="00A46BB1">
              <w:rPr>
                <w:szCs w:val="22"/>
              </w:rPr>
              <w:t xml:space="preserve">9 </w:t>
            </w:r>
            <w:r w:rsidR="00CA6B87" w:rsidRPr="00A46BB1">
              <w:rPr>
                <w:szCs w:val="22"/>
              </w:rPr>
              <w:t>December 2016</w:t>
            </w:r>
          </w:p>
          <w:p w14:paraId="59E67204" w14:textId="77777777" w:rsidR="00736BC2" w:rsidRPr="00A46BB1" w:rsidRDefault="00736BC2" w:rsidP="00B271A0">
            <w:pPr>
              <w:ind w:left="63"/>
              <w:rPr>
                <w:szCs w:val="22"/>
              </w:rPr>
            </w:pPr>
          </w:p>
          <w:p w14:paraId="78B0F5DE" w14:textId="77777777" w:rsidR="00736BC2" w:rsidRPr="00A46BB1" w:rsidRDefault="00736BC2" w:rsidP="00B271A0">
            <w:pPr>
              <w:ind w:left="63"/>
              <w:rPr>
                <w:color w:val="FF0000"/>
                <w:szCs w:val="22"/>
                <w:u w:val="single"/>
              </w:rPr>
            </w:pPr>
            <w:r w:rsidRPr="00A46BB1">
              <w:rPr>
                <w:szCs w:val="22"/>
              </w:rPr>
              <w:t>ORIGINAL:  ENGLISH</w:t>
            </w:r>
          </w:p>
        </w:tc>
      </w:tr>
    </w:tbl>
    <w:p w14:paraId="083F57E7" w14:textId="77777777" w:rsidR="00CA6B87" w:rsidRPr="00ED4136" w:rsidRDefault="00CA6B87" w:rsidP="00CA6B87">
      <w:pPr>
        <w:ind w:left="180" w:right="4250" w:hanging="180"/>
        <w:jc w:val="left"/>
        <w:rPr>
          <w:rFonts w:eastAsia="Malgun Gothic"/>
          <w:kern w:val="22"/>
          <w:szCs w:val="22"/>
        </w:rPr>
      </w:pPr>
      <w:r w:rsidRPr="00ED4136">
        <w:rPr>
          <w:rFonts w:eastAsia="Malgun Gothic"/>
          <w:kern w:val="22"/>
          <w:szCs w:val="22"/>
        </w:rPr>
        <w:t>CONFERENCE OF THE PARTIES TO THE CONVENTION ON BIOLOGICAL DIVERSITY</w:t>
      </w:r>
    </w:p>
    <w:p w14:paraId="011BE894" w14:textId="77777777" w:rsidR="00CA6B87" w:rsidRPr="00321C86" w:rsidRDefault="00CA6B87" w:rsidP="00CA6B87">
      <w:pPr>
        <w:ind w:left="284" w:right="4398" w:hanging="284"/>
        <w:jc w:val="left"/>
        <w:rPr>
          <w:rFonts w:eastAsia="Malgun Gothic"/>
          <w:kern w:val="22"/>
          <w:szCs w:val="22"/>
        </w:rPr>
      </w:pPr>
      <w:r w:rsidRPr="00321C86">
        <w:rPr>
          <w:rFonts w:eastAsia="Malgun Gothic"/>
          <w:kern w:val="22"/>
          <w:szCs w:val="22"/>
        </w:rPr>
        <w:t>Thirteenth meeting</w:t>
      </w:r>
    </w:p>
    <w:p w14:paraId="26B616F6" w14:textId="77777777" w:rsidR="00CA6B87" w:rsidRPr="00321C86" w:rsidRDefault="00CA6B87" w:rsidP="00CA6B87">
      <w:pPr>
        <w:rPr>
          <w:kern w:val="22"/>
          <w:szCs w:val="22"/>
          <w:lang w:val="nb-NO" w:eastAsia="nb-NO"/>
        </w:rPr>
      </w:pPr>
      <w:r w:rsidRPr="00321C86">
        <w:rPr>
          <w:kern w:val="22"/>
          <w:szCs w:val="22"/>
          <w:lang w:val="nb-NO" w:eastAsia="nb-NO"/>
        </w:rPr>
        <w:t>Cancun, Mexico, 4-17 December 2016</w:t>
      </w:r>
    </w:p>
    <w:p w14:paraId="329BA0C1" w14:textId="77777777" w:rsidR="00CA6B87" w:rsidRPr="00ED4136" w:rsidRDefault="00CA6B87" w:rsidP="00CA6B87">
      <w:pPr>
        <w:rPr>
          <w:kern w:val="22"/>
          <w:szCs w:val="22"/>
          <w:lang w:val="nb-NO" w:eastAsia="nb-NO"/>
        </w:rPr>
      </w:pPr>
      <w:r w:rsidRPr="00321C86">
        <w:rPr>
          <w:kern w:val="22"/>
          <w:szCs w:val="22"/>
          <w:lang w:val="nb-NO" w:eastAsia="nb-NO"/>
        </w:rPr>
        <w:t xml:space="preserve">Agenda item </w:t>
      </w:r>
      <w:r w:rsidR="00805724" w:rsidRPr="00832796">
        <w:rPr>
          <w:kern w:val="22"/>
          <w:szCs w:val="22"/>
          <w:lang w:val="nb-NO" w:eastAsia="nb-NO"/>
        </w:rPr>
        <w:t>15</w:t>
      </w:r>
    </w:p>
    <w:p w14:paraId="1772D2BC" w14:textId="77777777" w:rsidR="003B20AB" w:rsidRPr="00321C86" w:rsidRDefault="003B20AB" w:rsidP="003B20AB">
      <w:pPr>
        <w:pStyle w:val="Heading1"/>
        <w:suppressLineNumbers/>
        <w:suppressAutoHyphens/>
        <w:rPr>
          <w:kern w:val="22"/>
          <w:szCs w:val="22"/>
          <w:lang w:eastAsia="ko-KR"/>
        </w:rPr>
      </w:pPr>
      <w:bookmarkStart w:id="0" w:name="_Toc457486408"/>
      <w:bookmarkStart w:id="1" w:name="_Toc466888519"/>
      <w:r w:rsidRPr="00321C86">
        <w:rPr>
          <w:kern w:val="1"/>
          <w:szCs w:val="22"/>
        </w:rPr>
        <w:t>DECISION ADOPTED BY THE CONFERENCE OF THE PARTIES TO THE CONVENTION ON BIOLOGICAL DIVERSITY</w:t>
      </w:r>
    </w:p>
    <w:p w14:paraId="2B0B447C" w14:textId="77777777" w:rsidR="00502B07" w:rsidRPr="00A46BB1" w:rsidRDefault="003B20AB" w:rsidP="00A46BB1">
      <w:pPr>
        <w:pStyle w:val="recommendationheader"/>
        <w:tabs>
          <w:tab w:val="clear" w:pos="720"/>
          <w:tab w:val="left" w:pos="810"/>
        </w:tabs>
        <w:rPr>
          <w:snapToGrid w:val="0"/>
          <w:szCs w:val="22"/>
          <w:lang w:val="en-CA"/>
        </w:rPr>
      </w:pPr>
      <w:r w:rsidRPr="00A46BB1">
        <w:rPr>
          <w:snapToGrid w:val="0"/>
          <w:szCs w:val="22"/>
        </w:rPr>
        <w:t>XIII/9.</w:t>
      </w:r>
      <w:r w:rsidRPr="00A46BB1">
        <w:rPr>
          <w:snapToGrid w:val="0"/>
          <w:szCs w:val="22"/>
        </w:rPr>
        <w:tab/>
      </w:r>
      <w:r w:rsidR="00502B07" w:rsidRPr="00A46BB1">
        <w:rPr>
          <w:snapToGrid w:val="0"/>
          <w:szCs w:val="22"/>
        </w:rPr>
        <w:t>Marine spatial planning and training initiatives</w:t>
      </w:r>
      <w:bookmarkEnd w:id="0"/>
      <w:bookmarkEnd w:id="1"/>
    </w:p>
    <w:p w14:paraId="6A4F247F" w14:textId="77777777" w:rsidR="00502B07" w:rsidRPr="00A46BB1" w:rsidRDefault="00502B07" w:rsidP="00502B07">
      <w:pPr>
        <w:keepNext/>
        <w:suppressLineNumbers/>
        <w:suppressAutoHyphens/>
        <w:spacing w:before="120" w:after="120"/>
        <w:ind w:firstLine="720"/>
        <w:rPr>
          <w:bCs/>
          <w:i/>
          <w:snapToGrid w:val="0"/>
          <w:color w:val="000000"/>
          <w:kern w:val="22"/>
          <w:szCs w:val="22"/>
          <w:lang w:eastAsia="ko-KR"/>
        </w:rPr>
      </w:pPr>
      <w:r w:rsidRPr="00A46BB1">
        <w:rPr>
          <w:bCs/>
          <w:i/>
          <w:snapToGrid w:val="0"/>
          <w:color w:val="000000"/>
          <w:kern w:val="22"/>
          <w:szCs w:val="22"/>
          <w:lang w:eastAsia="ko-KR"/>
        </w:rPr>
        <w:t>The Conference of the Parties</w:t>
      </w:r>
    </w:p>
    <w:p w14:paraId="7937FD5A" w14:textId="77777777" w:rsidR="00502B07" w:rsidRPr="00A46BB1" w:rsidRDefault="00502B07" w:rsidP="00502B07">
      <w:pPr>
        <w:keepNext/>
        <w:suppressLineNumbers/>
        <w:suppressAutoHyphens/>
        <w:spacing w:before="120" w:after="120"/>
        <w:outlineLvl w:val="0"/>
        <w:rPr>
          <w:b/>
          <w:bCs/>
          <w:snapToGrid w:val="0"/>
          <w:color w:val="000000"/>
          <w:kern w:val="22"/>
          <w:szCs w:val="22"/>
          <w:lang w:eastAsia="ko-KR"/>
        </w:rPr>
      </w:pPr>
      <w:r w:rsidRPr="00A46BB1">
        <w:rPr>
          <w:b/>
          <w:bCs/>
          <w:snapToGrid w:val="0"/>
          <w:color w:val="000000"/>
          <w:kern w:val="22"/>
          <w:szCs w:val="22"/>
          <w:lang w:eastAsia="ko-KR"/>
        </w:rPr>
        <w:t>Marine spatial planning</w:t>
      </w:r>
    </w:p>
    <w:p w14:paraId="73FF6CCA"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lang w:eastAsia="ko-KR"/>
        </w:rPr>
        <w:t>1.</w:t>
      </w:r>
      <w:r w:rsidRPr="00A46BB1">
        <w:rPr>
          <w:i/>
          <w:snapToGrid w:val="0"/>
          <w:color w:val="000000"/>
          <w:kern w:val="22"/>
          <w:szCs w:val="22"/>
          <w:lang w:eastAsia="ko-KR"/>
        </w:rPr>
        <w:tab/>
      </w:r>
      <w:r w:rsidRPr="00A46BB1">
        <w:rPr>
          <w:i/>
          <w:iCs/>
          <w:snapToGrid w:val="0"/>
          <w:color w:val="000000"/>
          <w:kern w:val="22"/>
          <w:szCs w:val="22"/>
        </w:rPr>
        <w:t>W</w:t>
      </w:r>
      <w:r w:rsidRPr="00A46BB1">
        <w:rPr>
          <w:i/>
          <w:snapToGrid w:val="0"/>
          <w:color w:val="000000"/>
          <w:kern w:val="22"/>
          <w:szCs w:val="22"/>
        </w:rPr>
        <w:t xml:space="preserve">elcomes </w:t>
      </w:r>
      <w:r w:rsidRPr="00A46BB1">
        <w:rPr>
          <w:snapToGrid w:val="0"/>
          <w:color w:val="000000"/>
          <w:kern w:val="22"/>
          <w:szCs w:val="22"/>
        </w:rPr>
        <w:t>the report of the Expert Workshop to Provide Consolidated Practical Guidance and a Toolkit for Marine Spatial Planning, held in Montreal, Canada, from 9 to 11 September 2014,</w:t>
      </w:r>
      <w:r w:rsidRPr="00A46BB1">
        <w:rPr>
          <w:rStyle w:val="FootnoteReference"/>
          <w:snapToGrid w:val="0"/>
          <w:color w:val="000000"/>
          <w:kern w:val="22"/>
          <w:sz w:val="22"/>
          <w:szCs w:val="22"/>
          <w:u w:val="none"/>
          <w:vertAlign w:val="superscript"/>
        </w:rPr>
        <w:footnoteReference w:id="1"/>
      </w:r>
      <w:r w:rsidRPr="00A46BB1">
        <w:rPr>
          <w:snapToGrid w:val="0"/>
          <w:color w:val="000000"/>
          <w:kern w:val="22"/>
          <w:szCs w:val="22"/>
        </w:rPr>
        <w:t xml:space="preserve"> and </w:t>
      </w:r>
      <w:r w:rsidRPr="00A46BB1">
        <w:rPr>
          <w:i/>
          <w:snapToGrid w:val="0"/>
          <w:color w:val="000000"/>
          <w:kern w:val="22"/>
          <w:szCs w:val="22"/>
        </w:rPr>
        <w:t>expresses</w:t>
      </w:r>
      <w:r w:rsidRPr="00A46BB1">
        <w:rPr>
          <w:snapToGrid w:val="0"/>
          <w:color w:val="000000"/>
          <w:kern w:val="22"/>
          <w:szCs w:val="22"/>
        </w:rPr>
        <w:t xml:space="preserve"> </w:t>
      </w:r>
      <w:r w:rsidRPr="00A46BB1">
        <w:rPr>
          <w:i/>
          <w:snapToGrid w:val="0"/>
          <w:color w:val="000000"/>
          <w:kern w:val="22"/>
          <w:szCs w:val="22"/>
        </w:rPr>
        <w:t>its gratitude</w:t>
      </w:r>
      <w:r w:rsidRPr="00A46BB1">
        <w:rPr>
          <w:snapToGrid w:val="0"/>
          <w:color w:val="000000"/>
          <w:kern w:val="22"/>
          <w:szCs w:val="22"/>
        </w:rPr>
        <w:t xml:space="preserve"> to the European Commission for its financial </w:t>
      </w:r>
      <w:proofErr w:type="gramStart"/>
      <w:r w:rsidRPr="00A46BB1">
        <w:rPr>
          <w:snapToGrid w:val="0"/>
          <w:color w:val="000000"/>
          <w:kern w:val="22"/>
          <w:szCs w:val="22"/>
        </w:rPr>
        <w:t>support;</w:t>
      </w:r>
      <w:proofErr w:type="gramEnd"/>
    </w:p>
    <w:p w14:paraId="28FD6E68" w14:textId="77777777" w:rsidR="00502B07" w:rsidRPr="00A46BB1" w:rsidRDefault="00502B07" w:rsidP="00502B07">
      <w:pPr>
        <w:suppressLineNumbers/>
        <w:suppressAutoHyphens/>
        <w:spacing w:before="120" w:after="120" w:line="228" w:lineRule="auto"/>
        <w:ind w:firstLine="720"/>
        <w:rPr>
          <w:rFonts w:eastAsia="MS Gothic"/>
          <w:bCs/>
          <w:snapToGrid w:val="0"/>
          <w:color w:val="000000"/>
          <w:kern w:val="22"/>
          <w:szCs w:val="22"/>
        </w:rPr>
      </w:pPr>
      <w:r w:rsidRPr="00A46BB1">
        <w:rPr>
          <w:snapToGrid w:val="0"/>
          <w:color w:val="000000"/>
          <w:kern w:val="22"/>
          <w:szCs w:val="22"/>
          <w:lang w:eastAsia="ko-KR"/>
        </w:rPr>
        <w:t>2.</w:t>
      </w:r>
      <w:r w:rsidRPr="00A46BB1">
        <w:rPr>
          <w:snapToGrid w:val="0"/>
          <w:color w:val="000000"/>
          <w:kern w:val="22"/>
          <w:szCs w:val="22"/>
          <w:lang w:eastAsia="ko-KR"/>
        </w:rPr>
        <w:tab/>
      </w:r>
      <w:r w:rsidRPr="00A46BB1">
        <w:rPr>
          <w:rFonts w:eastAsia="MS Gothic"/>
          <w:bCs/>
          <w:i/>
          <w:snapToGrid w:val="0"/>
          <w:color w:val="000000"/>
          <w:kern w:val="22"/>
          <w:szCs w:val="22"/>
        </w:rPr>
        <w:t>Recognizes</w:t>
      </w:r>
      <w:r w:rsidRPr="00A46BB1">
        <w:rPr>
          <w:rFonts w:eastAsia="MS Gothic"/>
          <w:bCs/>
          <w:snapToGrid w:val="0"/>
          <w:color w:val="000000"/>
          <w:kern w:val="22"/>
          <w:szCs w:val="22"/>
        </w:rPr>
        <w:t xml:space="preserve"> that marine spatial planning is a participatory tool to facilitate the application of the ecosystem approach, </w:t>
      </w:r>
      <w:r w:rsidRPr="00A46BB1">
        <w:rPr>
          <w:snapToGrid w:val="0"/>
          <w:color w:val="000000"/>
          <w:kern w:val="22"/>
          <w:szCs w:val="22"/>
        </w:rPr>
        <w:t>expedite progress towards achieving the Aichi Biodiversity Targets in marine and coastal areas</w:t>
      </w:r>
      <w:r w:rsidRPr="00A46BB1">
        <w:rPr>
          <w:rFonts w:eastAsia="MS Gothic"/>
          <w:bCs/>
          <w:snapToGrid w:val="0"/>
          <w:color w:val="000000"/>
          <w:kern w:val="22"/>
          <w:szCs w:val="22"/>
        </w:rPr>
        <w:t xml:space="preserve"> and support mainstreaming of biodiversity into public policies related to human and economic development, and that long-term investment in the development of human and institutional capacity for marine spatial planning-related activities is essential </w:t>
      </w:r>
      <w:r w:rsidR="00604C8D" w:rsidRPr="00A46BB1">
        <w:rPr>
          <w:rFonts w:eastAsia="MS Gothic"/>
          <w:bCs/>
          <w:snapToGrid w:val="0"/>
          <w:color w:val="000000"/>
          <w:kern w:val="22"/>
          <w:szCs w:val="22"/>
        </w:rPr>
        <w:t>for</w:t>
      </w:r>
      <w:r w:rsidRPr="00A46BB1">
        <w:rPr>
          <w:rFonts w:eastAsia="MS Gothic"/>
          <w:bCs/>
          <w:snapToGrid w:val="0"/>
          <w:color w:val="000000"/>
          <w:kern w:val="22"/>
          <w:szCs w:val="22"/>
        </w:rPr>
        <w:t xml:space="preserve"> success;</w:t>
      </w:r>
    </w:p>
    <w:p w14:paraId="1D814A59"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lang w:eastAsia="ko-KR"/>
        </w:rPr>
        <w:t>3.</w:t>
      </w:r>
      <w:r w:rsidRPr="00A46BB1">
        <w:rPr>
          <w:i/>
          <w:snapToGrid w:val="0"/>
          <w:color w:val="000000"/>
          <w:kern w:val="22"/>
          <w:szCs w:val="22"/>
          <w:lang w:eastAsia="ko-KR"/>
        </w:rPr>
        <w:tab/>
      </w:r>
      <w:r w:rsidRPr="00A46BB1">
        <w:rPr>
          <w:i/>
          <w:snapToGrid w:val="0"/>
          <w:color w:val="000000"/>
          <w:kern w:val="22"/>
          <w:szCs w:val="22"/>
        </w:rPr>
        <w:t>Encourages</w:t>
      </w:r>
      <w:r w:rsidRPr="00A46BB1">
        <w:rPr>
          <w:snapToGrid w:val="0"/>
          <w:color w:val="000000"/>
          <w:kern w:val="22"/>
          <w:szCs w:val="22"/>
        </w:rPr>
        <w:t xml:space="preserve"> </w:t>
      </w:r>
      <w:r w:rsidRPr="00A46BB1">
        <w:rPr>
          <w:snapToGrid w:val="0"/>
          <w:color w:val="000000"/>
          <w:kern w:val="22"/>
          <w:szCs w:val="22"/>
          <w:lang w:eastAsia="ko-KR"/>
        </w:rPr>
        <w:t xml:space="preserve">Parties and </w:t>
      </w:r>
      <w:r w:rsidRPr="00A46BB1">
        <w:rPr>
          <w:i/>
          <w:snapToGrid w:val="0"/>
          <w:color w:val="000000"/>
          <w:kern w:val="22"/>
          <w:szCs w:val="22"/>
          <w:lang w:eastAsia="ko-KR"/>
        </w:rPr>
        <w:t>invites</w:t>
      </w:r>
      <w:r w:rsidRPr="00A46BB1">
        <w:rPr>
          <w:snapToGrid w:val="0"/>
          <w:color w:val="000000"/>
          <w:kern w:val="22"/>
          <w:szCs w:val="22"/>
          <w:lang w:eastAsia="ko-KR"/>
        </w:rPr>
        <w:t xml:space="preserve"> other Governments</w:t>
      </w:r>
      <w:r w:rsidRPr="00A46BB1">
        <w:rPr>
          <w:snapToGrid w:val="0"/>
          <w:color w:val="000000"/>
          <w:kern w:val="22"/>
          <w:szCs w:val="22"/>
        </w:rPr>
        <w:t xml:space="preserve">, </w:t>
      </w:r>
      <w:r w:rsidRPr="00A46BB1">
        <w:rPr>
          <w:rFonts w:eastAsia="Calibri"/>
          <w:snapToGrid w:val="0"/>
          <w:kern w:val="22"/>
          <w:szCs w:val="22"/>
        </w:rPr>
        <w:t xml:space="preserve">as appropriate and </w:t>
      </w:r>
      <w:proofErr w:type="gramStart"/>
      <w:r w:rsidRPr="00A46BB1">
        <w:rPr>
          <w:rFonts w:eastAsia="Calibri"/>
          <w:snapToGrid w:val="0"/>
          <w:kern w:val="22"/>
          <w:szCs w:val="22"/>
        </w:rPr>
        <w:t>taking into account</w:t>
      </w:r>
      <w:proofErr w:type="gramEnd"/>
      <w:r w:rsidRPr="00A46BB1">
        <w:rPr>
          <w:rFonts w:eastAsia="Calibri"/>
          <w:snapToGrid w:val="0"/>
          <w:kern w:val="22"/>
          <w:szCs w:val="22"/>
        </w:rPr>
        <w:t xml:space="preserve"> national circumstances,</w:t>
      </w:r>
      <w:r w:rsidRPr="00A46BB1">
        <w:rPr>
          <w:snapToGrid w:val="0"/>
          <w:color w:val="000000"/>
          <w:kern w:val="22"/>
          <w:szCs w:val="22"/>
        </w:rPr>
        <w:t xml:space="preserve"> to apply marine spatial planning to marine and coastal areas within their jurisdiction or enhance existing marine spatial planning initiatives in these areas, and:</w:t>
      </w:r>
    </w:p>
    <w:p w14:paraId="040E0583" w14:textId="77777777" w:rsidR="00502B07" w:rsidRPr="00A46BB1" w:rsidRDefault="00502B07" w:rsidP="00832796">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(a)</w:t>
      </w:r>
      <w:r w:rsidRPr="00A46BB1">
        <w:rPr>
          <w:snapToGrid w:val="0"/>
          <w:color w:val="000000"/>
          <w:kern w:val="22"/>
          <w:szCs w:val="22"/>
        </w:rPr>
        <w:tab/>
        <w:t xml:space="preserve">To </w:t>
      </w:r>
      <w:proofErr w:type="gramStart"/>
      <w:r w:rsidRPr="00A46BB1">
        <w:rPr>
          <w:snapToGrid w:val="0"/>
          <w:color w:val="000000"/>
          <w:kern w:val="22"/>
          <w:szCs w:val="22"/>
        </w:rPr>
        <w:t>take into account</w:t>
      </w:r>
      <w:proofErr w:type="gramEnd"/>
      <w:r w:rsidRPr="00A46BB1">
        <w:rPr>
          <w:snapToGrid w:val="0"/>
          <w:color w:val="000000"/>
          <w:kern w:val="22"/>
          <w:szCs w:val="22"/>
        </w:rPr>
        <w:t xml:space="preserve"> the above-mentioned report</w:t>
      </w:r>
      <w:r w:rsidR="00317912" w:rsidRPr="00A46BB1">
        <w:rPr>
          <w:snapToGrid w:val="0"/>
          <w:color w:val="000000"/>
          <w:kern w:val="22"/>
          <w:szCs w:val="22"/>
        </w:rPr>
        <w:t>, referred to in paragraph</w:t>
      </w:r>
      <w:r w:rsidR="00832796">
        <w:rPr>
          <w:snapToGrid w:val="0"/>
          <w:color w:val="000000"/>
          <w:kern w:val="22"/>
          <w:szCs w:val="22"/>
        </w:rPr>
        <w:t> </w:t>
      </w:r>
      <w:r w:rsidR="00317912" w:rsidRPr="00832796">
        <w:rPr>
          <w:snapToGrid w:val="0"/>
          <w:color w:val="000000"/>
          <w:kern w:val="22"/>
          <w:szCs w:val="22"/>
        </w:rPr>
        <w:t>1,</w:t>
      </w:r>
      <w:r w:rsidRPr="00832796">
        <w:rPr>
          <w:snapToGrid w:val="0"/>
          <w:color w:val="000000"/>
          <w:kern w:val="22"/>
          <w:szCs w:val="22"/>
        </w:rPr>
        <w:t xml:space="preserve"> </w:t>
      </w:r>
      <w:r w:rsidRPr="00A46BB1">
        <w:rPr>
          <w:snapToGrid w:val="0"/>
          <w:color w:val="000000"/>
          <w:kern w:val="22"/>
          <w:szCs w:val="22"/>
        </w:rPr>
        <w:t xml:space="preserve">and other technical guidance from relevant international and regional organizations and agreements in the implementation of marine spatial </w:t>
      </w:r>
      <w:proofErr w:type="gramStart"/>
      <w:r w:rsidRPr="00A46BB1">
        <w:rPr>
          <w:snapToGrid w:val="0"/>
          <w:color w:val="000000"/>
          <w:kern w:val="22"/>
          <w:szCs w:val="22"/>
        </w:rPr>
        <w:t>planning;</w:t>
      </w:r>
      <w:proofErr w:type="gramEnd"/>
    </w:p>
    <w:p w14:paraId="28F62984"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(b)</w:t>
      </w:r>
      <w:r w:rsidRPr="00A46BB1">
        <w:rPr>
          <w:snapToGrid w:val="0"/>
          <w:color w:val="000000"/>
          <w:kern w:val="22"/>
          <w:szCs w:val="22"/>
        </w:rPr>
        <w:tab/>
        <w:t xml:space="preserve">To promote the full and effective participation of indigenous peoples and local communities in the development and implementation of marine spatial planning, in accordance with national </w:t>
      </w:r>
      <w:proofErr w:type="gramStart"/>
      <w:r w:rsidRPr="00A46BB1">
        <w:rPr>
          <w:snapToGrid w:val="0"/>
          <w:color w:val="000000"/>
          <w:kern w:val="22"/>
          <w:szCs w:val="22"/>
        </w:rPr>
        <w:t>legislation;</w:t>
      </w:r>
      <w:proofErr w:type="gramEnd"/>
    </w:p>
    <w:p w14:paraId="06A365E7"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(c)</w:t>
      </w:r>
      <w:r w:rsidRPr="00A46BB1">
        <w:rPr>
          <w:snapToGrid w:val="0"/>
          <w:color w:val="000000"/>
          <w:kern w:val="22"/>
          <w:szCs w:val="22"/>
        </w:rPr>
        <w:tab/>
        <w:t xml:space="preserve">To link closely to existing efforts to implement integrated marine and coastal area management, marine protected areas and other effective area-based </w:t>
      </w:r>
      <w:r w:rsidRPr="00A46BB1">
        <w:rPr>
          <w:rFonts w:eastAsia="MS Gothic"/>
          <w:bCs/>
          <w:snapToGrid w:val="0"/>
          <w:color w:val="000000"/>
          <w:kern w:val="22"/>
          <w:szCs w:val="22"/>
        </w:rPr>
        <w:t xml:space="preserve">conservation measures, as well as </w:t>
      </w:r>
      <w:r w:rsidRPr="00A46BB1">
        <w:rPr>
          <w:snapToGrid w:val="0"/>
          <w:color w:val="000000"/>
          <w:kern w:val="22"/>
          <w:szCs w:val="22"/>
        </w:rPr>
        <w:lastRenderedPageBreak/>
        <w:t xml:space="preserve">strategic environmental assessments, environmental impact assessments, pollution management, fisheries management and management of other economic activities, including </w:t>
      </w:r>
      <w:proofErr w:type="gramStart"/>
      <w:r w:rsidRPr="00A46BB1">
        <w:rPr>
          <w:snapToGrid w:val="0"/>
          <w:color w:val="000000"/>
          <w:kern w:val="22"/>
          <w:szCs w:val="22"/>
        </w:rPr>
        <w:t>tourism;</w:t>
      </w:r>
      <w:proofErr w:type="gramEnd"/>
    </w:p>
    <w:p w14:paraId="45890431"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(d)</w:t>
      </w:r>
      <w:r w:rsidRPr="00A46BB1">
        <w:rPr>
          <w:snapToGrid w:val="0"/>
          <w:color w:val="000000"/>
          <w:kern w:val="22"/>
          <w:szCs w:val="22"/>
        </w:rPr>
        <w:tab/>
        <w:t xml:space="preserve">To engage with relevant stakeholders and sectors as well as indigenous peoples and local communities in the development and implementation of marine spatial </w:t>
      </w:r>
      <w:proofErr w:type="gramStart"/>
      <w:r w:rsidRPr="00A46BB1">
        <w:rPr>
          <w:snapToGrid w:val="0"/>
          <w:color w:val="000000"/>
          <w:kern w:val="22"/>
          <w:szCs w:val="22"/>
        </w:rPr>
        <w:t>planning</w:t>
      </w:r>
      <w:r w:rsidRPr="00A46BB1">
        <w:rPr>
          <w:bCs/>
          <w:snapToGrid w:val="0"/>
          <w:color w:val="000000"/>
          <w:kern w:val="22"/>
          <w:szCs w:val="22"/>
        </w:rPr>
        <w:t>;</w:t>
      </w:r>
      <w:proofErr w:type="gramEnd"/>
    </w:p>
    <w:p w14:paraId="3472AB43"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bCs/>
          <w:snapToGrid w:val="0"/>
          <w:color w:val="000000"/>
          <w:kern w:val="22"/>
          <w:szCs w:val="22"/>
        </w:rPr>
        <w:t>(e)</w:t>
      </w:r>
      <w:r w:rsidRPr="00A46BB1">
        <w:rPr>
          <w:bCs/>
          <w:snapToGrid w:val="0"/>
          <w:color w:val="000000"/>
          <w:kern w:val="22"/>
          <w:szCs w:val="22"/>
        </w:rPr>
        <w:tab/>
        <w:t>To strengthen the application and further development of the ecosystem approach in marine spatial planning,</w:t>
      </w:r>
      <w:r w:rsidRPr="00A46BB1">
        <w:rPr>
          <w:snapToGrid w:val="0"/>
          <w:color w:val="000000"/>
          <w:kern w:val="22"/>
          <w:szCs w:val="22"/>
        </w:rPr>
        <w:t xml:space="preserve"> including the use of ecological, economic and social spatial data and knowledge as well as regional </w:t>
      </w:r>
      <w:proofErr w:type="gramStart"/>
      <w:r w:rsidRPr="00A46BB1">
        <w:rPr>
          <w:snapToGrid w:val="0"/>
          <w:color w:val="000000"/>
          <w:kern w:val="22"/>
          <w:szCs w:val="22"/>
        </w:rPr>
        <w:t>cooperation;</w:t>
      </w:r>
      <w:proofErr w:type="gramEnd"/>
    </w:p>
    <w:p w14:paraId="2E20EC8D" w14:textId="77777777" w:rsidR="00502B07" w:rsidRPr="00832796" w:rsidRDefault="00502B07" w:rsidP="00832796">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(f)</w:t>
      </w:r>
      <w:r w:rsidRPr="00A46BB1">
        <w:rPr>
          <w:snapToGrid w:val="0"/>
          <w:color w:val="000000"/>
          <w:kern w:val="22"/>
          <w:szCs w:val="22"/>
        </w:rPr>
        <w:tab/>
        <w:t>To share their experiences through the clearing-house mechanism of the Convention and other information</w:t>
      </w:r>
      <w:r w:rsidR="00832796">
        <w:rPr>
          <w:snapToGrid w:val="0"/>
          <w:color w:val="000000"/>
          <w:kern w:val="22"/>
          <w:szCs w:val="22"/>
        </w:rPr>
        <w:t>-</w:t>
      </w:r>
      <w:r w:rsidRPr="00832796">
        <w:rPr>
          <w:snapToGrid w:val="0"/>
          <w:color w:val="000000"/>
          <w:kern w:val="22"/>
          <w:szCs w:val="22"/>
        </w:rPr>
        <w:t xml:space="preserve">sharing </w:t>
      </w:r>
      <w:proofErr w:type="gramStart"/>
      <w:r w:rsidRPr="00832796">
        <w:rPr>
          <w:snapToGrid w:val="0"/>
          <w:color w:val="000000"/>
          <w:kern w:val="22"/>
          <w:szCs w:val="22"/>
        </w:rPr>
        <w:t>mechanisms;</w:t>
      </w:r>
      <w:proofErr w:type="gramEnd"/>
    </w:p>
    <w:p w14:paraId="401FB471"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4.</w:t>
      </w:r>
      <w:r w:rsidRPr="00A46BB1">
        <w:rPr>
          <w:i/>
          <w:snapToGrid w:val="0"/>
          <w:color w:val="000000"/>
          <w:kern w:val="22"/>
          <w:szCs w:val="22"/>
        </w:rPr>
        <w:tab/>
        <w:t>Recalls</w:t>
      </w:r>
      <w:r w:rsidRPr="00A46BB1">
        <w:rPr>
          <w:snapToGrid w:val="0"/>
          <w:color w:val="000000"/>
          <w:kern w:val="22"/>
          <w:szCs w:val="22"/>
        </w:rPr>
        <w:t xml:space="preserve"> </w:t>
      </w:r>
      <w:r w:rsidRPr="00A46BB1">
        <w:rPr>
          <w:rFonts w:eastAsia="MS Gothic"/>
          <w:bCs/>
          <w:snapToGrid w:val="0"/>
          <w:color w:val="000000"/>
          <w:kern w:val="22"/>
          <w:szCs w:val="22"/>
        </w:rPr>
        <w:t xml:space="preserve">decision XI/18 C </w:t>
      </w:r>
      <w:r w:rsidRPr="00A46BB1">
        <w:rPr>
          <w:snapToGrid w:val="0"/>
          <w:color w:val="000000"/>
          <w:kern w:val="22"/>
          <w:szCs w:val="22"/>
        </w:rPr>
        <w:t xml:space="preserve">and decision XII/23, </w:t>
      </w:r>
      <w:r w:rsidRPr="00A46BB1">
        <w:rPr>
          <w:rFonts w:eastAsia="MS Gothic"/>
          <w:bCs/>
          <w:snapToGrid w:val="0"/>
          <w:color w:val="000000"/>
          <w:kern w:val="22"/>
          <w:szCs w:val="22"/>
        </w:rPr>
        <w:t>in particular paragraph 18</w:t>
      </w:r>
      <w:r w:rsidRPr="00A46BB1">
        <w:rPr>
          <w:snapToGrid w:val="0"/>
          <w:color w:val="000000"/>
          <w:kern w:val="22"/>
          <w:szCs w:val="22"/>
        </w:rPr>
        <w:t xml:space="preserve">, </w:t>
      </w:r>
      <w:r w:rsidRPr="00A46BB1">
        <w:rPr>
          <w:i/>
          <w:snapToGrid w:val="0"/>
          <w:color w:val="000000"/>
          <w:kern w:val="22"/>
          <w:szCs w:val="22"/>
        </w:rPr>
        <w:t xml:space="preserve">requests </w:t>
      </w:r>
      <w:r w:rsidRPr="00A46BB1">
        <w:rPr>
          <w:snapToGrid w:val="0"/>
          <w:color w:val="000000"/>
          <w:kern w:val="22"/>
          <w:szCs w:val="22"/>
        </w:rPr>
        <w:t xml:space="preserve">the Executive Secretary, subject to the availability of resources, and </w:t>
      </w:r>
      <w:r w:rsidRPr="00A46BB1">
        <w:rPr>
          <w:i/>
          <w:snapToGrid w:val="0"/>
          <w:color w:val="000000"/>
          <w:kern w:val="22"/>
          <w:szCs w:val="22"/>
        </w:rPr>
        <w:t>invites</w:t>
      </w:r>
      <w:r w:rsidRPr="00A46BB1">
        <w:rPr>
          <w:snapToGrid w:val="0"/>
          <w:color w:val="000000"/>
          <w:kern w:val="22"/>
          <w:szCs w:val="22"/>
        </w:rPr>
        <w:t xml:space="preserve"> relevant organizations, in particular </w:t>
      </w:r>
      <w:r w:rsidRPr="00A46BB1">
        <w:rPr>
          <w:bCs/>
          <w:snapToGrid w:val="0"/>
          <w:color w:val="000000"/>
          <w:kern w:val="22"/>
          <w:szCs w:val="22"/>
        </w:rPr>
        <w:t>the Intergovernmental Oceanographic Commission of the United Nations Educational, Scientific and Cultural Organization,</w:t>
      </w:r>
      <w:r w:rsidRPr="00A46BB1">
        <w:rPr>
          <w:snapToGrid w:val="0"/>
          <w:color w:val="000000"/>
          <w:kern w:val="22"/>
          <w:szCs w:val="22"/>
        </w:rPr>
        <w:t xml:space="preserve"> the United Nations Environment Programme, </w:t>
      </w:r>
      <w:r w:rsidRPr="00A46BB1">
        <w:rPr>
          <w:bCs/>
          <w:snapToGrid w:val="0"/>
          <w:color w:val="000000"/>
          <w:kern w:val="22"/>
          <w:szCs w:val="22"/>
        </w:rPr>
        <w:t>the Food and Agriculture Organization of the United Nations, the International Maritime Organization,</w:t>
      </w:r>
      <w:r w:rsidRPr="00A46BB1">
        <w:rPr>
          <w:snapToGrid w:val="0"/>
          <w:color w:val="000000"/>
          <w:kern w:val="22"/>
          <w:szCs w:val="22"/>
        </w:rPr>
        <w:t xml:space="preserve"> regional seas conventions and action plans and regional fisheries bodies, to support the national implementation of marine spatial planning, as appropriate, within their competencies, in accordance with national legislation, through collaboration on, among other things, the following activities:</w:t>
      </w:r>
    </w:p>
    <w:p w14:paraId="1B5A1703"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(a)</w:t>
      </w:r>
      <w:r w:rsidRPr="00A46BB1">
        <w:rPr>
          <w:snapToGrid w:val="0"/>
          <w:color w:val="000000"/>
          <w:kern w:val="22"/>
          <w:szCs w:val="22"/>
        </w:rPr>
        <w:tab/>
        <w:t xml:space="preserve">Further consolidate and complement existing guidance on marine and spatial planning, building upon the results of the workshop referred to in paragraph 1 above, through online communication, expert workshops, compilation of case studies, informal interaction among experts and/or expert peer </w:t>
      </w:r>
      <w:proofErr w:type="gramStart"/>
      <w:r w:rsidRPr="00A46BB1">
        <w:rPr>
          <w:snapToGrid w:val="0"/>
          <w:color w:val="000000"/>
          <w:kern w:val="22"/>
          <w:szCs w:val="22"/>
        </w:rPr>
        <w:t>review;</w:t>
      </w:r>
      <w:proofErr w:type="gramEnd"/>
    </w:p>
    <w:p w14:paraId="6A319E43"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(b)</w:t>
      </w:r>
      <w:r w:rsidRPr="00A46BB1">
        <w:rPr>
          <w:snapToGrid w:val="0"/>
          <w:color w:val="000000"/>
          <w:kern w:val="22"/>
          <w:szCs w:val="22"/>
        </w:rPr>
        <w:tab/>
        <w:t xml:space="preserve">Develop linkages with other work under the Convention or other relevant international and/or regional agreements and </w:t>
      </w:r>
      <w:proofErr w:type="gramStart"/>
      <w:r w:rsidRPr="00A46BB1">
        <w:rPr>
          <w:snapToGrid w:val="0"/>
          <w:color w:val="000000"/>
          <w:kern w:val="22"/>
          <w:szCs w:val="22"/>
        </w:rPr>
        <w:t>programmes;</w:t>
      </w:r>
      <w:proofErr w:type="gramEnd"/>
    </w:p>
    <w:p w14:paraId="0C9157D2"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(c)</w:t>
      </w:r>
      <w:r w:rsidRPr="00A46BB1">
        <w:rPr>
          <w:snapToGrid w:val="0"/>
          <w:color w:val="000000"/>
          <w:kern w:val="22"/>
          <w:szCs w:val="22"/>
        </w:rPr>
        <w:tab/>
        <w:t>Explore opportunities to test guidance and best practices and to facilitate capacity development, including through capacity development workshops as well as through on</w:t>
      </w:r>
      <w:r w:rsidRPr="00A46BB1">
        <w:rPr>
          <w:snapToGrid w:val="0"/>
          <w:color w:val="000000"/>
          <w:kern w:val="22"/>
          <w:szCs w:val="22"/>
        </w:rPr>
        <w:noBreakHyphen/>
        <w:t xml:space="preserve">the-ground </w:t>
      </w:r>
      <w:proofErr w:type="gramStart"/>
      <w:r w:rsidRPr="00A46BB1">
        <w:rPr>
          <w:snapToGrid w:val="0"/>
          <w:color w:val="000000"/>
          <w:kern w:val="22"/>
          <w:szCs w:val="22"/>
        </w:rPr>
        <w:t>implementation;</w:t>
      </w:r>
      <w:proofErr w:type="gramEnd"/>
    </w:p>
    <w:p w14:paraId="3EE2C0D9"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(d)</w:t>
      </w:r>
      <w:r w:rsidRPr="00A46BB1">
        <w:rPr>
          <w:snapToGrid w:val="0"/>
          <w:color w:val="000000"/>
          <w:kern w:val="22"/>
          <w:szCs w:val="22"/>
        </w:rPr>
        <w:tab/>
        <w:t xml:space="preserve">Compile national, subregional or regional experiences in the implementation of marine spatial planning, in collaboration with Parties and other Governments, and disseminate them through the clearing-house mechanism of the Convention and relevant online information-sharing </w:t>
      </w:r>
      <w:proofErr w:type="gramStart"/>
      <w:r w:rsidRPr="00A46BB1">
        <w:rPr>
          <w:snapToGrid w:val="0"/>
          <w:color w:val="000000"/>
          <w:kern w:val="22"/>
          <w:szCs w:val="22"/>
        </w:rPr>
        <w:t>mechanisms;</w:t>
      </w:r>
      <w:proofErr w:type="gramEnd"/>
    </w:p>
    <w:p w14:paraId="1C0D0918"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5.</w:t>
      </w:r>
      <w:r w:rsidRPr="00A46BB1">
        <w:rPr>
          <w:snapToGrid w:val="0"/>
          <w:color w:val="000000"/>
          <w:kern w:val="22"/>
          <w:szCs w:val="22"/>
        </w:rPr>
        <w:tab/>
      </w:r>
      <w:r w:rsidRPr="00A46BB1">
        <w:rPr>
          <w:i/>
          <w:snapToGrid w:val="0"/>
          <w:color w:val="000000"/>
          <w:kern w:val="22"/>
          <w:szCs w:val="22"/>
        </w:rPr>
        <w:t>Requests</w:t>
      </w:r>
      <w:r w:rsidRPr="00A46BB1">
        <w:rPr>
          <w:snapToGrid w:val="0"/>
          <w:color w:val="000000"/>
          <w:kern w:val="22"/>
          <w:szCs w:val="22"/>
        </w:rPr>
        <w:t xml:space="preserve"> the Executive Secretary, subject to the availability of resources, to report on progress in the collaboration referred to in paragraph 4 above to the Subsidiary Body on Scientific, Technical and Technological Advice at a meeting held prior to the fourteenth meeting of the Conference of the </w:t>
      </w:r>
      <w:proofErr w:type="gramStart"/>
      <w:r w:rsidRPr="00A46BB1">
        <w:rPr>
          <w:snapToGrid w:val="0"/>
          <w:color w:val="000000"/>
          <w:kern w:val="22"/>
          <w:szCs w:val="22"/>
        </w:rPr>
        <w:t>Parties;</w:t>
      </w:r>
      <w:proofErr w:type="gramEnd"/>
    </w:p>
    <w:p w14:paraId="3B22A367"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lang w:eastAsia="ko-KR"/>
        </w:rPr>
        <w:t>6.</w:t>
      </w:r>
      <w:r w:rsidRPr="00A46BB1">
        <w:rPr>
          <w:b/>
          <w:snapToGrid w:val="0"/>
          <w:color w:val="000000"/>
          <w:kern w:val="22"/>
          <w:szCs w:val="22"/>
          <w:lang w:eastAsia="ko-KR"/>
        </w:rPr>
        <w:tab/>
      </w:r>
      <w:r w:rsidRPr="00A46BB1">
        <w:rPr>
          <w:i/>
          <w:snapToGrid w:val="0"/>
          <w:color w:val="000000"/>
          <w:kern w:val="22"/>
          <w:szCs w:val="22"/>
          <w:lang w:eastAsia="ko-KR"/>
        </w:rPr>
        <w:t>Recalls</w:t>
      </w:r>
      <w:r w:rsidRPr="00A46BB1">
        <w:rPr>
          <w:snapToGrid w:val="0"/>
          <w:color w:val="000000"/>
          <w:kern w:val="22"/>
          <w:szCs w:val="22"/>
          <w:lang w:eastAsia="ko-KR"/>
        </w:rPr>
        <w:t xml:space="preserve"> paragraph 19 of decision XII/23, and </w:t>
      </w:r>
      <w:r w:rsidRPr="00A46BB1">
        <w:rPr>
          <w:i/>
          <w:snapToGrid w:val="0"/>
          <w:color w:val="000000"/>
          <w:kern w:val="22"/>
          <w:szCs w:val="22"/>
          <w:lang w:eastAsia="ko-KR"/>
        </w:rPr>
        <w:t>r</w:t>
      </w:r>
      <w:r w:rsidRPr="00A46BB1">
        <w:rPr>
          <w:i/>
          <w:snapToGrid w:val="0"/>
          <w:color w:val="000000"/>
          <w:kern w:val="22"/>
          <w:szCs w:val="22"/>
        </w:rPr>
        <w:t xml:space="preserve">equests </w:t>
      </w:r>
      <w:r w:rsidRPr="00A46BB1">
        <w:rPr>
          <w:snapToGrid w:val="0"/>
          <w:color w:val="000000"/>
          <w:kern w:val="22"/>
          <w:szCs w:val="22"/>
        </w:rPr>
        <w:t>the Executive Secretary, subject to available financial resources:</w:t>
      </w:r>
    </w:p>
    <w:p w14:paraId="3AE37D69"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(a)</w:t>
      </w:r>
      <w:r w:rsidRPr="00A46BB1">
        <w:rPr>
          <w:snapToGrid w:val="0"/>
          <w:color w:val="000000"/>
          <w:kern w:val="22"/>
          <w:szCs w:val="22"/>
        </w:rPr>
        <w:tab/>
      </w:r>
      <w:r w:rsidRPr="00A46BB1">
        <w:rPr>
          <w:bCs/>
          <w:snapToGrid w:val="0"/>
          <w:color w:val="000000"/>
          <w:kern w:val="22"/>
          <w:szCs w:val="22"/>
        </w:rPr>
        <w:t>To invite Parties, other Governments and relevant organizations</w:t>
      </w:r>
      <w:r w:rsidRPr="00A46BB1">
        <w:rPr>
          <w:b/>
          <w:bCs/>
          <w:i/>
          <w:snapToGrid w:val="0"/>
          <w:color w:val="000000"/>
          <w:kern w:val="22"/>
          <w:szCs w:val="22"/>
        </w:rPr>
        <w:t>,</w:t>
      </w:r>
      <w:r w:rsidRPr="00A46BB1">
        <w:rPr>
          <w:bCs/>
          <w:snapToGrid w:val="0"/>
          <w:color w:val="000000"/>
          <w:kern w:val="22"/>
          <w:szCs w:val="22"/>
        </w:rPr>
        <w:t xml:space="preserve"> initiatives and stakeholders</w:t>
      </w:r>
      <w:r w:rsidRPr="00A46BB1">
        <w:rPr>
          <w:b/>
          <w:bCs/>
          <w:i/>
          <w:snapToGrid w:val="0"/>
          <w:color w:val="000000"/>
          <w:kern w:val="22"/>
          <w:szCs w:val="22"/>
        </w:rPr>
        <w:t xml:space="preserve"> </w:t>
      </w:r>
      <w:r w:rsidRPr="00A46BB1">
        <w:rPr>
          <w:bCs/>
          <w:snapToGrid w:val="0"/>
          <w:color w:val="000000"/>
          <w:kern w:val="22"/>
          <w:szCs w:val="22"/>
        </w:rPr>
        <w:t xml:space="preserve">including the Food and Agriculture Organization of the United Nations, the Intergovernmental Oceanographic Commission, the International Maritime Organization, the International Seabed Authority, the United Nations Environment Programme, regional seas conventions and action plans, regional fishery bodies, indigenous peoples and local communities, to submit, as appropriate, information on </w:t>
      </w:r>
      <w:r w:rsidRPr="00A46BB1">
        <w:rPr>
          <w:snapToGrid w:val="0"/>
          <w:color w:val="000000"/>
          <w:kern w:val="22"/>
          <w:szCs w:val="22"/>
        </w:rPr>
        <w:t>national, regional and subregional experiences and lessons learned in the application of marine spatial planning or other measures for enhanced conservation and management, in support of achieving the Aichi Biodiversity Targets in marine and coastal areas;</w:t>
      </w:r>
    </w:p>
    <w:p w14:paraId="444EFA90" w14:textId="77777777" w:rsidR="00502B07" w:rsidRPr="00A46BB1" w:rsidRDefault="00502B07" w:rsidP="00502B07">
      <w:pPr>
        <w:suppressLineNumbers/>
        <w:suppressAutoHyphens/>
        <w:spacing w:before="120" w:after="120" w:line="228" w:lineRule="auto"/>
        <w:ind w:firstLine="720"/>
        <w:rPr>
          <w:bCs/>
          <w:strike/>
          <w:snapToGrid w:val="0"/>
          <w:color w:val="000000"/>
          <w:kern w:val="22"/>
          <w:szCs w:val="22"/>
          <w:highlight w:val="yellow"/>
        </w:rPr>
      </w:pPr>
      <w:r w:rsidRPr="00A46BB1">
        <w:rPr>
          <w:snapToGrid w:val="0"/>
          <w:color w:val="000000"/>
          <w:kern w:val="22"/>
          <w:szCs w:val="22"/>
        </w:rPr>
        <w:lastRenderedPageBreak/>
        <w:t>(b)</w:t>
      </w:r>
      <w:r w:rsidRPr="00A46BB1">
        <w:rPr>
          <w:snapToGrid w:val="0"/>
          <w:color w:val="000000"/>
          <w:kern w:val="22"/>
          <w:szCs w:val="22"/>
        </w:rPr>
        <w:tab/>
      </w:r>
      <w:bookmarkStart w:id="2" w:name="_Toc324002306"/>
      <w:bookmarkStart w:id="3" w:name="_Toc324002431"/>
      <w:bookmarkStart w:id="4" w:name="_Toc324002604"/>
      <w:bookmarkStart w:id="5" w:name="_Toc328034198"/>
      <w:r w:rsidRPr="00A46BB1">
        <w:rPr>
          <w:bCs/>
          <w:snapToGrid w:val="0"/>
          <w:color w:val="000000"/>
          <w:kern w:val="22"/>
          <w:szCs w:val="22"/>
        </w:rPr>
        <w:t xml:space="preserve">To compile and synthesize submissions by Parties, other Governments and relevant organizations and stakeholders, along with additional scientific and technical </w:t>
      </w:r>
      <w:proofErr w:type="gramStart"/>
      <w:r w:rsidRPr="00A46BB1">
        <w:rPr>
          <w:bCs/>
          <w:snapToGrid w:val="0"/>
          <w:color w:val="000000"/>
          <w:kern w:val="22"/>
          <w:szCs w:val="22"/>
        </w:rPr>
        <w:t>information;</w:t>
      </w:r>
      <w:bookmarkStart w:id="6" w:name="_Toc324002307"/>
      <w:bookmarkStart w:id="7" w:name="_Toc324002432"/>
      <w:bookmarkStart w:id="8" w:name="_Toc324002605"/>
      <w:bookmarkStart w:id="9" w:name="_Toc328034199"/>
      <w:bookmarkEnd w:id="2"/>
      <w:bookmarkEnd w:id="3"/>
      <w:bookmarkEnd w:id="4"/>
      <w:bookmarkEnd w:id="5"/>
      <w:proofErr w:type="gramEnd"/>
    </w:p>
    <w:p w14:paraId="24EF42DA" w14:textId="77777777" w:rsidR="00502B07" w:rsidRPr="00A46BB1" w:rsidRDefault="00502B07" w:rsidP="00502B07">
      <w:pPr>
        <w:suppressLineNumbers/>
        <w:suppressAutoHyphens/>
        <w:spacing w:before="120" w:after="120" w:line="228" w:lineRule="auto"/>
        <w:ind w:firstLine="720"/>
        <w:rPr>
          <w:bCs/>
          <w:snapToGrid w:val="0"/>
          <w:color w:val="000000"/>
          <w:kern w:val="22"/>
          <w:szCs w:val="22"/>
        </w:rPr>
      </w:pPr>
      <w:bookmarkStart w:id="10" w:name="_Toc324002308"/>
      <w:bookmarkStart w:id="11" w:name="_Toc324002433"/>
      <w:bookmarkStart w:id="12" w:name="_Toc324002606"/>
      <w:bookmarkStart w:id="13" w:name="_Toc328034200"/>
      <w:bookmarkEnd w:id="6"/>
      <w:bookmarkEnd w:id="7"/>
      <w:bookmarkEnd w:id="8"/>
      <w:bookmarkEnd w:id="9"/>
      <w:r w:rsidRPr="00A46BB1">
        <w:rPr>
          <w:bCs/>
          <w:snapToGrid w:val="0"/>
          <w:color w:val="000000"/>
          <w:kern w:val="22"/>
          <w:szCs w:val="22"/>
        </w:rPr>
        <w:t>(c)</w:t>
      </w:r>
      <w:r w:rsidRPr="00A46BB1">
        <w:rPr>
          <w:bCs/>
          <w:snapToGrid w:val="0"/>
          <w:color w:val="000000"/>
          <w:kern w:val="22"/>
          <w:szCs w:val="22"/>
        </w:rPr>
        <w:tab/>
        <w:t xml:space="preserve">To submit the compilation/synthesis referred to in subparagraph 6(b) above, for consideration by the Subsidiary Body on Scientific, Technical and Technological Advice at a future meeting held prior to the fourteenth meeting of the Conference of the </w:t>
      </w:r>
      <w:proofErr w:type="gramStart"/>
      <w:r w:rsidRPr="00A46BB1">
        <w:rPr>
          <w:bCs/>
          <w:snapToGrid w:val="0"/>
          <w:color w:val="000000"/>
          <w:kern w:val="22"/>
          <w:szCs w:val="22"/>
        </w:rPr>
        <w:t>Parties;</w:t>
      </w:r>
      <w:bookmarkEnd w:id="10"/>
      <w:bookmarkEnd w:id="11"/>
      <w:bookmarkEnd w:id="12"/>
      <w:bookmarkEnd w:id="13"/>
      <w:proofErr w:type="gramEnd"/>
    </w:p>
    <w:p w14:paraId="09E46530"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7.</w:t>
      </w:r>
      <w:r w:rsidRPr="00A46BB1">
        <w:rPr>
          <w:snapToGrid w:val="0"/>
          <w:color w:val="000000"/>
          <w:kern w:val="22"/>
          <w:szCs w:val="22"/>
        </w:rPr>
        <w:tab/>
      </w:r>
      <w:r w:rsidRPr="00A46BB1">
        <w:rPr>
          <w:i/>
          <w:snapToGrid w:val="0"/>
          <w:color w:val="000000"/>
          <w:kern w:val="22"/>
          <w:szCs w:val="22"/>
        </w:rPr>
        <w:t>Recalling</w:t>
      </w:r>
      <w:r w:rsidRPr="00A46BB1">
        <w:rPr>
          <w:snapToGrid w:val="0"/>
          <w:color w:val="000000"/>
          <w:kern w:val="22"/>
          <w:szCs w:val="22"/>
        </w:rPr>
        <w:t xml:space="preserve"> paragraph 76 of decision X/29 and subparagraph 1(b) of decision XI/24 and </w:t>
      </w:r>
      <w:r w:rsidRPr="00A46BB1">
        <w:rPr>
          <w:i/>
          <w:snapToGrid w:val="0"/>
          <w:color w:val="000000"/>
          <w:kern w:val="22"/>
          <w:szCs w:val="22"/>
        </w:rPr>
        <w:t>recognizing</w:t>
      </w:r>
      <w:r w:rsidRPr="00A46BB1">
        <w:rPr>
          <w:snapToGrid w:val="0"/>
          <w:color w:val="000000"/>
          <w:kern w:val="22"/>
          <w:szCs w:val="22"/>
        </w:rPr>
        <w:t xml:space="preserve"> the importance of building linkages among existing efforts on various area-based conservation measures within the framework of cross-sectoral and integrated marine spatial planning and implementation in support of achieving Aichi Biodiversity Targets</w:t>
      </w:r>
      <w:r w:rsidR="004C265B" w:rsidRPr="00A46BB1">
        <w:rPr>
          <w:snapToGrid w:val="0"/>
          <w:color w:val="000000"/>
          <w:kern w:val="22"/>
          <w:szCs w:val="22"/>
        </w:rPr>
        <w:t xml:space="preserve"> in marine and coastal areas</w:t>
      </w:r>
      <w:r w:rsidRPr="00A46BB1">
        <w:rPr>
          <w:snapToGrid w:val="0"/>
          <w:color w:val="000000"/>
          <w:kern w:val="22"/>
          <w:szCs w:val="22"/>
        </w:rPr>
        <w:t xml:space="preserve">, </w:t>
      </w:r>
      <w:r w:rsidRPr="00A46BB1">
        <w:rPr>
          <w:i/>
          <w:snapToGrid w:val="0"/>
          <w:color w:val="000000"/>
          <w:kern w:val="22"/>
          <w:szCs w:val="22"/>
          <w:lang w:eastAsia="ko-KR"/>
        </w:rPr>
        <w:t>r</w:t>
      </w:r>
      <w:r w:rsidRPr="00A46BB1">
        <w:rPr>
          <w:i/>
          <w:snapToGrid w:val="0"/>
          <w:color w:val="000000"/>
          <w:kern w:val="22"/>
          <w:szCs w:val="22"/>
        </w:rPr>
        <w:t xml:space="preserve">equests </w:t>
      </w:r>
      <w:r w:rsidRPr="00A46BB1">
        <w:rPr>
          <w:snapToGrid w:val="0"/>
          <w:color w:val="000000"/>
          <w:kern w:val="22"/>
          <w:szCs w:val="22"/>
        </w:rPr>
        <w:t>the Executive Secretary, subject to available financial resources, drawing on the existing work by the Executive Secretary, in partnership with relevant organizations, and pursuant to paragraph 10 of decision XI/24:</w:t>
      </w:r>
    </w:p>
    <w:p w14:paraId="1A0A9A90"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(a)</w:t>
      </w:r>
      <w:r w:rsidRPr="00A46BB1">
        <w:rPr>
          <w:snapToGrid w:val="0"/>
          <w:color w:val="000000"/>
          <w:kern w:val="22"/>
          <w:szCs w:val="22"/>
        </w:rPr>
        <w:tab/>
        <w:t xml:space="preserve">To compile national experiences and lessons learned on the development, and effective and equitable management, of ecologically representative and </w:t>
      </w:r>
      <w:proofErr w:type="gramStart"/>
      <w:r w:rsidRPr="00A46BB1">
        <w:rPr>
          <w:snapToGrid w:val="0"/>
          <w:color w:val="000000"/>
          <w:kern w:val="22"/>
          <w:szCs w:val="22"/>
        </w:rPr>
        <w:t>well connected</w:t>
      </w:r>
      <w:proofErr w:type="gramEnd"/>
      <w:r w:rsidRPr="00A46BB1">
        <w:rPr>
          <w:snapToGrid w:val="0"/>
          <w:color w:val="000000"/>
          <w:kern w:val="22"/>
          <w:szCs w:val="22"/>
        </w:rPr>
        <w:t xml:space="preserve"> systems of marine protected areas and other effective area</w:t>
      </w:r>
      <w:r w:rsidRPr="00A46BB1">
        <w:rPr>
          <w:snapToGrid w:val="0"/>
          <w:color w:val="000000"/>
          <w:kern w:val="22"/>
          <w:szCs w:val="22"/>
        </w:rPr>
        <w:noBreakHyphen/>
        <w:t xml:space="preserve">based conservation measures, and their integration into the wider landscapes and seascapes, as an input to an expert </w:t>
      </w:r>
      <w:proofErr w:type="gramStart"/>
      <w:r w:rsidRPr="00A46BB1">
        <w:rPr>
          <w:snapToGrid w:val="0"/>
          <w:color w:val="000000"/>
          <w:kern w:val="22"/>
          <w:szCs w:val="22"/>
        </w:rPr>
        <w:t>workshop;</w:t>
      </w:r>
      <w:proofErr w:type="gramEnd"/>
    </w:p>
    <w:p w14:paraId="23D83BAA"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(b)</w:t>
      </w:r>
      <w:r w:rsidRPr="00A46BB1">
        <w:rPr>
          <w:snapToGrid w:val="0"/>
          <w:color w:val="000000"/>
          <w:kern w:val="22"/>
          <w:szCs w:val="22"/>
        </w:rPr>
        <w:tab/>
        <w:t xml:space="preserve">To organize an expert workshop to consolidate scientific and technical information on various approaches for, and their effectiveness in, assessing the contribution to the achievement of Target 11 of marine protected areas and other effective area-based conservation measures as well as their integration into the wider landscapes and seascapes, also considering the implementation of target 5 of Sustainable Development Goal </w:t>
      </w:r>
      <w:proofErr w:type="gramStart"/>
      <w:r w:rsidRPr="00A46BB1">
        <w:rPr>
          <w:snapToGrid w:val="0"/>
          <w:color w:val="000000"/>
          <w:kern w:val="22"/>
          <w:szCs w:val="22"/>
        </w:rPr>
        <w:t>14;</w:t>
      </w:r>
      <w:proofErr w:type="gramEnd"/>
    </w:p>
    <w:p w14:paraId="3975A8D2" w14:textId="77777777" w:rsidR="00502B07" w:rsidRPr="00A46BB1" w:rsidRDefault="00502B07" w:rsidP="00502B07">
      <w:pPr>
        <w:suppressLineNumbers/>
        <w:suppressAutoHyphens/>
        <w:spacing w:before="120" w:after="120" w:line="228" w:lineRule="auto"/>
        <w:ind w:firstLine="720"/>
        <w:rPr>
          <w:b/>
          <w:bCs/>
          <w:i/>
          <w:snapToGrid w:val="0"/>
          <w:color w:val="000000"/>
          <w:kern w:val="22"/>
          <w:szCs w:val="22"/>
          <w:lang w:eastAsia="ko-KR"/>
        </w:rPr>
      </w:pPr>
      <w:r w:rsidRPr="00A46BB1">
        <w:rPr>
          <w:snapToGrid w:val="0"/>
          <w:color w:val="000000"/>
          <w:kern w:val="22"/>
          <w:szCs w:val="22"/>
        </w:rPr>
        <w:t>(c)</w:t>
      </w:r>
      <w:r w:rsidRPr="00A46BB1">
        <w:rPr>
          <w:snapToGrid w:val="0"/>
          <w:color w:val="000000"/>
          <w:kern w:val="22"/>
          <w:szCs w:val="22"/>
        </w:rPr>
        <w:tab/>
        <w:t xml:space="preserve">To submit the compilation of information referred to in subparagraph </w:t>
      </w:r>
      <w:r w:rsidR="0063625A">
        <w:rPr>
          <w:snapToGrid w:val="0"/>
          <w:color w:val="000000"/>
          <w:kern w:val="22"/>
          <w:szCs w:val="22"/>
        </w:rPr>
        <w:t>7</w:t>
      </w:r>
      <w:r w:rsidRPr="00A46BB1">
        <w:rPr>
          <w:snapToGrid w:val="0"/>
          <w:color w:val="000000"/>
          <w:kern w:val="22"/>
          <w:szCs w:val="22"/>
        </w:rPr>
        <w:t xml:space="preserve">(a) and </w:t>
      </w:r>
      <w:r w:rsidRPr="00A46BB1">
        <w:rPr>
          <w:bCs/>
          <w:snapToGrid w:val="0"/>
          <w:color w:val="000000"/>
          <w:kern w:val="22"/>
          <w:szCs w:val="22"/>
        </w:rPr>
        <w:t xml:space="preserve">the report of the expert workshop referred to in subparagraph </w:t>
      </w:r>
      <w:r w:rsidR="0063625A">
        <w:rPr>
          <w:bCs/>
          <w:snapToGrid w:val="0"/>
          <w:color w:val="000000"/>
          <w:kern w:val="22"/>
          <w:szCs w:val="22"/>
        </w:rPr>
        <w:t>7</w:t>
      </w:r>
      <w:r w:rsidRPr="00A46BB1">
        <w:rPr>
          <w:bCs/>
          <w:snapToGrid w:val="0"/>
          <w:color w:val="000000"/>
          <w:kern w:val="22"/>
          <w:szCs w:val="22"/>
        </w:rPr>
        <w:t xml:space="preserve">(b) above for consideration by the Subsidiary Body on Scientific, Technical and Technological Advice at a future meeting held prior to the fourteenth meeting of the Conference of the </w:t>
      </w:r>
      <w:proofErr w:type="gramStart"/>
      <w:r w:rsidRPr="00A46BB1">
        <w:rPr>
          <w:bCs/>
          <w:snapToGrid w:val="0"/>
          <w:color w:val="000000"/>
          <w:kern w:val="22"/>
          <w:szCs w:val="22"/>
        </w:rPr>
        <w:t>Parties;</w:t>
      </w:r>
      <w:proofErr w:type="gramEnd"/>
    </w:p>
    <w:p w14:paraId="71DA65BD" w14:textId="77777777" w:rsidR="00502B07" w:rsidRPr="00A46BB1" w:rsidRDefault="00502B07" w:rsidP="00502B07">
      <w:pPr>
        <w:suppressLineNumbers/>
        <w:suppressAutoHyphens/>
        <w:spacing w:before="120" w:after="120" w:line="228" w:lineRule="auto"/>
        <w:ind w:firstLine="720"/>
        <w:rPr>
          <w:b/>
          <w:snapToGrid w:val="0"/>
          <w:color w:val="000000"/>
          <w:kern w:val="22"/>
          <w:szCs w:val="22"/>
          <w:lang w:eastAsia="ko-KR"/>
        </w:rPr>
      </w:pPr>
      <w:r w:rsidRPr="00A46BB1">
        <w:rPr>
          <w:snapToGrid w:val="0"/>
          <w:color w:val="000000"/>
          <w:kern w:val="22"/>
          <w:szCs w:val="22"/>
          <w:lang w:eastAsia="ko-KR"/>
        </w:rPr>
        <w:t>8.</w:t>
      </w:r>
      <w:r w:rsidRPr="00A46BB1">
        <w:rPr>
          <w:b/>
          <w:snapToGrid w:val="0"/>
          <w:color w:val="000000"/>
          <w:kern w:val="22"/>
          <w:szCs w:val="22"/>
          <w:lang w:eastAsia="ko-KR"/>
        </w:rPr>
        <w:tab/>
      </w:r>
      <w:r w:rsidRPr="00A46BB1">
        <w:rPr>
          <w:i/>
          <w:snapToGrid w:val="0"/>
          <w:kern w:val="22"/>
          <w:szCs w:val="22"/>
        </w:rPr>
        <w:t>Recalling</w:t>
      </w:r>
      <w:r w:rsidRPr="00A46BB1">
        <w:rPr>
          <w:snapToGrid w:val="0"/>
          <w:kern w:val="22"/>
          <w:szCs w:val="22"/>
        </w:rPr>
        <w:t xml:space="preserve"> paragraph 25 of decision XI/17, </w:t>
      </w:r>
      <w:r w:rsidRPr="00A46BB1">
        <w:rPr>
          <w:i/>
          <w:snapToGrid w:val="0"/>
          <w:kern w:val="22"/>
          <w:szCs w:val="22"/>
        </w:rPr>
        <w:t xml:space="preserve">invites </w:t>
      </w:r>
      <w:r w:rsidRPr="00A46BB1">
        <w:rPr>
          <w:snapToGrid w:val="0"/>
          <w:kern w:val="22"/>
          <w:szCs w:val="22"/>
        </w:rPr>
        <w:t xml:space="preserve">Parties, indigenous peoples and local communities, relevant organizations and scientific groups to provide information and experiences regarding criteria for socially or culturally significant marine areas and for their conservation and sustainable use, both in their own right, and, in particular, where they coincide with areas meeting the criteria for ecologically or biologically significant areas or other similar criteria, and </w:t>
      </w:r>
      <w:r w:rsidRPr="00A46BB1">
        <w:rPr>
          <w:i/>
          <w:snapToGrid w:val="0"/>
          <w:kern w:val="22"/>
          <w:szCs w:val="22"/>
        </w:rPr>
        <w:t>requests</w:t>
      </w:r>
      <w:r w:rsidRPr="00A46BB1">
        <w:rPr>
          <w:snapToGrid w:val="0"/>
          <w:kern w:val="22"/>
          <w:szCs w:val="22"/>
        </w:rPr>
        <w:t xml:space="preserve"> the Executive Secretary to compile this information and make it available through the clearing-house mechanism;</w:t>
      </w:r>
    </w:p>
    <w:p w14:paraId="627E019D" w14:textId="77777777" w:rsidR="00502B07" w:rsidRPr="00A46BB1" w:rsidRDefault="00502B07" w:rsidP="00502B07">
      <w:pPr>
        <w:keepNext/>
        <w:suppressLineNumbers/>
        <w:suppressAutoHyphens/>
        <w:spacing w:before="120" w:after="120" w:line="228" w:lineRule="auto"/>
        <w:outlineLvl w:val="0"/>
        <w:rPr>
          <w:b/>
          <w:snapToGrid w:val="0"/>
          <w:color w:val="000000"/>
          <w:kern w:val="22"/>
          <w:szCs w:val="22"/>
          <w:lang w:eastAsia="ko-KR"/>
        </w:rPr>
      </w:pPr>
      <w:r w:rsidRPr="00A46BB1">
        <w:rPr>
          <w:b/>
          <w:snapToGrid w:val="0"/>
          <w:color w:val="000000"/>
          <w:kern w:val="22"/>
          <w:szCs w:val="22"/>
          <w:lang w:eastAsia="ko-KR"/>
        </w:rPr>
        <w:t>Capacity-development and partnership activities</w:t>
      </w:r>
    </w:p>
    <w:p w14:paraId="1710CAEA"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lang w:eastAsia="ko-KR"/>
        </w:rPr>
        <w:t>9.</w:t>
      </w:r>
      <w:r w:rsidRPr="00A46BB1">
        <w:rPr>
          <w:snapToGrid w:val="0"/>
          <w:color w:val="000000"/>
          <w:kern w:val="22"/>
          <w:szCs w:val="22"/>
          <w:lang w:eastAsia="ko-KR"/>
        </w:rPr>
        <w:tab/>
      </w:r>
      <w:r w:rsidRPr="00A46BB1">
        <w:rPr>
          <w:i/>
          <w:snapToGrid w:val="0"/>
          <w:color w:val="000000"/>
          <w:kern w:val="22"/>
          <w:szCs w:val="22"/>
        </w:rPr>
        <w:t>Welcomes</w:t>
      </w:r>
      <w:r w:rsidRPr="00A46BB1">
        <w:rPr>
          <w:snapToGrid w:val="0"/>
          <w:color w:val="000000"/>
          <w:kern w:val="22"/>
          <w:szCs w:val="22"/>
        </w:rPr>
        <w:t xml:space="preserve"> the capacity</w:t>
      </w:r>
      <w:r w:rsidRPr="00A46BB1">
        <w:rPr>
          <w:snapToGrid w:val="0"/>
          <w:color w:val="000000"/>
          <w:kern w:val="22"/>
          <w:szCs w:val="22"/>
        </w:rPr>
        <w:noBreakHyphen/>
        <w:t xml:space="preserve">building and partnership activities being facilitated by the Executive Secretary through the Sustainable Ocean Initiative at the national, regional and global levels in collaboration with Parties and relevant organizations, and </w:t>
      </w:r>
      <w:r w:rsidRPr="00A46BB1">
        <w:rPr>
          <w:i/>
          <w:iCs/>
          <w:snapToGrid w:val="0"/>
          <w:color w:val="000000"/>
          <w:kern w:val="22"/>
          <w:szCs w:val="22"/>
        </w:rPr>
        <w:t>e</w:t>
      </w:r>
      <w:r w:rsidRPr="00A46BB1">
        <w:rPr>
          <w:i/>
          <w:snapToGrid w:val="0"/>
          <w:color w:val="000000"/>
          <w:kern w:val="22"/>
          <w:szCs w:val="22"/>
        </w:rPr>
        <w:t>xpresses</w:t>
      </w:r>
      <w:r w:rsidRPr="00A46BB1">
        <w:rPr>
          <w:snapToGrid w:val="0"/>
          <w:color w:val="000000"/>
          <w:kern w:val="22"/>
          <w:szCs w:val="22"/>
        </w:rPr>
        <w:t xml:space="preserve"> </w:t>
      </w:r>
      <w:r w:rsidRPr="00A46BB1">
        <w:rPr>
          <w:i/>
          <w:snapToGrid w:val="0"/>
          <w:color w:val="000000"/>
          <w:kern w:val="22"/>
          <w:szCs w:val="22"/>
        </w:rPr>
        <w:t>its gratitude</w:t>
      </w:r>
      <w:r w:rsidRPr="00A46BB1">
        <w:rPr>
          <w:snapToGrid w:val="0"/>
          <w:color w:val="000000"/>
          <w:kern w:val="22"/>
          <w:szCs w:val="22"/>
        </w:rPr>
        <w:t xml:space="preserve"> to the Governments of Japan, France and </w:t>
      </w:r>
      <w:r w:rsidRPr="00A46BB1">
        <w:rPr>
          <w:bCs/>
          <w:snapToGrid w:val="0"/>
          <w:color w:val="000000"/>
          <w:kern w:val="22"/>
          <w:szCs w:val="22"/>
        </w:rPr>
        <w:t xml:space="preserve">the Republic of Korea and many other partners </w:t>
      </w:r>
      <w:r w:rsidRPr="00A46BB1">
        <w:rPr>
          <w:snapToGrid w:val="0"/>
          <w:color w:val="000000"/>
          <w:kern w:val="22"/>
          <w:szCs w:val="22"/>
        </w:rPr>
        <w:t>for providing financial and technical support for the implementation of activities related to the Sustainable Ocean Initiative;</w:t>
      </w:r>
    </w:p>
    <w:p w14:paraId="7A45358A" w14:textId="77777777" w:rsidR="00502B07" w:rsidRPr="00A46BB1" w:rsidRDefault="00502B07" w:rsidP="00502B07">
      <w:pPr>
        <w:suppressLineNumbers/>
        <w:suppressAutoHyphens/>
        <w:spacing w:before="120" w:after="120" w:line="228" w:lineRule="auto"/>
        <w:ind w:firstLine="720"/>
        <w:rPr>
          <w:snapToGrid w:val="0"/>
          <w:color w:val="000000"/>
          <w:kern w:val="22"/>
          <w:szCs w:val="22"/>
        </w:rPr>
      </w:pPr>
      <w:r w:rsidRPr="00A46BB1">
        <w:rPr>
          <w:snapToGrid w:val="0"/>
          <w:color w:val="000000"/>
          <w:kern w:val="22"/>
          <w:szCs w:val="22"/>
        </w:rPr>
        <w:t>10.</w:t>
      </w:r>
      <w:r w:rsidRPr="00A46BB1">
        <w:rPr>
          <w:snapToGrid w:val="0"/>
          <w:color w:val="000000"/>
          <w:kern w:val="22"/>
          <w:szCs w:val="22"/>
        </w:rPr>
        <w:tab/>
      </w:r>
      <w:r w:rsidRPr="00A46BB1">
        <w:rPr>
          <w:i/>
          <w:snapToGrid w:val="0"/>
          <w:color w:val="000000"/>
          <w:kern w:val="22"/>
          <w:szCs w:val="22"/>
        </w:rPr>
        <w:t>Invites</w:t>
      </w:r>
      <w:r w:rsidRPr="00A46BB1">
        <w:rPr>
          <w:snapToGrid w:val="0"/>
          <w:color w:val="000000"/>
          <w:kern w:val="22"/>
          <w:szCs w:val="22"/>
        </w:rPr>
        <w:t xml:space="preserve"> Parties, other Governments and relevant organizations to cooperate for the timely and effective implementation of capacity development activities through the Sustainable Ocean </w:t>
      </w:r>
      <w:proofErr w:type="gramStart"/>
      <w:r w:rsidRPr="00A46BB1">
        <w:rPr>
          <w:snapToGrid w:val="0"/>
          <w:color w:val="000000"/>
          <w:kern w:val="22"/>
          <w:szCs w:val="22"/>
        </w:rPr>
        <w:t>Initiative;</w:t>
      </w:r>
      <w:proofErr w:type="gramEnd"/>
    </w:p>
    <w:p w14:paraId="4C23FAB9" w14:textId="77777777" w:rsidR="00502B07" w:rsidRPr="00A46BB1" w:rsidRDefault="00502B07" w:rsidP="00502B07">
      <w:pPr>
        <w:pStyle w:val="Para1"/>
        <w:keepNext/>
        <w:numPr>
          <w:ilvl w:val="0"/>
          <w:numId w:val="0"/>
        </w:numPr>
        <w:suppressLineNumbers/>
        <w:suppressAutoHyphens/>
        <w:spacing w:line="228" w:lineRule="auto"/>
        <w:outlineLvl w:val="0"/>
        <w:rPr>
          <w:b/>
          <w:color w:val="000000"/>
          <w:kern w:val="22"/>
          <w:szCs w:val="22"/>
        </w:rPr>
      </w:pPr>
      <w:r w:rsidRPr="00A46BB1">
        <w:rPr>
          <w:b/>
          <w:color w:val="000000"/>
          <w:kern w:val="22"/>
          <w:szCs w:val="22"/>
        </w:rPr>
        <w:t>Facilitating the monitoring of progress in the implementation of Target 6</w:t>
      </w:r>
    </w:p>
    <w:p w14:paraId="1B567456" w14:textId="77777777" w:rsidR="00502B07" w:rsidRPr="00A46BB1" w:rsidRDefault="00502B07" w:rsidP="00502B07">
      <w:pPr>
        <w:ind w:firstLine="720"/>
        <w:rPr>
          <w:snapToGrid w:val="0"/>
          <w:color w:val="000000"/>
          <w:kern w:val="22"/>
          <w:szCs w:val="22"/>
        </w:rPr>
      </w:pPr>
      <w:r w:rsidRPr="00A46BB1">
        <w:rPr>
          <w:snapToGrid w:val="0"/>
          <w:color w:val="000000"/>
          <w:kern w:val="22"/>
          <w:szCs w:val="22"/>
        </w:rPr>
        <w:t>11.</w:t>
      </w:r>
      <w:r w:rsidRPr="00A46BB1">
        <w:rPr>
          <w:snapToGrid w:val="0"/>
          <w:color w:val="000000"/>
          <w:kern w:val="22"/>
          <w:szCs w:val="22"/>
        </w:rPr>
        <w:tab/>
      </w:r>
      <w:r w:rsidRPr="00A46BB1">
        <w:rPr>
          <w:i/>
          <w:snapToGrid w:val="0"/>
          <w:color w:val="000000"/>
          <w:kern w:val="22"/>
          <w:szCs w:val="22"/>
        </w:rPr>
        <w:t>Welcomes</w:t>
      </w:r>
      <w:r w:rsidRPr="00A46BB1">
        <w:rPr>
          <w:snapToGrid w:val="0"/>
          <w:color w:val="000000"/>
          <w:kern w:val="22"/>
          <w:szCs w:val="22"/>
        </w:rPr>
        <w:t xml:space="preserve"> the report of the Expert Meeting on Improving Progress Reporting and Working Towards Implementation of Aichi Biodiversity Target 6, held in Rome from 9 to </w:t>
      </w:r>
      <w:r w:rsidRPr="00A46BB1">
        <w:rPr>
          <w:snapToGrid w:val="0"/>
          <w:color w:val="000000"/>
          <w:kern w:val="22"/>
          <w:szCs w:val="22"/>
        </w:rPr>
        <w:lastRenderedPageBreak/>
        <w:t>11 February 2016,</w:t>
      </w:r>
      <w:r w:rsidRPr="00A46BB1">
        <w:rPr>
          <w:rStyle w:val="FootnoteReference"/>
          <w:snapToGrid w:val="0"/>
          <w:color w:val="000000"/>
          <w:kern w:val="22"/>
          <w:sz w:val="22"/>
          <w:szCs w:val="22"/>
          <w:u w:val="none"/>
          <w:vertAlign w:val="superscript"/>
        </w:rPr>
        <w:footnoteReference w:id="2"/>
      </w:r>
      <w:r w:rsidRPr="00A46BB1">
        <w:rPr>
          <w:snapToGrid w:val="0"/>
          <w:color w:val="000000"/>
          <w:kern w:val="22"/>
          <w:szCs w:val="22"/>
        </w:rPr>
        <w:t xml:space="preserve"> and </w:t>
      </w:r>
      <w:r w:rsidRPr="00A46BB1">
        <w:rPr>
          <w:i/>
          <w:snapToGrid w:val="0"/>
          <w:color w:val="000000"/>
          <w:kern w:val="22"/>
          <w:szCs w:val="22"/>
        </w:rPr>
        <w:t>encourages</w:t>
      </w:r>
      <w:r w:rsidRPr="00A46BB1">
        <w:rPr>
          <w:snapToGrid w:val="0"/>
          <w:color w:val="000000"/>
          <w:kern w:val="22"/>
          <w:szCs w:val="22"/>
        </w:rPr>
        <w:t xml:space="preserve"> Parties, other Governments, the Food and Agriculture Organization of the United Nations and regional fishery bodies to consider the results of this meeting as a basis for their collaboration and cooperation towards accelerating and monitoring the progress in the implementation of Target 6, in line with the decision on mainstreaming biodiversity in fisheries.</w:t>
      </w:r>
      <w:r w:rsidRPr="00A46BB1">
        <w:rPr>
          <w:rStyle w:val="FootnoteReference"/>
          <w:snapToGrid w:val="0"/>
          <w:color w:val="000000"/>
          <w:kern w:val="22"/>
          <w:sz w:val="22"/>
          <w:szCs w:val="22"/>
          <w:u w:val="none"/>
          <w:vertAlign w:val="superscript"/>
        </w:rPr>
        <w:footnoteReference w:id="3"/>
      </w:r>
    </w:p>
    <w:p w14:paraId="5EB9B4A6" w14:textId="77777777" w:rsidR="00ED4136" w:rsidRPr="00832796" w:rsidRDefault="00ED4136" w:rsidP="00A46BB1">
      <w:pPr>
        <w:rPr>
          <w:snapToGrid w:val="0"/>
          <w:color w:val="000000"/>
          <w:kern w:val="22"/>
          <w:szCs w:val="22"/>
        </w:rPr>
      </w:pPr>
    </w:p>
    <w:p w14:paraId="155420FE" w14:textId="77777777" w:rsidR="00736BC2" w:rsidRPr="00A46BB1" w:rsidRDefault="00502B07" w:rsidP="00502B07">
      <w:pPr>
        <w:jc w:val="center"/>
        <w:rPr>
          <w:szCs w:val="22"/>
        </w:rPr>
      </w:pPr>
      <w:r w:rsidRPr="00832796">
        <w:rPr>
          <w:snapToGrid w:val="0"/>
          <w:color w:val="000000"/>
          <w:kern w:val="22"/>
          <w:szCs w:val="22"/>
        </w:rPr>
        <w:t>__________</w:t>
      </w:r>
    </w:p>
    <w:sectPr w:rsidR="00736BC2" w:rsidRPr="00A46BB1" w:rsidSect="00CA6B87">
      <w:headerReference w:type="even" r:id="rId10"/>
      <w:headerReference w:type="default" r:id="rId11"/>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5449B" w14:textId="77777777" w:rsidR="00DC5203" w:rsidRDefault="00DC5203">
      <w:r>
        <w:separator/>
      </w:r>
    </w:p>
  </w:endnote>
  <w:endnote w:type="continuationSeparator" w:id="0">
    <w:p w14:paraId="4C40B665" w14:textId="77777777" w:rsidR="00DC5203" w:rsidRDefault="00DC5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5BA96" w14:textId="77777777" w:rsidR="00DC5203" w:rsidRDefault="00DC5203">
      <w:r>
        <w:separator/>
      </w:r>
    </w:p>
  </w:footnote>
  <w:footnote w:type="continuationSeparator" w:id="0">
    <w:p w14:paraId="5DFEF442" w14:textId="77777777" w:rsidR="00DC5203" w:rsidRDefault="00DC5203">
      <w:r>
        <w:continuationSeparator/>
      </w:r>
    </w:p>
  </w:footnote>
  <w:footnote w:id="1">
    <w:p w14:paraId="6C1E395F" w14:textId="77777777" w:rsidR="00502B07" w:rsidRPr="00ED4136" w:rsidRDefault="00502B07" w:rsidP="00ED4136">
      <w:pPr>
        <w:pStyle w:val="FootnoteText"/>
        <w:adjustRightInd w:val="0"/>
        <w:ind w:firstLine="0"/>
        <w:jc w:val="left"/>
        <w:rPr>
          <w:snapToGrid w:val="0"/>
          <w:kern w:val="18"/>
          <w:szCs w:val="18"/>
        </w:rPr>
      </w:pPr>
      <w:r w:rsidRPr="00ED4136">
        <w:rPr>
          <w:rStyle w:val="FootnoteReference"/>
          <w:snapToGrid w:val="0"/>
          <w:kern w:val="18"/>
          <w:szCs w:val="18"/>
          <w:u w:val="none"/>
          <w:vertAlign w:val="superscript"/>
        </w:rPr>
        <w:footnoteRef/>
      </w:r>
      <w:r w:rsidRPr="00ED4136">
        <w:rPr>
          <w:snapToGrid w:val="0"/>
          <w:kern w:val="18"/>
          <w:szCs w:val="18"/>
        </w:rPr>
        <w:t xml:space="preserve"> See </w:t>
      </w:r>
      <w:hyperlink r:id="rId1" w:history="1">
        <w:r w:rsidRPr="00ED4136">
          <w:rPr>
            <w:rStyle w:val="Hyperlink"/>
            <w:snapToGrid w:val="0"/>
            <w:kern w:val="18"/>
            <w:szCs w:val="18"/>
          </w:rPr>
          <w:t>UNEP/CBD/S</w:t>
        </w:r>
        <w:r w:rsidRPr="00ED4136">
          <w:rPr>
            <w:rStyle w:val="Hyperlink"/>
            <w:snapToGrid w:val="0"/>
            <w:kern w:val="18"/>
            <w:szCs w:val="18"/>
          </w:rPr>
          <w:t>B</w:t>
        </w:r>
        <w:r w:rsidRPr="00ED4136">
          <w:rPr>
            <w:rStyle w:val="Hyperlink"/>
            <w:snapToGrid w:val="0"/>
            <w:kern w:val="18"/>
            <w:szCs w:val="18"/>
          </w:rPr>
          <w:t>STTA/20/INF/6</w:t>
        </w:r>
      </w:hyperlink>
      <w:r w:rsidRPr="00ED4136">
        <w:rPr>
          <w:snapToGrid w:val="0"/>
          <w:kern w:val="18"/>
          <w:szCs w:val="18"/>
        </w:rPr>
        <w:t>.</w:t>
      </w:r>
    </w:p>
  </w:footnote>
  <w:footnote w:id="2">
    <w:p w14:paraId="5E8BDB3C" w14:textId="77777777" w:rsidR="00502B07" w:rsidRPr="00E95F8B" w:rsidRDefault="00502B07" w:rsidP="00ED4136">
      <w:pPr>
        <w:pStyle w:val="FootnoteText"/>
        <w:adjustRightInd w:val="0"/>
        <w:ind w:firstLine="0"/>
        <w:jc w:val="left"/>
        <w:rPr>
          <w:snapToGrid w:val="0"/>
          <w:kern w:val="18"/>
          <w:szCs w:val="18"/>
        </w:rPr>
      </w:pPr>
      <w:r w:rsidRPr="00E95F8B">
        <w:rPr>
          <w:rStyle w:val="FootnoteReference"/>
          <w:snapToGrid w:val="0"/>
          <w:kern w:val="18"/>
          <w:szCs w:val="18"/>
          <w:vertAlign w:val="superscript"/>
        </w:rPr>
        <w:footnoteRef/>
      </w:r>
      <w:r w:rsidRPr="00E95F8B">
        <w:rPr>
          <w:snapToGrid w:val="0"/>
          <w:kern w:val="18"/>
          <w:szCs w:val="18"/>
        </w:rPr>
        <w:t xml:space="preserve"> </w:t>
      </w:r>
      <w:hyperlink r:id="rId2" w:history="1">
        <w:r w:rsidRPr="00E95F8B">
          <w:rPr>
            <w:rStyle w:val="Hyperlink"/>
            <w:snapToGrid w:val="0"/>
            <w:kern w:val="18"/>
            <w:szCs w:val="18"/>
          </w:rPr>
          <w:t>UNEP/CBD/SBSTTA/20/INF/27</w:t>
        </w:r>
      </w:hyperlink>
      <w:r w:rsidRPr="00E95F8B">
        <w:rPr>
          <w:snapToGrid w:val="0"/>
          <w:kern w:val="18"/>
          <w:szCs w:val="18"/>
        </w:rPr>
        <w:t>.</w:t>
      </w:r>
    </w:p>
  </w:footnote>
  <w:footnote w:id="3">
    <w:p w14:paraId="36667207" w14:textId="77777777" w:rsidR="00502B07" w:rsidRPr="00ED4136" w:rsidRDefault="00502B07" w:rsidP="00ED4136">
      <w:pPr>
        <w:pStyle w:val="FootnoteText"/>
        <w:adjustRightInd w:val="0"/>
        <w:ind w:firstLine="0"/>
        <w:jc w:val="left"/>
        <w:rPr>
          <w:snapToGrid w:val="0"/>
          <w:kern w:val="18"/>
          <w:szCs w:val="18"/>
        </w:rPr>
      </w:pPr>
      <w:r w:rsidRPr="00E95F8B">
        <w:rPr>
          <w:rStyle w:val="FootnoteReference"/>
          <w:snapToGrid w:val="0"/>
          <w:kern w:val="18"/>
          <w:szCs w:val="18"/>
          <w:u w:val="none"/>
          <w:vertAlign w:val="superscript"/>
        </w:rPr>
        <w:footnoteRef/>
      </w:r>
      <w:r w:rsidRPr="00E95F8B">
        <w:rPr>
          <w:snapToGrid w:val="0"/>
          <w:kern w:val="18"/>
          <w:szCs w:val="18"/>
        </w:rPr>
        <w:t xml:space="preserve"> </w:t>
      </w:r>
      <w:r w:rsidR="00ED4136" w:rsidRPr="00E95F8B">
        <w:rPr>
          <w:snapToGrid w:val="0"/>
          <w:kern w:val="18"/>
          <w:szCs w:val="18"/>
        </w:rPr>
        <w:t>Decision XIII/</w:t>
      </w:r>
      <w:r w:rsidR="00E95F8B" w:rsidRPr="00E95F8B">
        <w:rPr>
          <w:snapToGrid w:val="0"/>
          <w:kern w:val="18"/>
          <w:szCs w:val="18"/>
        </w:rPr>
        <w:t>3</w:t>
      </w:r>
      <w:r w:rsidR="00ED4136">
        <w:rPr>
          <w:snapToGrid w:val="0"/>
          <w:kern w:val="18"/>
          <w:szCs w:val="18"/>
        </w:rPr>
        <w:t xml:space="preserve"> of the Conference of the Parties.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C4CD" w14:textId="77777777" w:rsidR="00736BC2" w:rsidRPr="00A46BB1" w:rsidRDefault="00736BC2" w:rsidP="00A46BB1">
    <w:pPr>
      <w:pStyle w:val="Header"/>
      <w:tabs>
        <w:tab w:val="clear" w:pos="4320"/>
        <w:tab w:val="clear" w:pos="8640"/>
      </w:tabs>
      <w:jc w:val="left"/>
      <w:rPr>
        <w:noProof/>
        <w:kern w:val="22"/>
      </w:rPr>
    </w:pPr>
    <w:r w:rsidRPr="00A46BB1">
      <w:rPr>
        <w:noProof/>
        <w:kern w:val="22"/>
      </w:rPr>
      <w:t>CBD/</w:t>
    </w:r>
    <w:r w:rsidR="00CA6B87" w:rsidRPr="00A46BB1">
      <w:rPr>
        <w:noProof/>
        <w:kern w:val="22"/>
      </w:rPr>
      <w:t>COP/</w:t>
    </w:r>
    <w:r w:rsidR="003B20AB" w:rsidRPr="00A46BB1">
      <w:rPr>
        <w:noProof/>
        <w:kern w:val="22"/>
      </w:rPr>
      <w:t>DEC/XIII/9</w:t>
    </w:r>
  </w:p>
  <w:p w14:paraId="2162C783" w14:textId="77777777" w:rsidR="00736BC2" w:rsidRPr="00A46BB1" w:rsidRDefault="00736BC2" w:rsidP="00A46BB1">
    <w:pPr>
      <w:pStyle w:val="Header"/>
      <w:tabs>
        <w:tab w:val="clear" w:pos="4320"/>
        <w:tab w:val="clear" w:pos="8640"/>
      </w:tabs>
      <w:jc w:val="left"/>
      <w:rPr>
        <w:rStyle w:val="PageNumber"/>
        <w:noProof/>
        <w:kern w:val="22"/>
      </w:rPr>
    </w:pPr>
    <w:r w:rsidRPr="00A46BB1">
      <w:rPr>
        <w:noProof/>
        <w:kern w:val="22"/>
      </w:rPr>
      <w:t xml:space="preserve">Page </w:t>
    </w:r>
    <w:r w:rsidRPr="00A46BB1">
      <w:rPr>
        <w:rStyle w:val="PageNumber"/>
        <w:noProof/>
        <w:kern w:val="22"/>
      </w:rPr>
      <w:fldChar w:fldCharType="begin"/>
    </w:r>
    <w:r w:rsidRPr="00A46BB1">
      <w:rPr>
        <w:rStyle w:val="PageNumber"/>
        <w:noProof/>
        <w:kern w:val="22"/>
      </w:rPr>
      <w:instrText xml:space="preserve"> PAGE </w:instrText>
    </w:r>
    <w:r w:rsidRPr="00A46BB1">
      <w:rPr>
        <w:rStyle w:val="PageNumber"/>
        <w:noProof/>
        <w:kern w:val="22"/>
      </w:rPr>
      <w:fldChar w:fldCharType="separate"/>
    </w:r>
    <w:r w:rsidR="0063625A">
      <w:rPr>
        <w:rStyle w:val="PageNumber"/>
        <w:noProof/>
        <w:kern w:val="22"/>
      </w:rPr>
      <w:t>2</w:t>
    </w:r>
    <w:r w:rsidRPr="00A46BB1">
      <w:rPr>
        <w:rStyle w:val="PageNumber"/>
        <w:noProof/>
        <w:kern w:val="22"/>
      </w:rPr>
      <w:fldChar w:fldCharType="end"/>
    </w:r>
  </w:p>
  <w:p w14:paraId="658CBAAA" w14:textId="77777777" w:rsidR="00736BC2" w:rsidRPr="00A46BB1" w:rsidRDefault="00736BC2" w:rsidP="00A46BB1">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9E69" w14:textId="77777777" w:rsidR="00736BC2" w:rsidRDefault="00736BC2" w:rsidP="00A46BB1">
    <w:pPr>
      <w:pStyle w:val="Header"/>
      <w:tabs>
        <w:tab w:val="clear" w:pos="4320"/>
        <w:tab w:val="clear" w:pos="8640"/>
      </w:tabs>
      <w:jc w:val="right"/>
      <w:rPr>
        <w:noProof/>
      </w:rPr>
    </w:pPr>
    <w:r>
      <w:rPr>
        <w:noProof/>
      </w:rPr>
      <w:t>CBD/</w:t>
    </w:r>
    <w:r w:rsidR="00CA6B87">
      <w:rPr>
        <w:noProof/>
      </w:rPr>
      <w:t>COP/</w:t>
    </w:r>
    <w:r w:rsidR="003B20AB">
      <w:rPr>
        <w:noProof/>
      </w:rPr>
      <w:t>DEC/XIII/9</w:t>
    </w:r>
  </w:p>
  <w:p w14:paraId="7BCFDBE9" w14:textId="77777777" w:rsidR="00736BC2" w:rsidRDefault="00736BC2" w:rsidP="00A46BB1">
    <w:pPr>
      <w:pStyle w:val="Header"/>
      <w:tabs>
        <w:tab w:val="clear" w:pos="4320"/>
        <w:tab w:val="clear" w:pos="8640"/>
      </w:tabs>
      <w:jc w:val="right"/>
      <w:rPr>
        <w:rStyle w:val="PageNumber"/>
        <w:noProof/>
      </w:rPr>
    </w:pPr>
    <w:r>
      <w:rPr>
        <w:noProof/>
      </w:rPr>
      <w:t xml:space="preserve">Page </w:t>
    </w:r>
    <w:r>
      <w:rPr>
        <w:rStyle w:val="PageNumber"/>
        <w:noProof/>
      </w:rPr>
      <w:fldChar w:fldCharType="begin"/>
    </w:r>
    <w:r>
      <w:rPr>
        <w:rStyle w:val="PageNumber"/>
        <w:noProof/>
      </w:rPr>
      <w:instrText xml:space="preserve"> PAGE </w:instrText>
    </w:r>
    <w:r>
      <w:rPr>
        <w:rStyle w:val="PageNumber"/>
        <w:noProof/>
      </w:rPr>
      <w:fldChar w:fldCharType="separate"/>
    </w:r>
    <w:r w:rsidR="0063625A">
      <w:rPr>
        <w:rStyle w:val="PageNumber"/>
        <w:noProof/>
      </w:rPr>
      <w:t>3</w:t>
    </w:r>
    <w:r>
      <w:rPr>
        <w:rStyle w:val="PageNumber"/>
        <w:noProof/>
      </w:rPr>
      <w:fldChar w:fldCharType="end"/>
    </w:r>
  </w:p>
  <w:p w14:paraId="70347B91" w14:textId="77777777" w:rsidR="00736BC2" w:rsidRDefault="00736BC2" w:rsidP="00A46BB1">
    <w:pPr>
      <w:pStyle w:val="Header"/>
      <w:tabs>
        <w:tab w:val="clear" w:pos="4320"/>
        <w:tab w:val="clear" w:pos="8640"/>
      </w:tabs>
      <w:jc w:val="right"/>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5C2C8A"/>
    <w:multiLevelType w:val="hybridMultilevel"/>
    <w:tmpl w:val="C00AEF9A"/>
    <w:lvl w:ilvl="0" w:tplc="89B464BC">
      <w:start w:val="1"/>
      <w:numFmt w:val="lowerRoman"/>
      <w:lvlText w:val="(%1)"/>
      <w:lvlJc w:val="righ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0725E"/>
    <w:multiLevelType w:val="hybridMultilevel"/>
    <w:tmpl w:val="EE527CA2"/>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AFC27B4"/>
    <w:multiLevelType w:val="hybridMultilevel"/>
    <w:tmpl w:val="2FE4984E"/>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5"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F8C755B"/>
    <w:multiLevelType w:val="hybridMultilevel"/>
    <w:tmpl w:val="9F5AD178"/>
    <w:lvl w:ilvl="0" w:tplc="9886B60A">
      <w:start w:val="1"/>
      <w:numFmt w:val="lowerLetter"/>
      <w:lvlText w:val="(%1)"/>
      <w:lvlJc w:val="left"/>
      <w:pPr>
        <w:ind w:left="720" w:hanging="360"/>
      </w:pPr>
      <w:rPr>
        <w:rFonts w:hint="default"/>
        <w:b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56015B"/>
    <w:multiLevelType w:val="hybridMultilevel"/>
    <w:tmpl w:val="47B42AD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A577307"/>
    <w:multiLevelType w:val="hybridMultilevel"/>
    <w:tmpl w:val="4CB0716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4AC6752"/>
    <w:multiLevelType w:val="hybridMultilevel"/>
    <w:tmpl w:val="E1A8688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5F5C79"/>
    <w:multiLevelType w:val="hybridMultilevel"/>
    <w:tmpl w:val="C674FD08"/>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04204807">
    <w:abstractNumId w:val="9"/>
  </w:num>
  <w:num w:numId="2" w16cid:durableId="1076782646">
    <w:abstractNumId w:val="10"/>
  </w:num>
  <w:num w:numId="3" w16cid:durableId="1651247754">
    <w:abstractNumId w:val="8"/>
  </w:num>
  <w:num w:numId="4" w16cid:durableId="15159179">
    <w:abstractNumId w:val="30"/>
  </w:num>
  <w:num w:numId="5" w16cid:durableId="1102918470">
    <w:abstractNumId w:val="11"/>
  </w:num>
  <w:num w:numId="6" w16cid:durableId="1339036820">
    <w:abstractNumId w:val="19"/>
  </w:num>
  <w:num w:numId="7" w16cid:durableId="398208729">
    <w:abstractNumId w:val="15"/>
  </w:num>
  <w:num w:numId="8" w16cid:durableId="109712261">
    <w:abstractNumId w:val="12"/>
  </w:num>
  <w:num w:numId="9" w16cid:durableId="37170557">
    <w:abstractNumId w:val="19"/>
  </w:num>
  <w:num w:numId="10" w16cid:durableId="1584489273">
    <w:abstractNumId w:val="18"/>
  </w:num>
  <w:num w:numId="11" w16cid:durableId="1436173055">
    <w:abstractNumId w:val="14"/>
  </w:num>
  <w:num w:numId="12" w16cid:durableId="1999841291">
    <w:abstractNumId w:val="6"/>
  </w:num>
  <w:num w:numId="13" w16cid:durableId="1840383561">
    <w:abstractNumId w:val="17"/>
  </w:num>
  <w:num w:numId="14" w16cid:durableId="1374117958">
    <w:abstractNumId w:val="0"/>
  </w:num>
  <w:num w:numId="15" w16cid:durableId="848643576">
    <w:abstractNumId w:val="31"/>
  </w:num>
  <w:num w:numId="16" w16cid:durableId="1859272117">
    <w:abstractNumId w:val="24"/>
  </w:num>
  <w:num w:numId="17" w16cid:durableId="424302035">
    <w:abstractNumId w:val="5"/>
  </w:num>
  <w:num w:numId="18" w16cid:durableId="1487280141">
    <w:abstractNumId w:val="19"/>
    <w:lvlOverride w:ilvl="0">
      <w:startOverride w:val="1"/>
    </w:lvlOverride>
    <w:lvlOverride w:ilvl="1">
      <w:startOverride w:val="1"/>
    </w:lvlOverride>
    <w:lvlOverride w:ilvl="2">
      <w:startOverride w:val="2"/>
    </w:lvlOverride>
  </w:num>
  <w:num w:numId="19" w16cid:durableId="1735663788">
    <w:abstractNumId w:val="19"/>
    <w:lvlOverride w:ilvl="0">
      <w:startOverride w:val="1"/>
    </w:lvlOverride>
    <w:lvlOverride w:ilvl="1">
      <w:startOverride w:val="1"/>
    </w:lvlOverride>
    <w:lvlOverride w:ilvl="2">
      <w:startOverride w:val="3"/>
    </w:lvlOverride>
  </w:num>
  <w:num w:numId="20" w16cid:durableId="695081421">
    <w:abstractNumId w:val="4"/>
  </w:num>
  <w:num w:numId="21" w16cid:durableId="206184128">
    <w:abstractNumId w:val="25"/>
  </w:num>
  <w:num w:numId="22" w16cid:durableId="1601647921">
    <w:abstractNumId w:val="22"/>
  </w:num>
  <w:num w:numId="23" w16cid:durableId="1167869210">
    <w:abstractNumId w:val="7"/>
  </w:num>
  <w:num w:numId="24" w16cid:durableId="1066731234">
    <w:abstractNumId w:val="26"/>
  </w:num>
  <w:num w:numId="25" w16cid:durableId="784887979">
    <w:abstractNumId w:val="28"/>
  </w:num>
  <w:num w:numId="26" w16cid:durableId="288361154">
    <w:abstractNumId w:val="16"/>
  </w:num>
  <w:num w:numId="27" w16cid:durableId="1462766013">
    <w:abstractNumId w:val="19"/>
  </w:num>
  <w:num w:numId="28" w16cid:durableId="1024593501">
    <w:abstractNumId w:val="19"/>
  </w:num>
  <w:num w:numId="29" w16cid:durableId="1084179190">
    <w:abstractNumId w:val="19"/>
  </w:num>
  <w:num w:numId="30" w16cid:durableId="195236495">
    <w:abstractNumId w:val="19"/>
  </w:num>
  <w:num w:numId="31" w16cid:durableId="450053364">
    <w:abstractNumId w:val="1"/>
  </w:num>
  <w:num w:numId="32" w16cid:durableId="219367739">
    <w:abstractNumId w:val="13"/>
  </w:num>
  <w:num w:numId="33" w16cid:durableId="727219992">
    <w:abstractNumId w:val="3"/>
  </w:num>
  <w:num w:numId="34" w16cid:durableId="418909208">
    <w:abstractNumId w:val="29"/>
  </w:num>
  <w:num w:numId="35" w16cid:durableId="665279545">
    <w:abstractNumId w:val="21"/>
  </w:num>
  <w:num w:numId="36" w16cid:durableId="976765929">
    <w:abstractNumId w:val="27"/>
  </w:num>
  <w:num w:numId="37" w16cid:durableId="119156066">
    <w:abstractNumId w:val="23"/>
  </w:num>
  <w:num w:numId="38" w16cid:durableId="1279026650">
    <w:abstractNumId w:val="20"/>
  </w:num>
  <w:num w:numId="39" w16cid:durableId="604583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37873"/>
    <w:rsid w:val="00047F08"/>
    <w:rsid w:val="000711E1"/>
    <w:rsid w:val="000F63AB"/>
    <w:rsid w:val="00175DD6"/>
    <w:rsid w:val="00270923"/>
    <w:rsid w:val="002C38B9"/>
    <w:rsid w:val="002D3F44"/>
    <w:rsid w:val="002E49B0"/>
    <w:rsid w:val="00317424"/>
    <w:rsid w:val="00317912"/>
    <w:rsid w:val="00321C86"/>
    <w:rsid w:val="003714EB"/>
    <w:rsid w:val="0037226A"/>
    <w:rsid w:val="003B20AB"/>
    <w:rsid w:val="003F6E44"/>
    <w:rsid w:val="00433755"/>
    <w:rsid w:val="00496664"/>
    <w:rsid w:val="004C265B"/>
    <w:rsid w:val="00502B07"/>
    <w:rsid w:val="005955D2"/>
    <w:rsid w:val="005A415B"/>
    <w:rsid w:val="005D088E"/>
    <w:rsid w:val="00604C8D"/>
    <w:rsid w:val="0063625A"/>
    <w:rsid w:val="006507F2"/>
    <w:rsid w:val="00730AE3"/>
    <w:rsid w:val="00736BC2"/>
    <w:rsid w:val="0079325E"/>
    <w:rsid w:val="007B0252"/>
    <w:rsid w:val="00805724"/>
    <w:rsid w:val="00832796"/>
    <w:rsid w:val="0087487A"/>
    <w:rsid w:val="00927C82"/>
    <w:rsid w:val="00A2365C"/>
    <w:rsid w:val="00A46BB1"/>
    <w:rsid w:val="00B271A0"/>
    <w:rsid w:val="00B71802"/>
    <w:rsid w:val="00B7425D"/>
    <w:rsid w:val="00BA1498"/>
    <w:rsid w:val="00BC2F67"/>
    <w:rsid w:val="00BC7C49"/>
    <w:rsid w:val="00C203C0"/>
    <w:rsid w:val="00C31FC0"/>
    <w:rsid w:val="00C376D7"/>
    <w:rsid w:val="00CA6B87"/>
    <w:rsid w:val="00D4168F"/>
    <w:rsid w:val="00D85516"/>
    <w:rsid w:val="00D924B6"/>
    <w:rsid w:val="00DC5203"/>
    <w:rsid w:val="00E10F66"/>
    <w:rsid w:val="00E55B3B"/>
    <w:rsid w:val="00E62197"/>
    <w:rsid w:val="00E95F8B"/>
    <w:rsid w:val="00EA0B34"/>
    <w:rsid w:val="00EA7525"/>
    <w:rsid w:val="00ED4136"/>
    <w:rsid w:val="00EE51DB"/>
    <w:rsid w:val="00F26A60"/>
    <w:rsid w:val="00F43453"/>
    <w:rsid w:val="00FA65BD"/>
    <w:rsid w:val="00FC5D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5339B"/>
  <w15:chartTrackingRefBased/>
  <w15:docId w15:val="{88EE7B8E-E727-CD41-A455-30CCB518B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customStyle="1" w:styleId="CommentTextChar">
    <w:name w:val="Comment Text Char"/>
    <w:link w:val="CommentText"/>
    <w:rsid w:val="00A2365C"/>
    <w:rPr>
      <w:sz w:val="22"/>
      <w:szCs w:val="24"/>
      <w:lang w:val="en-GB"/>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styleId="Hyperlink">
    <w:name w:val="Hyperlink"/>
    <w:uiPriority w:val="99"/>
    <w:unhideWhenUsed/>
    <w:rsid w:val="00A2365C"/>
    <w:rPr>
      <w:color w:val="0000FF"/>
      <w:u w:val="single"/>
    </w:rPr>
  </w:style>
  <w:style w:type="character" w:customStyle="1" w:styleId="Para1Char">
    <w:name w:val="Para1 Char"/>
    <w:link w:val="Para1"/>
    <w:locked/>
    <w:rsid w:val="00A2365C"/>
    <w:rPr>
      <w:snapToGrid w:val="0"/>
      <w:sz w:val="22"/>
      <w:szCs w:val="18"/>
      <w:lang w:val="en-GB"/>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A2365C"/>
    <w:rPr>
      <w:sz w:val="18"/>
      <w:szCs w:val="24"/>
      <w:lang w:val="en-GB"/>
    </w:rPr>
  </w:style>
  <w:style w:type="character" w:customStyle="1" w:styleId="Heading1Char">
    <w:name w:val="Heading 1 Char"/>
    <w:link w:val="Heading1"/>
    <w:rsid w:val="00A2365C"/>
    <w:rPr>
      <w:b/>
      <w:caps/>
      <w:sz w:val="22"/>
      <w:szCs w:val="24"/>
      <w:lang w:val="en-GB"/>
    </w:rPr>
  </w:style>
  <w:style w:type="paragraph" w:customStyle="1" w:styleId="sub-item">
    <w:name w:val="sub-item"/>
    <w:basedOn w:val="Normal"/>
    <w:qFormat/>
    <w:rsid w:val="00A2365C"/>
    <w:pPr>
      <w:keepNext/>
      <w:spacing w:before="240" w:after="120"/>
      <w:ind w:hanging="11"/>
      <w:jc w:val="center"/>
    </w:pPr>
    <w:rPr>
      <w:b/>
      <w:kern w:val="22"/>
    </w:rPr>
  </w:style>
  <w:style w:type="paragraph" w:styleId="BalloonText">
    <w:name w:val="Balloon Text"/>
    <w:basedOn w:val="Normal"/>
    <w:link w:val="BalloonTextChar"/>
    <w:uiPriority w:val="99"/>
    <w:semiHidden/>
    <w:unhideWhenUsed/>
    <w:rsid w:val="00A2365C"/>
    <w:rPr>
      <w:sz w:val="18"/>
      <w:szCs w:val="18"/>
    </w:rPr>
  </w:style>
  <w:style w:type="character" w:customStyle="1" w:styleId="BalloonTextChar">
    <w:name w:val="Balloon Text Char"/>
    <w:link w:val="BalloonText"/>
    <w:uiPriority w:val="99"/>
    <w:semiHidden/>
    <w:rsid w:val="00A2365C"/>
    <w:rPr>
      <w:sz w:val="18"/>
      <w:szCs w:val="18"/>
      <w:lang w:val="en-GB"/>
    </w:rPr>
  </w:style>
  <w:style w:type="paragraph" w:styleId="CommentSubject">
    <w:name w:val="annotation subject"/>
    <w:basedOn w:val="CommentText"/>
    <w:next w:val="CommentText"/>
    <w:link w:val="CommentSubjectChar"/>
    <w:uiPriority w:val="99"/>
    <w:semiHidden/>
    <w:unhideWhenUsed/>
    <w:rsid w:val="004C265B"/>
    <w:pPr>
      <w:spacing w:after="0" w:line="240" w:lineRule="auto"/>
    </w:pPr>
    <w:rPr>
      <w:b/>
      <w:bCs/>
      <w:sz w:val="20"/>
      <w:szCs w:val="20"/>
    </w:rPr>
  </w:style>
  <w:style w:type="character" w:customStyle="1" w:styleId="CommentSubjectChar">
    <w:name w:val="Comment Subject Char"/>
    <w:link w:val="CommentSubject"/>
    <w:uiPriority w:val="99"/>
    <w:semiHidden/>
    <w:rsid w:val="004C265B"/>
    <w:rPr>
      <w:b/>
      <w:bCs/>
      <w:sz w:val="22"/>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www.cbd.int/doc/meetings/sbstta/sbstta-20/information/sbstta-20-inf-27-en.doc" TargetMode="External"/><Relationship Id="rId1" Type="http://schemas.openxmlformats.org/officeDocument/2006/relationships/hyperlink" Target="https://www.cbd.int/doc/meetings/sbstta/sbstta-20/information/sbstta-20-inf-05-en.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4</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Marine spatial planning and training initiatives</vt:lpstr>
    </vt:vector>
  </TitlesOfParts>
  <Company>Biodiversity</Company>
  <LinksUpToDate>false</LinksUpToDate>
  <CharactersWithSpaces>9798</CharactersWithSpaces>
  <SharedDoc>false</SharedDoc>
  <HyperlinkBase/>
  <HLinks>
    <vt:vector size="12" baseType="variant">
      <vt:variant>
        <vt:i4>5767170</vt:i4>
      </vt:variant>
      <vt:variant>
        <vt:i4>3</vt:i4>
      </vt:variant>
      <vt:variant>
        <vt:i4>0</vt:i4>
      </vt:variant>
      <vt:variant>
        <vt:i4>5</vt:i4>
      </vt:variant>
      <vt:variant>
        <vt:lpwstr>https://www.cbd.int/doc/meetings/sbstta/sbstta-20/information/sbstta-20-inf-27-en.doc</vt:lpwstr>
      </vt:variant>
      <vt:variant>
        <vt:lpwstr/>
      </vt:variant>
      <vt:variant>
        <vt:i4>5898240</vt:i4>
      </vt:variant>
      <vt:variant>
        <vt:i4>0</vt:i4>
      </vt:variant>
      <vt:variant>
        <vt:i4>0</vt:i4>
      </vt:variant>
      <vt:variant>
        <vt:i4>5</vt:i4>
      </vt:variant>
      <vt:variant>
        <vt:lpwstr>https://www.cbd.int/doc/meetings/sbstta/sbstta-20/information/sbstta-20-inf-05-en.doc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spatial planning and training initiatives</dc:title>
  <dc:subject/>
  <dc:creator>COP 13</dc:creator>
  <cp:keywords/>
  <cp:lastModifiedBy>Rodrigo Elias</cp:lastModifiedBy>
  <cp:revision>2</cp:revision>
  <cp:lastPrinted>2017-01-26T21:35:00Z</cp:lastPrinted>
  <dcterms:created xsi:type="dcterms:W3CDTF">2025-11-03T15:14:00Z</dcterms:created>
  <dcterms:modified xsi:type="dcterms:W3CDTF">2025-11-03T15:14:00Z</dcterms:modified>
</cp:coreProperties>
</file>