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459" w:type="dxa"/>
        <w:tblLayout w:type="fixed"/>
        <w:tblLook w:val="0000" w:firstRow="0" w:lastRow="0" w:firstColumn="0" w:lastColumn="0" w:noHBand="0" w:noVBand="0"/>
      </w:tblPr>
      <w:tblGrid>
        <w:gridCol w:w="1843"/>
        <w:gridCol w:w="1764"/>
        <w:gridCol w:w="2620"/>
        <w:gridCol w:w="861"/>
        <w:gridCol w:w="3544"/>
      </w:tblGrid>
      <w:tr w:rsidR="00786AE9" w:rsidRPr="003F6187" w14:paraId="6BF2E1E0" w14:textId="77777777" w:rsidTr="003F6187">
        <w:tc>
          <w:tcPr>
            <w:tcW w:w="1843" w:type="dxa"/>
            <w:tcBorders>
              <w:bottom w:val="single" w:sz="8" w:space="0" w:color="000000"/>
            </w:tcBorders>
          </w:tcPr>
          <w:p w14:paraId="1C69B59F" w14:textId="77777777" w:rsidR="00786AE9" w:rsidRPr="003F6187" w:rsidRDefault="000F51E3">
            <w:pPr>
              <w:pStyle w:val="Quotationtextindented"/>
              <w:snapToGrid w:val="0"/>
              <w:rPr>
                <w:snapToGrid w:val="0"/>
                <w:kern w:val="22"/>
              </w:rPr>
            </w:pPr>
            <w:r w:rsidRPr="003F6187">
              <w:rPr>
                <w:noProof/>
                <w:snapToGrid w:val="0"/>
                <w:kern w:val="22"/>
              </w:rPr>
              <w:drawing>
                <wp:inline distT="0" distB="0" distL="0" distR="0" wp14:anchorId="547D84E3" wp14:editId="531211D8">
                  <wp:extent cx="501650" cy="584200"/>
                  <wp:effectExtent l="0" t="0" r="0" b="0"/>
                  <wp:docPr id="1"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01650" cy="584200"/>
                          </a:xfrm>
                          <a:prstGeom prst="rect">
                            <a:avLst/>
                          </a:prstGeom>
                          <a:solidFill>
                            <a:srgbClr val="FFFFFF"/>
                          </a:solidFill>
                          <a:ln>
                            <a:noFill/>
                          </a:ln>
                        </pic:spPr>
                      </pic:pic>
                    </a:graphicData>
                  </a:graphic>
                </wp:inline>
              </w:drawing>
            </w:r>
          </w:p>
        </w:tc>
        <w:tc>
          <w:tcPr>
            <w:tcW w:w="1764" w:type="dxa"/>
            <w:tcBorders>
              <w:bottom w:val="single" w:sz="8" w:space="0" w:color="000000"/>
            </w:tcBorders>
          </w:tcPr>
          <w:p w14:paraId="1E695008" w14:textId="77777777" w:rsidR="00786AE9" w:rsidRPr="003F6187" w:rsidRDefault="000F51E3">
            <w:pPr>
              <w:snapToGrid w:val="0"/>
              <w:rPr>
                <w:rFonts w:ascii="Univers" w:hAnsi="Univers"/>
                <w:b/>
                <w:snapToGrid w:val="0"/>
                <w:kern w:val="22"/>
                <w:sz w:val="32"/>
              </w:rPr>
            </w:pPr>
            <w:r w:rsidRPr="003F6187">
              <w:rPr>
                <w:b/>
                <w:noProof/>
                <w:snapToGrid w:val="0"/>
                <w:kern w:val="22"/>
              </w:rPr>
              <w:drawing>
                <wp:inline distT="0" distB="0" distL="0" distR="0" wp14:anchorId="6D0E0C44" wp14:editId="4EF96E56">
                  <wp:extent cx="41535350" cy="558800"/>
                  <wp:effectExtent l="0" t="0" r="0" b="0"/>
                  <wp:docPr id="2"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8">
                            <a:extLst>
                              <a:ext uri="{28A0092B-C50C-407E-A947-70E740481C1C}">
                                <a14:useLocalDpi xmlns:a14="http://schemas.microsoft.com/office/drawing/2010/main" val="0"/>
                              </a:ext>
                            </a:extLst>
                          </a:blip>
                          <a:srcRect l="4388" r="4388"/>
                          <a:stretch>
                            <a:fillRect/>
                          </a:stretch>
                        </pic:blipFill>
                        <pic:spPr bwMode="auto">
                          <a:xfrm>
                            <a:off x="0" y="0"/>
                            <a:ext cx="41535350" cy="558800"/>
                          </a:xfrm>
                          <a:prstGeom prst="rect">
                            <a:avLst/>
                          </a:prstGeom>
                          <a:solidFill>
                            <a:srgbClr val="FFFFFF"/>
                          </a:solidFill>
                          <a:ln>
                            <a:noFill/>
                          </a:ln>
                        </pic:spPr>
                      </pic:pic>
                    </a:graphicData>
                  </a:graphic>
                </wp:inline>
              </w:drawing>
            </w:r>
          </w:p>
        </w:tc>
        <w:tc>
          <w:tcPr>
            <w:tcW w:w="7025" w:type="dxa"/>
            <w:gridSpan w:val="3"/>
            <w:tcBorders>
              <w:bottom w:val="single" w:sz="8" w:space="0" w:color="000000"/>
            </w:tcBorders>
          </w:tcPr>
          <w:p w14:paraId="49301062" w14:textId="77777777" w:rsidR="00786AE9" w:rsidRPr="003F6187" w:rsidRDefault="00786AE9">
            <w:pPr>
              <w:tabs>
                <w:tab w:val="right" w:pos="7611"/>
              </w:tabs>
              <w:snapToGrid w:val="0"/>
              <w:ind w:right="459"/>
              <w:jc w:val="right"/>
              <w:rPr>
                <w:rFonts w:ascii="Univers" w:hAnsi="Univers"/>
                <w:b/>
                <w:snapToGrid w:val="0"/>
                <w:kern w:val="22"/>
                <w:sz w:val="32"/>
              </w:rPr>
            </w:pPr>
            <w:r w:rsidRPr="003F6187">
              <w:rPr>
                <w:rFonts w:ascii="Univers" w:hAnsi="Univers"/>
                <w:b/>
                <w:snapToGrid w:val="0"/>
                <w:kern w:val="22"/>
                <w:sz w:val="32"/>
              </w:rPr>
              <w:t>CBD</w:t>
            </w:r>
          </w:p>
          <w:p w14:paraId="53F15265" w14:textId="77777777" w:rsidR="00786AE9" w:rsidRPr="003F6187" w:rsidRDefault="00786AE9" w:rsidP="003F6187">
            <w:pPr>
              <w:jc w:val="left"/>
              <w:rPr>
                <w:b/>
                <w:snapToGrid w:val="0"/>
                <w:kern w:val="22"/>
                <w:sz w:val="28"/>
              </w:rPr>
            </w:pPr>
          </w:p>
        </w:tc>
      </w:tr>
      <w:tr w:rsidR="00786AE9" w:rsidRPr="003F6187" w14:paraId="04FE8DEA" w14:textId="77777777" w:rsidTr="003F6187">
        <w:trPr>
          <w:trHeight w:val="1693"/>
        </w:trPr>
        <w:tc>
          <w:tcPr>
            <w:tcW w:w="6227" w:type="dxa"/>
            <w:gridSpan w:val="3"/>
            <w:tcBorders>
              <w:bottom w:val="single" w:sz="32" w:space="0" w:color="000000"/>
            </w:tcBorders>
          </w:tcPr>
          <w:p w14:paraId="5FD051DF" w14:textId="77777777" w:rsidR="00786AE9" w:rsidRPr="003F6187" w:rsidRDefault="00786AE9">
            <w:pPr>
              <w:snapToGrid w:val="0"/>
              <w:rPr>
                <w:snapToGrid w:val="0"/>
                <w:kern w:val="22"/>
                <w:sz w:val="28"/>
              </w:rPr>
            </w:pPr>
          </w:p>
          <w:p w14:paraId="55E1CFD2" w14:textId="77777777" w:rsidR="00786AE9" w:rsidRPr="003F6187" w:rsidRDefault="000F51E3">
            <w:pPr>
              <w:rPr>
                <w:rFonts w:ascii="Univers" w:hAnsi="Univers"/>
                <w:snapToGrid w:val="0"/>
                <w:kern w:val="22"/>
                <w:sz w:val="32"/>
              </w:rPr>
            </w:pPr>
            <w:r w:rsidRPr="003F6187">
              <w:rPr>
                <w:noProof/>
                <w:snapToGrid w:val="0"/>
                <w:kern w:val="22"/>
              </w:rPr>
              <w:drawing>
                <wp:inline distT="0" distB="0" distL="0" distR="0" wp14:anchorId="520AA6CB" wp14:editId="7DAD9382">
                  <wp:extent cx="2838450" cy="1079500"/>
                  <wp:effectExtent l="0" t="0" r="0" b="0"/>
                  <wp:docPr id="3"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38450" cy="1079500"/>
                          </a:xfrm>
                          <a:prstGeom prst="rect">
                            <a:avLst/>
                          </a:prstGeom>
                          <a:solidFill>
                            <a:srgbClr val="FFFFFF"/>
                          </a:solidFill>
                          <a:ln>
                            <a:noFill/>
                          </a:ln>
                        </pic:spPr>
                      </pic:pic>
                    </a:graphicData>
                  </a:graphic>
                </wp:inline>
              </w:drawing>
            </w:r>
          </w:p>
          <w:p w14:paraId="52EE9623" w14:textId="77777777" w:rsidR="00786AE9" w:rsidRPr="003F6187" w:rsidRDefault="00786AE9">
            <w:pPr>
              <w:rPr>
                <w:rFonts w:ascii="Univers" w:hAnsi="Univers"/>
                <w:snapToGrid w:val="0"/>
                <w:kern w:val="22"/>
                <w:sz w:val="32"/>
              </w:rPr>
            </w:pPr>
          </w:p>
        </w:tc>
        <w:tc>
          <w:tcPr>
            <w:tcW w:w="861" w:type="dxa"/>
            <w:tcBorders>
              <w:bottom w:val="single" w:sz="32" w:space="0" w:color="000000"/>
            </w:tcBorders>
          </w:tcPr>
          <w:p w14:paraId="2602974E" w14:textId="77777777" w:rsidR="00786AE9" w:rsidRPr="003F6187" w:rsidRDefault="00786AE9">
            <w:pPr>
              <w:pStyle w:val="Header"/>
              <w:tabs>
                <w:tab w:val="clear" w:pos="4320"/>
                <w:tab w:val="clear" w:pos="8640"/>
              </w:tabs>
              <w:snapToGrid w:val="0"/>
              <w:rPr>
                <w:b/>
                <w:snapToGrid w:val="0"/>
                <w:kern w:val="22"/>
                <w:sz w:val="32"/>
                <w:szCs w:val="32"/>
              </w:rPr>
            </w:pPr>
          </w:p>
        </w:tc>
        <w:tc>
          <w:tcPr>
            <w:tcW w:w="3544" w:type="dxa"/>
            <w:tcBorders>
              <w:bottom w:val="single" w:sz="32" w:space="0" w:color="000000"/>
            </w:tcBorders>
          </w:tcPr>
          <w:p w14:paraId="4C7355F7" w14:textId="77777777" w:rsidR="00786AE9" w:rsidRPr="003F6187" w:rsidRDefault="00786AE9" w:rsidP="003F6187">
            <w:pPr>
              <w:snapToGrid w:val="0"/>
              <w:ind w:left="459"/>
              <w:rPr>
                <w:snapToGrid w:val="0"/>
                <w:kern w:val="22"/>
                <w:szCs w:val="22"/>
              </w:rPr>
            </w:pPr>
            <w:r w:rsidRPr="003F6187">
              <w:rPr>
                <w:snapToGrid w:val="0"/>
                <w:kern w:val="22"/>
                <w:szCs w:val="22"/>
              </w:rPr>
              <w:t>Distr.</w:t>
            </w:r>
          </w:p>
          <w:p w14:paraId="7FB5BB45" w14:textId="77777777" w:rsidR="00786AE9" w:rsidRPr="003F6187" w:rsidRDefault="0043510B" w:rsidP="003F6187">
            <w:pPr>
              <w:ind w:left="459"/>
              <w:rPr>
                <w:snapToGrid w:val="0"/>
                <w:kern w:val="22"/>
                <w:szCs w:val="22"/>
              </w:rPr>
            </w:pPr>
            <w:r w:rsidRPr="003F6187">
              <w:rPr>
                <w:snapToGrid w:val="0"/>
                <w:kern w:val="22"/>
                <w:szCs w:val="22"/>
              </w:rPr>
              <w:t>GENERAL</w:t>
            </w:r>
          </w:p>
          <w:p w14:paraId="79DE3E66" w14:textId="77777777" w:rsidR="00786AE9" w:rsidRPr="003F6187" w:rsidRDefault="00786AE9" w:rsidP="003F6187">
            <w:pPr>
              <w:ind w:left="459"/>
              <w:rPr>
                <w:snapToGrid w:val="0"/>
                <w:kern w:val="22"/>
                <w:szCs w:val="22"/>
              </w:rPr>
            </w:pPr>
          </w:p>
          <w:p w14:paraId="5E0CC451" w14:textId="77777777" w:rsidR="00786AE9" w:rsidRPr="003F6187" w:rsidRDefault="00786AE9" w:rsidP="003F6187">
            <w:pPr>
              <w:ind w:left="459"/>
              <w:rPr>
                <w:snapToGrid w:val="0"/>
                <w:kern w:val="22"/>
                <w:szCs w:val="22"/>
              </w:rPr>
            </w:pPr>
            <w:r w:rsidRPr="003F6187">
              <w:rPr>
                <w:snapToGrid w:val="0"/>
                <w:kern w:val="22"/>
                <w:szCs w:val="22"/>
              </w:rPr>
              <w:t>CBD/COP/</w:t>
            </w:r>
            <w:r w:rsidR="00C33FE8" w:rsidRPr="003F6187">
              <w:rPr>
                <w:snapToGrid w:val="0"/>
                <w:kern w:val="22"/>
                <w:szCs w:val="22"/>
              </w:rPr>
              <w:t>DEC/XIII/13</w:t>
            </w:r>
          </w:p>
          <w:p w14:paraId="2AD43B9B" w14:textId="77777777" w:rsidR="00786AE9" w:rsidRPr="003F6187" w:rsidRDefault="00786AE9" w:rsidP="003F6187">
            <w:pPr>
              <w:ind w:left="459"/>
              <w:rPr>
                <w:snapToGrid w:val="0"/>
                <w:kern w:val="22"/>
                <w:szCs w:val="22"/>
              </w:rPr>
            </w:pPr>
            <w:r w:rsidRPr="003F6187">
              <w:rPr>
                <w:snapToGrid w:val="0"/>
                <w:kern w:val="22"/>
                <w:szCs w:val="22"/>
              </w:rPr>
              <w:t>13 December 2016</w:t>
            </w:r>
          </w:p>
          <w:p w14:paraId="2AFF7D88" w14:textId="77777777" w:rsidR="00786AE9" w:rsidRPr="003F6187" w:rsidRDefault="00786AE9" w:rsidP="003F6187">
            <w:pPr>
              <w:ind w:left="459"/>
              <w:rPr>
                <w:snapToGrid w:val="0"/>
                <w:kern w:val="22"/>
                <w:szCs w:val="22"/>
              </w:rPr>
            </w:pPr>
          </w:p>
          <w:p w14:paraId="267F842E" w14:textId="77777777" w:rsidR="00786AE9" w:rsidRPr="003F6187" w:rsidRDefault="00786AE9" w:rsidP="003F6187">
            <w:pPr>
              <w:ind w:left="459"/>
              <w:rPr>
                <w:snapToGrid w:val="0"/>
                <w:kern w:val="22"/>
                <w:szCs w:val="22"/>
              </w:rPr>
            </w:pPr>
            <w:r w:rsidRPr="003F6187">
              <w:rPr>
                <w:snapToGrid w:val="0"/>
                <w:kern w:val="22"/>
                <w:szCs w:val="22"/>
              </w:rPr>
              <w:t>ORIGINAL:  ENGLISH</w:t>
            </w:r>
          </w:p>
        </w:tc>
      </w:tr>
    </w:tbl>
    <w:p w14:paraId="3496FC23" w14:textId="77777777" w:rsidR="00786AE9" w:rsidRPr="003F6187" w:rsidRDefault="00786AE9">
      <w:pPr>
        <w:ind w:left="180" w:right="4869" w:hanging="180"/>
        <w:jc w:val="left"/>
        <w:rPr>
          <w:rFonts w:eastAsia="Malgun Gothic"/>
          <w:snapToGrid w:val="0"/>
          <w:kern w:val="22"/>
          <w:szCs w:val="22"/>
        </w:rPr>
      </w:pPr>
      <w:r w:rsidRPr="003F6187">
        <w:rPr>
          <w:rFonts w:eastAsia="Malgun Gothic"/>
          <w:snapToGrid w:val="0"/>
          <w:kern w:val="22"/>
          <w:szCs w:val="22"/>
        </w:rPr>
        <w:t>CONFERENCE OF THE PARTIES TO THE CONVENTION ON BIOLOGICAL DIVERSITY</w:t>
      </w:r>
    </w:p>
    <w:p w14:paraId="1F53920D" w14:textId="77777777" w:rsidR="00786AE9" w:rsidRPr="003F6187" w:rsidRDefault="00786AE9">
      <w:pPr>
        <w:ind w:left="284" w:right="4398" w:hanging="284"/>
        <w:jc w:val="left"/>
        <w:rPr>
          <w:rFonts w:eastAsia="Malgun Gothic"/>
          <w:snapToGrid w:val="0"/>
          <w:kern w:val="22"/>
          <w:szCs w:val="22"/>
        </w:rPr>
      </w:pPr>
      <w:r w:rsidRPr="003F6187">
        <w:rPr>
          <w:rFonts w:eastAsia="Malgun Gothic"/>
          <w:snapToGrid w:val="0"/>
          <w:kern w:val="22"/>
          <w:szCs w:val="22"/>
        </w:rPr>
        <w:t>Thirteenth meeting</w:t>
      </w:r>
    </w:p>
    <w:p w14:paraId="6416AD33" w14:textId="77777777" w:rsidR="00786AE9" w:rsidRPr="003F6187" w:rsidRDefault="00786AE9">
      <w:pPr>
        <w:rPr>
          <w:snapToGrid w:val="0"/>
          <w:kern w:val="22"/>
          <w:szCs w:val="22"/>
        </w:rPr>
      </w:pPr>
      <w:r w:rsidRPr="003F6187">
        <w:rPr>
          <w:snapToGrid w:val="0"/>
          <w:kern w:val="22"/>
          <w:szCs w:val="22"/>
        </w:rPr>
        <w:t>Cancun, Mexico, 4-17 December 2016</w:t>
      </w:r>
    </w:p>
    <w:p w14:paraId="54FF6B5F" w14:textId="77777777" w:rsidR="00786AE9" w:rsidRPr="003F6187" w:rsidRDefault="00786AE9">
      <w:pPr>
        <w:rPr>
          <w:snapToGrid w:val="0"/>
          <w:kern w:val="22"/>
          <w:szCs w:val="22"/>
        </w:rPr>
      </w:pPr>
      <w:r w:rsidRPr="003F6187">
        <w:rPr>
          <w:snapToGrid w:val="0"/>
          <w:kern w:val="22"/>
          <w:szCs w:val="22"/>
        </w:rPr>
        <w:t>Agenda item 16</w:t>
      </w:r>
    </w:p>
    <w:p w14:paraId="65C7004A" w14:textId="77777777" w:rsidR="0043510B" w:rsidRPr="003F6187" w:rsidRDefault="0043510B" w:rsidP="003F6187">
      <w:pPr>
        <w:pStyle w:val="Heading1"/>
        <w:suppressLineNumbers/>
        <w:tabs>
          <w:tab w:val="clear" w:pos="720"/>
        </w:tabs>
        <w:rPr>
          <w:snapToGrid w:val="0"/>
          <w:kern w:val="22"/>
          <w:szCs w:val="22"/>
          <w:lang w:eastAsia="ko-KR"/>
        </w:rPr>
      </w:pPr>
      <w:r w:rsidRPr="003F6187">
        <w:rPr>
          <w:snapToGrid w:val="0"/>
          <w:kern w:val="22"/>
          <w:szCs w:val="22"/>
        </w:rPr>
        <w:t>DECISION ADOPTED BY THE CONFERENCE OF THE PARTIES TO THE CONVENTION ON BIOLOGICAL DIVERSITY</w:t>
      </w:r>
    </w:p>
    <w:p w14:paraId="1E62FC7D" w14:textId="77777777" w:rsidR="00786AE9" w:rsidRPr="003F6187" w:rsidRDefault="00C33FE8" w:rsidP="003F6187">
      <w:pPr>
        <w:pStyle w:val="recommendationheaderlong"/>
        <w:tabs>
          <w:tab w:val="clear" w:pos="720"/>
        </w:tabs>
        <w:suppressAutoHyphens w:val="0"/>
        <w:rPr>
          <w:snapToGrid w:val="0"/>
          <w:kern w:val="22"/>
          <w:lang w:eastAsia="en-US"/>
        </w:rPr>
      </w:pPr>
      <w:r w:rsidRPr="003F6187">
        <w:rPr>
          <w:snapToGrid w:val="0"/>
          <w:kern w:val="22"/>
          <w:lang w:eastAsia="en-US"/>
        </w:rPr>
        <w:t>XIII/13</w:t>
      </w:r>
      <w:r w:rsidR="0043510B" w:rsidRPr="003F6187">
        <w:rPr>
          <w:snapToGrid w:val="0"/>
          <w:kern w:val="22"/>
          <w:lang w:eastAsia="en-US"/>
        </w:rPr>
        <w:t>.</w:t>
      </w:r>
      <w:r w:rsidR="0043510B" w:rsidRPr="003F6187">
        <w:rPr>
          <w:snapToGrid w:val="0"/>
          <w:kern w:val="22"/>
          <w:lang w:eastAsia="en-US"/>
        </w:rPr>
        <w:tab/>
      </w:r>
      <w:r w:rsidR="00786AE9" w:rsidRPr="003F6187">
        <w:rPr>
          <w:snapToGrid w:val="0"/>
          <w:kern w:val="22"/>
          <w:lang w:eastAsia="en-US"/>
        </w:rPr>
        <w:t>Invasive alien species: addressing risks associated with trade, experiences in the use of biological control agents, and decision support tools</w:t>
      </w:r>
    </w:p>
    <w:p w14:paraId="567D0693" w14:textId="77777777" w:rsidR="00786AE9" w:rsidRPr="003F6187" w:rsidRDefault="00786AE9">
      <w:pPr>
        <w:keepNext/>
        <w:keepLines/>
        <w:suppressLineNumbers/>
        <w:kinsoku w:val="0"/>
        <w:overflowPunct w:val="0"/>
        <w:autoSpaceDE w:val="0"/>
        <w:spacing w:before="120" w:after="120"/>
        <w:ind w:firstLine="720"/>
        <w:rPr>
          <w:i/>
          <w:snapToGrid w:val="0"/>
          <w:kern w:val="22"/>
          <w:szCs w:val="22"/>
        </w:rPr>
      </w:pPr>
      <w:r w:rsidRPr="003F6187">
        <w:rPr>
          <w:i/>
          <w:snapToGrid w:val="0"/>
          <w:kern w:val="22"/>
          <w:szCs w:val="22"/>
        </w:rPr>
        <w:t>The Conference of the Parties,</w:t>
      </w:r>
    </w:p>
    <w:p w14:paraId="157213F7" w14:textId="77777777" w:rsidR="00786AE9" w:rsidRPr="003F6187" w:rsidRDefault="00786AE9">
      <w:pPr>
        <w:suppressLineNumbers/>
        <w:spacing w:before="120" w:after="120"/>
        <w:ind w:firstLine="720"/>
        <w:rPr>
          <w:snapToGrid w:val="0"/>
          <w:kern w:val="22"/>
          <w:szCs w:val="22"/>
        </w:rPr>
      </w:pPr>
      <w:r w:rsidRPr="003F6187">
        <w:rPr>
          <w:i/>
          <w:snapToGrid w:val="0"/>
          <w:kern w:val="22"/>
          <w:szCs w:val="22"/>
        </w:rPr>
        <w:t>Recalling</w:t>
      </w:r>
      <w:r w:rsidRPr="003F6187">
        <w:rPr>
          <w:snapToGrid w:val="0"/>
          <w:kern w:val="22"/>
          <w:szCs w:val="22"/>
        </w:rPr>
        <w:t xml:space="preserve"> its provisions related to Article 8(h) of the Convention and existing standards, guidelines and recommendations under the international regulatory framework relevant to invasive alien species,</w:t>
      </w:r>
    </w:p>
    <w:p w14:paraId="5474A70C" w14:textId="77777777" w:rsidR="00786AE9" w:rsidRPr="003F6187" w:rsidRDefault="00786AE9">
      <w:pPr>
        <w:suppressLineNumbers/>
        <w:spacing w:before="120" w:after="120"/>
        <w:ind w:firstLine="720"/>
        <w:rPr>
          <w:snapToGrid w:val="0"/>
          <w:kern w:val="22"/>
          <w:szCs w:val="22"/>
        </w:rPr>
      </w:pPr>
      <w:r w:rsidRPr="003F6187">
        <w:rPr>
          <w:i/>
          <w:snapToGrid w:val="0"/>
          <w:kern w:val="22"/>
          <w:szCs w:val="22"/>
        </w:rPr>
        <w:t>Also recalling</w:t>
      </w:r>
      <w:r w:rsidRPr="003F6187">
        <w:rPr>
          <w:snapToGrid w:val="0"/>
          <w:kern w:val="22"/>
          <w:szCs w:val="22"/>
        </w:rPr>
        <w:t xml:space="preserve"> decisions VI/23</w:t>
      </w:r>
      <w:r w:rsidRPr="003F6187">
        <w:rPr>
          <w:rStyle w:val="FootnoteReference"/>
          <w:snapToGrid w:val="0"/>
          <w:kern w:val="22"/>
          <w:szCs w:val="22"/>
        </w:rPr>
        <w:footnoteReference w:customMarkFollows="1" w:id="1"/>
        <w:t>*</w:t>
      </w:r>
      <w:r w:rsidRPr="003F6187">
        <w:rPr>
          <w:snapToGrid w:val="0"/>
          <w:kern w:val="22"/>
          <w:szCs w:val="22"/>
        </w:rPr>
        <w:t xml:space="preserve"> and X/2 and Aichi Biodiversity Target 9,</w:t>
      </w:r>
    </w:p>
    <w:p w14:paraId="1A3959AB" w14:textId="77777777" w:rsidR="00786AE9" w:rsidRPr="003F6187" w:rsidRDefault="00786AE9">
      <w:pPr>
        <w:suppressLineNumbers/>
        <w:spacing w:before="120" w:after="120"/>
        <w:ind w:firstLine="720"/>
        <w:rPr>
          <w:snapToGrid w:val="0"/>
          <w:kern w:val="22"/>
          <w:szCs w:val="22"/>
        </w:rPr>
      </w:pPr>
      <w:r w:rsidRPr="003F6187">
        <w:rPr>
          <w:i/>
          <w:snapToGrid w:val="0"/>
          <w:kern w:val="22"/>
          <w:szCs w:val="22"/>
        </w:rPr>
        <w:t>Welcoming</w:t>
      </w:r>
      <w:r w:rsidRPr="003F6187">
        <w:rPr>
          <w:snapToGrid w:val="0"/>
          <w:kern w:val="22"/>
          <w:szCs w:val="22"/>
        </w:rPr>
        <w:t xml:space="preserve"> the International Convention for the Control and Management of Ships’ Ballast Water and Sediments</w:t>
      </w:r>
      <w:r w:rsidRPr="003F6187">
        <w:rPr>
          <w:rStyle w:val="a"/>
          <w:snapToGrid w:val="0"/>
          <w:kern w:val="22"/>
          <w:sz w:val="22"/>
          <w:szCs w:val="22"/>
          <w:u w:val="none"/>
          <w:vertAlign w:val="superscript"/>
        </w:rPr>
        <w:footnoteReference w:id="2"/>
      </w:r>
      <w:r w:rsidRPr="003F6187">
        <w:rPr>
          <w:snapToGrid w:val="0"/>
          <w:kern w:val="22"/>
          <w:szCs w:val="22"/>
        </w:rPr>
        <w:t xml:space="preserve"> meeting the conditions for entry into force on 8 September 2017,</w:t>
      </w:r>
    </w:p>
    <w:p w14:paraId="2531B496" w14:textId="77777777" w:rsidR="00786AE9" w:rsidRPr="003F6187" w:rsidRDefault="00786AE9">
      <w:pPr>
        <w:keepNext/>
        <w:suppressLineNumbers/>
        <w:spacing w:before="120" w:after="120"/>
        <w:jc w:val="center"/>
        <w:rPr>
          <w:b/>
          <w:bCs/>
          <w:iCs/>
          <w:snapToGrid w:val="0"/>
          <w:kern w:val="22"/>
          <w:szCs w:val="22"/>
        </w:rPr>
      </w:pPr>
      <w:r w:rsidRPr="003F6187">
        <w:rPr>
          <w:b/>
          <w:bCs/>
          <w:iCs/>
          <w:snapToGrid w:val="0"/>
          <w:kern w:val="22"/>
          <w:szCs w:val="22"/>
        </w:rPr>
        <w:t>Additional ways and means to address the risks associated with trade in wildlife</w:t>
      </w:r>
    </w:p>
    <w:p w14:paraId="7EE9B28F" w14:textId="77777777" w:rsidR="00786AE9" w:rsidRPr="003F6187" w:rsidRDefault="00786AE9">
      <w:pPr>
        <w:suppressLineNumbers/>
        <w:spacing w:before="120" w:after="120"/>
        <w:ind w:firstLine="720"/>
        <w:rPr>
          <w:snapToGrid w:val="0"/>
          <w:kern w:val="22"/>
          <w:szCs w:val="22"/>
        </w:rPr>
      </w:pPr>
      <w:r w:rsidRPr="003F6187">
        <w:rPr>
          <w:i/>
          <w:snapToGrid w:val="0"/>
          <w:kern w:val="22"/>
          <w:szCs w:val="22"/>
        </w:rPr>
        <w:t xml:space="preserve">Recognizing </w:t>
      </w:r>
      <w:r w:rsidRPr="003F6187">
        <w:rPr>
          <w:snapToGrid w:val="0"/>
          <w:kern w:val="22"/>
          <w:szCs w:val="22"/>
        </w:rPr>
        <w:t>that</w:t>
      </w:r>
      <w:r w:rsidRPr="003F6187">
        <w:rPr>
          <w:i/>
          <w:snapToGrid w:val="0"/>
          <w:kern w:val="22"/>
          <w:szCs w:val="22"/>
        </w:rPr>
        <w:t xml:space="preserve"> </w:t>
      </w:r>
      <w:r w:rsidRPr="003F6187">
        <w:rPr>
          <w:snapToGrid w:val="0"/>
          <w:kern w:val="22"/>
          <w:szCs w:val="22"/>
        </w:rPr>
        <w:t>the Guidance on Devising and Implementing Measures to Address the Risks Associated with the Introduction of Alien Species as Pets, Aquarium and Terrarium Species, and as Live Bait and Live Food, is an effective tool to address the risks associated with the trade in wildlife</w:t>
      </w:r>
      <w:r w:rsidR="0000318C">
        <w:rPr>
          <w:snapToGrid w:val="0"/>
          <w:kern w:val="22"/>
          <w:szCs w:val="22"/>
        </w:rPr>
        <w:t>,</w:t>
      </w:r>
    </w:p>
    <w:p w14:paraId="66741082" w14:textId="77777777" w:rsidR="00786AE9" w:rsidRPr="003F6187" w:rsidRDefault="00786AE9">
      <w:pPr>
        <w:suppressLineNumbers/>
        <w:spacing w:before="120" w:after="120"/>
        <w:ind w:firstLine="720"/>
        <w:rPr>
          <w:snapToGrid w:val="0"/>
          <w:kern w:val="22"/>
          <w:szCs w:val="22"/>
        </w:rPr>
      </w:pPr>
      <w:r w:rsidRPr="003F6187">
        <w:rPr>
          <w:i/>
          <w:snapToGrid w:val="0"/>
          <w:kern w:val="22"/>
          <w:szCs w:val="22"/>
        </w:rPr>
        <w:t>Also recognizing</w:t>
      </w:r>
      <w:r w:rsidRPr="003F6187">
        <w:rPr>
          <w:snapToGrid w:val="0"/>
          <w:kern w:val="22"/>
          <w:szCs w:val="22"/>
        </w:rPr>
        <w:t xml:space="preserve"> the need to supplement the existing Guidance </w:t>
      </w:r>
      <w:r w:rsidR="00412EE9">
        <w:rPr>
          <w:snapToGrid w:val="0"/>
          <w:kern w:val="22"/>
          <w:szCs w:val="22"/>
        </w:rPr>
        <w:t>referred to</w:t>
      </w:r>
      <w:r w:rsidR="00412EE9" w:rsidRPr="003F6187">
        <w:rPr>
          <w:snapToGrid w:val="0"/>
          <w:kern w:val="22"/>
          <w:szCs w:val="22"/>
        </w:rPr>
        <w:t xml:space="preserve"> </w:t>
      </w:r>
      <w:r w:rsidRPr="003F6187">
        <w:rPr>
          <w:snapToGrid w:val="0"/>
          <w:kern w:val="22"/>
          <w:szCs w:val="22"/>
        </w:rPr>
        <w:t xml:space="preserve">above to consider unintentional introductions of invasive alien species, </w:t>
      </w:r>
      <w:r w:rsidRPr="003F6187">
        <w:rPr>
          <w:iCs/>
          <w:snapToGrid w:val="0"/>
          <w:kern w:val="22"/>
          <w:szCs w:val="22"/>
        </w:rPr>
        <w:t>through</w:t>
      </w:r>
      <w:r w:rsidRPr="003F6187">
        <w:rPr>
          <w:snapToGrid w:val="0"/>
          <w:kern w:val="22"/>
          <w:szCs w:val="22"/>
        </w:rPr>
        <w:t xml:space="preserve"> “hitchhikers” or contaminants, and materials associated with the trade in live alien species, such as packing material, substrate or food</w:t>
      </w:r>
      <w:r w:rsidR="0000318C">
        <w:rPr>
          <w:snapToGrid w:val="0"/>
          <w:kern w:val="22"/>
          <w:szCs w:val="22"/>
        </w:rPr>
        <w:t>,</w:t>
      </w:r>
    </w:p>
    <w:p w14:paraId="0DAA2F1C" w14:textId="77777777" w:rsidR="00786AE9" w:rsidRPr="003F6187" w:rsidRDefault="00786AE9">
      <w:pPr>
        <w:numPr>
          <w:ilvl w:val="0"/>
          <w:numId w:val="12"/>
        </w:numPr>
        <w:suppressLineNumbers/>
        <w:spacing w:before="120" w:after="120"/>
        <w:ind w:left="0" w:firstLine="720"/>
        <w:rPr>
          <w:iCs/>
          <w:snapToGrid w:val="0"/>
          <w:kern w:val="22"/>
          <w:szCs w:val="22"/>
        </w:rPr>
      </w:pPr>
      <w:r w:rsidRPr="003F6187">
        <w:rPr>
          <w:i/>
          <w:snapToGrid w:val="0"/>
          <w:kern w:val="22"/>
          <w:szCs w:val="22"/>
        </w:rPr>
        <w:t xml:space="preserve">Encourages </w:t>
      </w:r>
      <w:r w:rsidRPr="003F6187">
        <w:rPr>
          <w:snapToGrid w:val="0"/>
          <w:kern w:val="22"/>
          <w:szCs w:val="22"/>
        </w:rPr>
        <w:t>Parties, other Governments and relevant organizations, consumers, traders and the transport industry to make use of the Guidance annexed to decision XII/16 to address,</w:t>
      </w:r>
      <w:r w:rsidRPr="003F6187">
        <w:rPr>
          <w:iCs/>
          <w:snapToGrid w:val="0"/>
          <w:kern w:val="22"/>
          <w:szCs w:val="22"/>
        </w:rPr>
        <w:t xml:space="preserve"> mutatis mutandis,</w:t>
      </w:r>
      <w:r w:rsidRPr="003F6187">
        <w:rPr>
          <w:snapToGrid w:val="0"/>
          <w:kern w:val="22"/>
          <w:szCs w:val="22"/>
        </w:rPr>
        <w:t xml:space="preserve"> the risks associated with trade in wildlife</w:t>
      </w:r>
      <w:r w:rsidRPr="003F6187">
        <w:rPr>
          <w:iCs/>
          <w:snapToGrid w:val="0"/>
          <w:kern w:val="22"/>
          <w:szCs w:val="22"/>
        </w:rPr>
        <w:t>;</w:t>
      </w:r>
    </w:p>
    <w:p w14:paraId="54DDFD84" w14:textId="77777777" w:rsidR="00786AE9" w:rsidRPr="003F6187" w:rsidRDefault="00786AE9">
      <w:pPr>
        <w:numPr>
          <w:ilvl w:val="0"/>
          <w:numId w:val="12"/>
        </w:numPr>
        <w:suppressLineNumbers/>
        <w:spacing w:before="120" w:after="120"/>
        <w:ind w:left="0" w:firstLine="720"/>
        <w:rPr>
          <w:snapToGrid w:val="0"/>
          <w:kern w:val="22"/>
          <w:szCs w:val="22"/>
        </w:rPr>
      </w:pPr>
      <w:r w:rsidRPr="003F6187">
        <w:rPr>
          <w:i/>
          <w:snapToGrid w:val="0"/>
          <w:kern w:val="22"/>
          <w:szCs w:val="22"/>
        </w:rPr>
        <w:t>Encourages</w:t>
      </w:r>
      <w:r w:rsidRPr="003F6187">
        <w:rPr>
          <w:snapToGrid w:val="0"/>
          <w:kern w:val="22"/>
          <w:szCs w:val="22"/>
        </w:rPr>
        <w:t xml:space="preserve"> Parties and other Governments to review, as necessary, their national regulatory framework in order to develop and implement measures to ensure the safe import and prevention of spread of wildlife species and associated materials (such as packaging material and food) that can be </w:t>
      </w:r>
      <w:r w:rsidRPr="003F6187">
        <w:rPr>
          <w:snapToGrid w:val="0"/>
          <w:kern w:val="22"/>
          <w:szCs w:val="22"/>
        </w:rPr>
        <w:lastRenderedPageBreak/>
        <w:t>pathways of introduction for invasive species, making use of appropriate risk analysis processes, as well as tools such as horizon scanning, which could consider drivers of trade, future trade patterns and potentially invasive alien species that may enter through trade;</w:t>
      </w:r>
    </w:p>
    <w:p w14:paraId="6353A192" w14:textId="77777777" w:rsidR="00786AE9" w:rsidRPr="003F6187" w:rsidRDefault="00786AE9">
      <w:pPr>
        <w:numPr>
          <w:ilvl w:val="0"/>
          <w:numId w:val="12"/>
        </w:numPr>
        <w:suppressLineNumbers/>
        <w:spacing w:before="120" w:after="120"/>
        <w:ind w:left="0" w:firstLine="720"/>
        <w:rPr>
          <w:snapToGrid w:val="0"/>
          <w:kern w:val="22"/>
          <w:szCs w:val="22"/>
        </w:rPr>
      </w:pPr>
      <w:r w:rsidRPr="003F6187">
        <w:rPr>
          <w:i/>
          <w:snapToGrid w:val="0"/>
          <w:kern w:val="22"/>
          <w:szCs w:val="22"/>
        </w:rPr>
        <w:t xml:space="preserve">Encourages </w:t>
      </w:r>
      <w:r w:rsidRPr="003F6187">
        <w:rPr>
          <w:snapToGrid w:val="0"/>
          <w:kern w:val="22"/>
          <w:szCs w:val="22"/>
        </w:rPr>
        <w:t xml:space="preserve">actors in trade and industry to apply the voluntary measures indicated in the Guidance annexed to decision XII/16, </w:t>
      </w:r>
      <w:r w:rsidRPr="003F6187">
        <w:rPr>
          <w:iCs/>
          <w:snapToGrid w:val="0"/>
          <w:kern w:val="22"/>
          <w:szCs w:val="22"/>
        </w:rPr>
        <w:t>mutatis mutandis,</w:t>
      </w:r>
      <w:r w:rsidRPr="003F6187">
        <w:rPr>
          <w:snapToGrid w:val="0"/>
          <w:kern w:val="22"/>
          <w:szCs w:val="22"/>
        </w:rPr>
        <w:t xml:space="preserve"> when trade in wildlife takes place, for example the use of labelling on consignments of live alien species to identify it as a potential hazard for biodiversity and the proper identification of species with the scientific name, taxonomic serial number or its equivalent;</w:t>
      </w:r>
    </w:p>
    <w:p w14:paraId="1A6A381B" w14:textId="77777777" w:rsidR="00786AE9" w:rsidRPr="003F6187" w:rsidRDefault="00786AE9">
      <w:pPr>
        <w:numPr>
          <w:ilvl w:val="0"/>
          <w:numId w:val="12"/>
        </w:numPr>
        <w:suppressLineNumbers/>
        <w:spacing w:before="120" w:after="120"/>
        <w:ind w:left="0" w:firstLine="720"/>
        <w:rPr>
          <w:snapToGrid w:val="0"/>
          <w:kern w:val="22"/>
          <w:szCs w:val="22"/>
        </w:rPr>
      </w:pPr>
      <w:r w:rsidRPr="003F6187">
        <w:rPr>
          <w:i/>
          <w:snapToGrid w:val="0"/>
          <w:kern w:val="22"/>
          <w:szCs w:val="22"/>
        </w:rPr>
        <w:t>Encourages</w:t>
      </w:r>
      <w:r w:rsidRPr="003F6187">
        <w:rPr>
          <w:snapToGrid w:val="0"/>
          <w:kern w:val="22"/>
          <w:szCs w:val="22"/>
        </w:rPr>
        <w:t xml:space="preserve"> Parties, other Governments and relevant organizations, including research organizations, to explore, develop and apply ways and means to promote changes in the behaviour of individuals, in particular, consumers and businesses engaged in the wildlife trade, so as to reduce the risks to biodiversity associated with legal trade, and prevent instances of illegal trade, in wildlife, including through engagement with the social sciences and the use of social media in targeted awareness campaigns, and through cooperation with wildlife trade organizations;</w:t>
      </w:r>
    </w:p>
    <w:p w14:paraId="77F72405" w14:textId="77777777" w:rsidR="00786AE9" w:rsidRPr="003F6187" w:rsidRDefault="00786AE9">
      <w:pPr>
        <w:numPr>
          <w:ilvl w:val="0"/>
          <w:numId w:val="12"/>
        </w:numPr>
        <w:suppressLineNumbers/>
        <w:spacing w:before="120" w:after="120"/>
        <w:ind w:left="0" w:firstLine="720"/>
        <w:rPr>
          <w:snapToGrid w:val="0"/>
          <w:kern w:val="22"/>
          <w:szCs w:val="22"/>
        </w:rPr>
      </w:pPr>
      <w:r w:rsidRPr="003F6187">
        <w:rPr>
          <w:i/>
          <w:snapToGrid w:val="0"/>
          <w:kern w:val="22"/>
          <w:szCs w:val="22"/>
        </w:rPr>
        <w:t xml:space="preserve">Requests </w:t>
      </w:r>
      <w:r w:rsidRPr="003F6187">
        <w:rPr>
          <w:snapToGrid w:val="0"/>
          <w:kern w:val="22"/>
          <w:szCs w:val="22"/>
        </w:rPr>
        <w:t xml:space="preserve">the </w:t>
      </w:r>
      <w:r w:rsidRPr="003F6187">
        <w:rPr>
          <w:iCs/>
          <w:snapToGrid w:val="0"/>
          <w:kern w:val="22"/>
          <w:szCs w:val="22"/>
        </w:rPr>
        <w:t>Executive</w:t>
      </w:r>
      <w:r w:rsidRPr="003F6187">
        <w:rPr>
          <w:snapToGrid w:val="0"/>
          <w:kern w:val="22"/>
          <w:szCs w:val="22"/>
        </w:rPr>
        <w:t xml:space="preserve"> Secretary, subject to the availability of resources, in collaboration with member organizations of the inter-agency liaison group on invasive alien species, to prepare draft supplemental guidance to incorporate unintentional introductions</w:t>
      </w:r>
      <w:r w:rsidR="00412EE9">
        <w:rPr>
          <w:snapToGrid w:val="0"/>
          <w:kern w:val="22"/>
          <w:szCs w:val="22"/>
        </w:rPr>
        <w:t>,</w:t>
      </w:r>
      <w:r w:rsidRPr="003F6187">
        <w:rPr>
          <w:snapToGrid w:val="0"/>
          <w:kern w:val="22"/>
          <w:szCs w:val="22"/>
        </w:rPr>
        <w:t xml:space="preserve"> as </w:t>
      </w:r>
      <w:r w:rsidR="00412EE9">
        <w:rPr>
          <w:snapToGrid w:val="0"/>
          <w:kern w:val="22"/>
          <w:szCs w:val="22"/>
        </w:rPr>
        <w:t>referred to</w:t>
      </w:r>
      <w:r w:rsidR="00412EE9" w:rsidRPr="003F6187">
        <w:rPr>
          <w:snapToGrid w:val="0"/>
          <w:kern w:val="22"/>
          <w:szCs w:val="22"/>
        </w:rPr>
        <w:t xml:space="preserve"> </w:t>
      </w:r>
      <w:r w:rsidRPr="003F6187">
        <w:rPr>
          <w:snapToGrid w:val="0"/>
          <w:kern w:val="22"/>
          <w:szCs w:val="22"/>
        </w:rPr>
        <w:t xml:space="preserve">in the </w:t>
      </w:r>
      <w:r w:rsidR="00B71C35">
        <w:rPr>
          <w:snapToGrid w:val="0"/>
          <w:kern w:val="22"/>
          <w:szCs w:val="22"/>
        </w:rPr>
        <w:t>fifth</w:t>
      </w:r>
      <w:r w:rsidR="00B71C35" w:rsidRPr="003F6187">
        <w:rPr>
          <w:snapToGrid w:val="0"/>
          <w:kern w:val="22"/>
          <w:szCs w:val="22"/>
        </w:rPr>
        <w:t xml:space="preserve"> </w:t>
      </w:r>
      <w:r w:rsidRPr="003F6187">
        <w:rPr>
          <w:snapToGrid w:val="0"/>
          <w:kern w:val="22"/>
          <w:szCs w:val="22"/>
        </w:rPr>
        <w:t>preambular paragraph above, to the existing Guidance on Devising and Implementing Measures to Address the Risks Associated with the Introduction of Alien Species as Pets, Aquarium and Terrarium Species, and as Live Bait and Live Food, for consideration by the Subsidiary Body on Scientific, Technical and Technological Advice prior to the fourteenth meeting of the Conference of the Parties;</w:t>
      </w:r>
    </w:p>
    <w:p w14:paraId="5F2DC734" w14:textId="77777777" w:rsidR="00786AE9" w:rsidRPr="003F6187" w:rsidRDefault="00786AE9">
      <w:pPr>
        <w:numPr>
          <w:ilvl w:val="0"/>
          <w:numId w:val="12"/>
        </w:numPr>
        <w:suppressLineNumbers/>
        <w:spacing w:before="120" w:after="120"/>
        <w:ind w:left="0" w:firstLine="720"/>
        <w:rPr>
          <w:snapToGrid w:val="0"/>
          <w:kern w:val="22"/>
          <w:szCs w:val="22"/>
        </w:rPr>
      </w:pPr>
      <w:r w:rsidRPr="003F6187">
        <w:rPr>
          <w:i/>
          <w:snapToGrid w:val="0"/>
          <w:kern w:val="22"/>
          <w:szCs w:val="22"/>
        </w:rPr>
        <w:t>Invites</w:t>
      </w:r>
      <w:r w:rsidRPr="003F6187">
        <w:rPr>
          <w:snapToGrid w:val="0"/>
          <w:kern w:val="22"/>
          <w:szCs w:val="22"/>
        </w:rPr>
        <w:t xml:space="preserve"> the members of the Global Invasive Alien Species Information Partnership and other organizations that manage databases pertaining to trade in wild animals and plants, in collaboration with Parties and other Governments, to further develop mechanisms to exchange information on the identification of potential invasive alien species and their vectors in trade, and to facilitate the exchange of this information among Parties, other Governments and relevant organizations;</w:t>
      </w:r>
    </w:p>
    <w:p w14:paraId="7A400B9A" w14:textId="77777777" w:rsidR="00786AE9" w:rsidRPr="003F6187" w:rsidRDefault="00786AE9">
      <w:pPr>
        <w:keepNext/>
        <w:suppressLineNumbers/>
        <w:spacing w:before="120" w:after="120"/>
        <w:jc w:val="center"/>
        <w:rPr>
          <w:b/>
          <w:bCs/>
          <w:iCs/>
          <w:snapToGrid w:val="0"/>
          <w:kern w:val="22"/>
          <w:szCs w:val="22"/>
        </w:rPr>
      </w:pPr>
      <w:r w:rsidRPr="003F6187">
        <w:rPr>
          <w:b/>
          <w:bCs/>
          <w:iCs/>
          <w:snapToGrid w:val="0"/>
          <w:kern w:val="22"/>
          <w:szCs w:val="22"/>
        </w:rPr>
        <w:t>Reducing the risk associated with trade in invasive alien species sold via e-commerce</w:t>
      </w:r>
    </w:p>
    <w:p w14:paraId="0609FA80" w14:textId="77777777" w:rsidR="00786AE9" w:rsidRPr="003F6187" w:rsidRDefault="00786AE9">
      <w:pPr>
        <w:numPr>
          <w:ilvl w:val="0"/>
          <w:numId w:val="12"/>
        </w:numPr>
        <w:suppressLineNumbers/>
        <w:spacing w:before="120" w:after="120"/>
        <w:ind w:left="0" w:firstLine="720"/>
        <w:rPr>
          <w:snapToGrid w:val="0"/>
          <w:kern w:val="22"/>
          <w:szCs w:val="22"/>
        </w:rPr>
      </w:pPr>
      <w:r w:rsidRPr="003F6187">
        <w:rPr>
          <w:i/>
          <w:snapToGrid w:val="0"/>
          <w:kern w:val="22"/>
          <w:szCs w:val="22"/>
        </w:rPr>
        <w:t>Encourages</w:t>
      </w:r>
      <w:r w:rsidRPr="003F6187">
        <w:rPr>
          <w:snapToGrid w:val="0"/>
          <w:kern w:val="22"/>
          <w:szCs w:val="22"/>
        </w:rPr>
        <w:t xml:space="preserve"> Parties, and </w:t>
      </w:r>
      <w:r w:rsidRPr="003F6187">
        <w:rPr>
          <w:i/>
          <w:snapToGrid w:val="0"/>
          <w:kern w:val="22"/>
          <w:szCs w:val="22"/>
        </w:rPr>
        <w:t>invites</w:t>
      </w:r>
      <w:r w:rsidRPr="003F6187">
        <w:rPr>
          <w:snapToGrid w:val="0"/>
          <w:kern w:val="22"/>
          <w:szCs w:val="22"/>
        </w:rPr>
        <w:t xml:space="preserve"> other </w:t>
      </w:r>
      <w:r w:rsidRPr="003F6187">
        <w:rPr>
          <w:iCs/>
          <w:snapToGrid w:val="0"/>
          <w:kern w:val="22"/>
          <w:szCs w:val="22"/>
        </w:rPr>
        <w:t>Governments</w:t>
      </w:r>
      <w:r w:rsidRPr="003F6187">
        <w:rPr>
          <w:snapToGrid w:val="0"/>
          <w:kern w:val="22"/>
          <w:szCs w:val="22"/>
        </w:rPr>
        <w:t>, relevant international organizations, consumers, regular mail and express delivery service providers and e</w:t>
      </w:r>
      <w:r w:rsidRPr="003F6187">
        <w:rPr>
          <w:snapToGrid w:val="0"/>
          <w:kern w:val="22"/>
          <w:szCs w:val="22"/>
        </w:rPr>
        <w:noBreakHyphen/>
        <w:t>commerce traders and managers, as appropriate, to reduce the risk of biological invasion associated with trade in wildlife</w:t>
      </w:r>
      <w:r w:rsidRPr="003F6187">
        <w:rPr>
          <w:rStyle w:val="a"/>
          <w:snapToGrid w:val="0"/>
          <w:kern w:val="22"/>
          <w:sz w:val="22"/>
          <w:szCs w:val="22"/>
          <w:u w:val="none"/>
          <w:vertAlign w:val="superscript"/>
        </w:rPr>
        <w:footnoteReference w:id="3"/>
      </w:r>
      <w:r w:rsidRPr="003F6187">
        <w:rPr>
          <w:snapToGrid w:val="0"/>
          <w:kern w:val="22"/>
          <w:szCs w:val="22"/>
        </w:rPr>
        <w:t xml:space="preserve"> via e</w:t>
      </w:r>
      <w:r w:rsidRPr="003F6187">
        <w:rPr>
          <w:snapToGrid w:val="0"/>
          <w:kern w:val="22"/>
          <w:szCs w:val="22"/>
        </w:rPr>
        <w:noBreakHyphen/>
        <w:t>commerce</w:t>
      </w:r>
      <w:r w:rsidR="00412EE9">
        <w:rPr>
          <w:snapToGrid w:val="0"/>
          <w:kern w:val="22"/>
          <w:szCs w:val="22"/>
        </w:rPr>
        <w:t xml:space="preserve"> by</w:t>
      </w:r>
      <w:r w:rsidRPr="003F6187">
        <w:rPr>
          <w:snapToGrid w:val="0"/>
          <w:kern w:val="22"/>
          <w:szCs w:val="22"/>
        </w:rPr>
        <w:t>:</w:t>
      </w:r>
    </w:p>
    <w:p w14:paraId="47DBB506" w14:textId="77777777" w:rsidR="00786AE9" w:rsidRPr="003F6187" w:rsidRDefault="00412EE9">
      <w:pPr>
        <w:numPr>
          <w:ilvl w:val="1"/>
          <w:numId w:val="12"/>
        </w:numPr>
        <w:suppressLineNumbers/>
        <w:spacing w:before="120" w:after="120"/>
        <w:ind w:left="0" w:firstLine="720"/>
        <w:rPr>
          <w:snapToGrid w:val="0"/>
          <w:kern w:val="22"/>
          <w:szCs w:val="22"/>
        </w:rPr>
      </w:pPr>
      <w:r>
        <w:rPr>
          <w:snapToGrid w:val="0"/>
          <w:kern w:val="22"/>
          <w:szCs w:val="22"/>
        </w:rPr>
        <w:t>P</w:t>
      </w:r>
      <w:r w:rsidR="00786AE9" w:rsidRPr="003F6187">
        <w:rPr>
          <w:snapToGrid w:val="0"/>
          <w:kern w:val="22"/>
          <w:szCs w:val="22"/>
        </w:rPr>
        <w:t>romot</w:t>
      </w:r>
      <w:r>
        <w:rPr>
          <w:snapToGrid w:val="0"/>
          <w:kern w:val="22"/>
          <w:szCs w:val="22"/>
        </w:rPr>
        <w:t>ing</w:t>
      </w:r>
      <w:r w:rsidR="00786AE9" w:rsidRPr="003F6187">
        <w:rPr>
          <w:snapToGrid w:val="0"/>
          <w:kern w:val="22"/>
          <w:szCs w:val="22"/>
        </w:rPr>
        <w:t xml:space="preserve"> greater awareness among consumers, e-commerce traders and managers and other stakeholders about the risk of biological invasions, and the relevant international standards and national regulations through, inter alia, e</w:t>
      </w:r>
      <w:r w:rsidR="00786AE9" w:rsidRPr="003F6187">
        <w:rPr>
          <w:snapToGrid w:val="0"/>
          <w:kern w:val="22"/>
          <w:szCs w:val="22"/>
        </w:rPr>
        <w:noBreakHyphen/>
        <w:t>commerce market places and related social media, including by using information made available through the Global Invasive Alien Species Information Partnership;</w:t>
      </w:r>
    </w:p>
    <w:p w14:paraId="52BC8DAE" w14:textId="77777777" w:rsidR="00786AE9" w:rsidRPr="003F6187" w:rsidRDefault="00412EE9">
      <w:pPr>
        <w:numPr>
          <w:ilvl w:val="1"/>
          <w:numId w:val="12"/>
        </w:numPr>
        <w:suppressLineNumbers/>
        <w:spacing w:before="120" w:after="120"/>
        <w:ind w:left="0" w:firstLine="720"/>
        <w:rPr>
          <w:snapToGrid w:val="0"/>
          <w:kern w:val="22"/>
          <w:szCs w:val="22"/>
        </w:rPr>
      </w:pPr>
      <w:r>
        <w:rPr>
          <w:snapToGrid w:val="0"/>
          <w:kern w:val="22"/>
          <w:szCs w:val="22"/>
        </w:rPr>
        <w:t>R</w:t>
      </w:r>
      <w:r w:rsidR="00786AE9" w:rsidRPr="003F6187">
        <w:rPr>
          <w:snapToGrid w:val="0"/>
          <w:kern w:val="22"/>
          <w:szCs w:val="22"/>
        </w:rPr>
        <w:t>eview</w:t>
      </w:r>
      <w:r>
        <w:rPr>
          <w:snapToGrid w:val="0"/>
          <w:kern w:val="22"/>
          <w:szCs w:val="22"/>
        </w:rPr>
        <w:t>ing</w:t>
      </w:r>
      <w:r w:rsidR="00786AE9" w:rsidRPr="003F6187">
        <w:rPr>
          <w:snapToGrid w:val="0"/>
          <w:kern w:val="22"/>
          <w:szCs w:val="22"/>
        </w:rPr>
        <w:t xml:space="preserve"> the risk of biological invasions, and associated sanitary and phytosanitary risks, posed by some forms of distance selling and, as appropriate, endeavour to develop suitable measures and guidance to minimize the risks of introduction of invasive alien species, consistent with international obligations;</w:t>
      </w:r>
    </w:p>
    <w:p w14:paraId="269438A2" w14:textId="77777777" w:rsidR="00786AE9" w:rsidRPr="003F6187" w:rsidRDefault="00412EE9">
      <w:pPr>
        <w:numPr>
          <w:ilvl w:val="1"/>
          <w:numId w:val="12"/>
        </w:numPr>
        <w:suppressLineNumbers/>
        <w:spacing w:before="120" w:after="120"/>
        <w:ind w:left="0" w:firstLine="720"/>
        <w:rPr>
          <w:snapToGrid w:val="0"/>
          <w:kern w:val="22"/>
          <w:szCs w:val="22"/>
        </w:rPr>
      </w:pPr>
      <w:r>
        <w:rPr>
          <w:snapToGrid w:val="0"/>
          <w:kern w:val="22"/>
          <w:szCs w:val="22"/>
        </w:rPr>
        <w:t>U</w:t>
      </w:r>
      <w:r w:rsidR="00786AE9" w:rsidRPr="003F6187">
        <w:rPr>
          <w:snapToGrid w:val="0"/>
          <w:kern w:val="22"/>
          <w:szCs w:val="22"/>
        </w:rPr>
        <w:t>sing or promoting the use of the Single Window approach of the United Nations Centre for Trade Facilitation and Electronic Business in order</w:t>
      </w:r>
      <w:r w:rsidR="00786AE9" w:rsidRPr="003F6187">
        <w:rPr>
          <w:snapToGrid w:val="0"/>
          <w:color w:val="4C4845"/>
          <w:kern w:val="22"/>
          <w:szCs w:val="22"/>
        </w:rPr>
        <w:t xml:space="preserve"> </w:t>
      </w:r>
      <w:r w:rsidR="00786AE9" w:rsidRPr="003F6187">
        <w:rPr>
          <w:snapToGrid w:val="0"/>
          <w:kern w:val="22"/>
          <w:szCs w:val="22"/>
        </w:rPr>
        <w:t>to facilitate reporting on the trade in regulated live species via e-commerce;</w:t>
      </w:r>
    </w:p>
    <w:p w14:paraId="1F4D7253" w14:textId="77777777" w:rsidR="00786AE9" w:rsidRPr="003F6187" w:rsidRDefault="00412EE9">
      <w:pPr>
        <w:numPr>
          <w:ilvl w:val="1"/>
          <w:numId w:val="12"/>
        </w:numPr>
        <w:suppressLineNumbers/>
        <w:spacing w:before="120" w:after="120"/>
        <w:ind w:left="0" w:firstLine="720"/>
        <w:rPr>
          <w:snapToGrid w:val="0"/>
          <w:kern w:val="22"/>
          <w:szCs w:val="22"/>
        </w:rPr>
      </w:pPr>
      <w:r>
        <w:rPr>
          <w:snapToGrid w:val="0"/>
          <w:kern w:val="22"/>
          <w:szCs w:val="22"/>
        </w:rPr>
        <w:t>C</w:t>
      </w:r>
      <w:r w:rsidR="00786AE9" w:rsidRPr="003F6187">
        <w:rPr>
          <w:snapToGrid w:val="0"/>
          <w:kern w:val="22"/>
          <w:szCs w:val="22"/>
        </w:rPr>
        <w:t>ollaborat</w:t>
      </w:r>
      <w:r>
        <w:rPr>
          <w:snapToGrid w:val="0"/>
          <w:kern w:val="22"/>
          <w:szCs w:val="22"/>
        </w:rPr>
        <w:t>ing</w:t>
      </w:r>
      <w:r w:rsidR="00786AE9" w:rsidRPr="003F6187">
        <w:rPr>
          <w:snapToGrid w:val="0"/>
          <w:kern w:val="22"/>
          <w:szCs w:val="22"/>
        </w:rPr>
        <w:t xml:space="preserve"> with e-commerce traders and managers in developing measures to reduce the risk of potentially invasive alien species from e</w:t>
      </w:r>
      <w:r w:rsidR="00786AE9" w:rsidRPr="003F6187">
        <w:rPr>
          <w:snapToGrid w:val="0"/>
          <w:kern w:val="22"/>
          <w:szCs w:val="22"/>
        </w:rPr>
        <w:noBreakHyphen/>
        <w:t>commerce;</w:t>
      </w:r>
    </w:p>
    <w:p w14:paraId="79279AF6" w14:textId="77777777" w:rsidR="00786AE9" w:rsidRPr="003F6187" w:rsidRDefault="00786AE9">
      <w:pPr>
        <w:numPr>
          <w:ilvl w:val="0"/>
          <w:numId w:val="12"/>
        </w:numPr>
        <w:suppressLineNumbers/>
        <w:spacing w:before="120" w:after="120"/>
        <w:ind w:left="0" w:firstLine="720"/>
        <w:rPr>
          <w:i/>
          <w:snapToGrid w:val="0"/>
          <w:kern w:val="22"/>
          <w:szCs w:val="22"/>
        </w:rPr>
      </w:pPr>
      <w:r w:rsidRPr="003F6187">
        <w:rPr>
          <w:i/>
          <w:snapToGrid w:val="0"/>
          <w:kern w:val="22"/>
          <w:szCs w:val="22"/>
        </w:rPr>
        <w:t>Invites</w:t>
      </w:r>
      <w:r w:rsidRPr="003F6187">
        <w:rPr>
          <w:snapToGrid w:val="0"/>
          <w:kern w:val="22"/>
          <w:szCs w:val="22"/>
        </w:rPr>
        <w:t xml:space="preserve"> Parties and other Governments to take into account or review, as appropriate, legislation relevant to trade in wildlife to reduce the risk of biological invasion associated with trade in </w:t>
      </w:r>
      <w:r w:rsidRPr="003F6187">
        <w:rPr>
          <w:snapToGrid w:val="0"/>
          <w:kern w:val="22"/>
          <w:szCs w:val="22"/>
        </w:rPr>
        <w:lastRenderedPageBreak/>
        <w:t>wildlife via e</w:t>
      </w:r>
      <w:r w:rsidRPr="003F6187">
        <w:rPr>
          <w:snapToGrid w:val="0"/>
          <w:kern w:val="22"/>
          <w:szCs w:val="22"/>
        </w:rPr>
        <w:noBreakHyphen/>
        <w:t>commerce, also noting relevant decisions adopted under the Convention on International Trade in Endangered Species of Wild Fauna and Flora;</w:t>
      </w:r>
      <w:r w:rsidRPr="003F6187">
        <w:rPr>
          <w:rStyle w:val="a"/>
          <w:snapToGrid w:val="0"/>
          <w:kern w:val="22"/>
          <w:sz w:val="22"/>
          <w:szCs w:val="22"/>
          <w:u w:val="none"/>
          <w:vertAlign w:val="superscript"/>
        </w:rPr>
        <w:footnoteReference w:id="4"/>
      </w:r>
    </w:p>
    <w:p w14:paraId="7F70D423" w14:textId="77777777" w:rsidR="00786AE9" w:rsidRPr="003F6187" w:rsidRDefault="00786AE9">
      <w:pPr>
        <w:numPr>
          <w:ilvl w:val="0"/>
          <w:numId w:val="12"/>
        </w:numPr>
        <w:suppressLineNumbers/>
        <w:spacing w:before="120" w:after="120"/>
        <w:ind w:left="0" w:firstLine="720"/>
        <w:rPr>
          <w:iCs/>
          <w:snapToGrid w:val="0"/>
          <w:kern w:val="22"/>
          <w:szCs w:val="22"/>
        </w:rPr>
      </w:pPr>
      <w:r w:rsidRPr="003F6187">
        <w:rPr>
          <w:i/>
          <w:snapToGrid w:val="0"/>
          <w:kern w:val="22"/>
          <w:szCs w:val="22"/>
        </w:rPr>
        <w:t>Requests</w:t>
      </w:r>
      <w:r w:rsidRPr="003F6187">
        <w:rPr>
          <w:iCs/>
          <w:snapToGrid w:val="0"/>
          <w:kern w:val="22"/>
          <w:szCs w:val="22"/>
        </w:rPr>
        <w:t xml:space="preserve"> the Executive Secretary, subject to the availability of resources:</w:t>
      </w:r>
    </w:p>
    <w:p w14:paraId="26873DD3" w14:textId="77777777" w:rsidR="00786AE9" w:rsidRPr="003F6187" w:rsidRDefault="00786AE9">
      <w:pPr>
        <w:numPr>
          <w:ilvl w:val="1"/>
          <w:numId w:val="12"/>
        </w:numPr>
        <w:suppressLineNumbers/>
        <w:spacing w:before="120" w:after="120"/>
        <w:ind w:left="0" w:firstLine="720"/>
        <w:rPr>
          <w:snapToGrid w:val="0"/>
          <w:kern w:val="22"/>
          <w:szCs w:val="22"/>
        </w:rPr>
      </w:pPr>
      <w:r w:rsidRPr="003F6187">
        <w:rPr>
          <w:snapToGrid w:val="0"/>
          <w:kern w:val="22"/>
          <w:szCs w:val="22"/>
        </w:rPr>
        <w:t xml:space="preserve">To explore with the World Customs Organization, as well as member organizations of the </w:t>
      </w:r>
      <w:r w:rsidR="0000318C">
        <w:rPr>
          <w:snapToGrid w:val="0"/>
          <w:kern w:val="22"/>
          <w:szCs w:val="22"/>
        </w:rPr>
        <w:t>i</w:t>
      </w:r>
      <w:r w:rsidRPr="003F6187">
        <w:rPr>
          <w:snapToGrid w:val="0"/>
          <w:kern w:val="22"/>
          <w:szCs w:val="22"/>
        </w:rPr>
        <w:t xml:space="preserve">nter-agency </w:t>
      </w:r>
      <w:r w:rsidR="0000318C">
        <w:rPr>
          <w:snapToGrid w:val="0"/>
          <w:kern w:val="22"/>
          <w:szCs w:val="22"/>
        </w:rPr>
        <w:t>l</w:t>
      </w:r>
      <w:r w:rsidRPr="003F6187">
        <w:rPr>
          <w:snapToGrid w:val="0"/>
          <w:kern w:val="22"/>
          <w:szCs w:val="22"/>
        </w:rPr>
        <w:t xml:space="preserve">iaison </w:t>
      </w:r>
      <w:r w:rsidR="0000318C">
        <w:rPr>
          <w:snapToGrid w:val="0"/>
          <w:kern w:val="22"/>
          <w:szCs w:val="22"/>
        </w:rPr>
        <w:t>g</w:t>
      </w:r>
      <w:r w:rsidRPr="003F6187">
        <w:rPr>
          <w:snapToGrid w:val="0"/>
          <w:kern w:val="22"/>
          <w:szCs w:val="22"/>
        </w:rPr>
        <w:t xml:space="preserve">roup on </w:t>
      </w:r>
      <w:r w:rsidR="0000318C">
        <w:rPr>
          <w:snapToGrid w:val="0"/>
          <w:kern w:val="22"/>
          <w:szCs w:val="22"/>
        </w:rPr>
        <w:t>i</w:t>
      </w:r>
      <w:r w:rsidRPr="003F6187">
        <w:rPr>
          <w:snapToGrid w:val="0"/>
          <w:kern w:val="22"/>
          <w:szCs w:val="22"/>
        </w:rPr>
        <w:t xml:space="preserve">nvasive </w:t>
      </w:r>
      <w:r w:rsidR="0000318C">
        <w:rPr>
          <w:snapToGrid w:val="0"/>
          <w:kern w:val="22"/>
          <w:szCs w:val="22"/>
        </w:rPr>
        <w:t>a</w:t>
      </w:r>
      <w:r w:rsidRPr="003F6187">
        <w:rPr>
          <w:snapToGrid w:val="0"/>
          <w:kern w:val="22"/>
          <w:szCs w:val="22"/>
        </w:rPr>
        <w:t xml:space="preserve">lien </w:t>
      </w:r>
      <w:r w:rsidR="0000318C">
        <w:rPr>
          <w:snapToGrid w:val="0"/>
          <w:kern w:val="22"/>
          <w:szCs w:val="22"/>
        </w:rPr>
        <w:t>s</w:t>
      </w:r>
      <w:r w:rsidRPr="003F6187">
        <w:rPr>
          <w:snapToGrid w:val="0"/>
          <w:kern w:val="22"/>
          <w:szCs w:val="22"/>
        </w:rPr>
        <w:t>pecies, the need for tools or guidance for Parties that may assist national customs authorities in facilitating the necessary control of live alien species via e-commerce, building on the national experience or legislation related to the Convention on International Trade in Endangered Species of Wild Fauna and Flora and its enforcement, and to develop such tools or guidance where appropriate;</w:t>
      </w:r>
    </w:p>
    <w:p w14:paraId="2D5B8BEA" w14:textId="77777777" w:rsidR="00786AE9" w:rsidRPr="003F6187" w:rsidRDefault="00786AE9">
      <w:pPr>
        <w:numPr>
          <w:ilvl w:val="1"/>
          <w:numId w:val="12"/>
        </w:numPr>
        <w:suppressLineNumbers/>
        <w:spacing w:before="120" w:after="120"/>
        <w:ind w:left="0" w:firstLine="720"/>
        <w:rPr>
          <w:snapToGrid w:val="0"/>
          <w:kern w:val="22"/>
          <w:szCs w:val="22"/>
        </w:rPr>
      </w:pPr>
      <w:r w:rsidRPr="003F6187">
        <w:rPr>
          <w:snapToGrid w:val="0"/>
          <w:kern w:val="22"/>
          <w:szCs w:val="22"/>
        </w:rPr>
        <w:t>To report on progress in the development of any such tools or guidance to the Subsidiary Body on Technical, Technological and Scientific Advice at a meeting prior to the fourteenth meeting of the Conference of the Parties;</w:t>
      </w:r>
    </w:p>
    <w:p w14:paraId="2C1355B1" w14:textId="77777777" w:rsidR="00786AE9" w:rsidRPr="003F6187" w:rsidRDefault="00786AE9">
      <w:pPr>
        <w:keepNext/>
        <w:suppressLineNumbers/>
        <w:spacing w:before="120" w:after="120"/>
        <w:jc w:val="center"/>
        <w:rPr>
          <w:b/>
          <w:bCs/>
          <w:iCs/>
          <w:snapToGrid w:val="0"/>
          <w:kern w:val="22"/>
          <w:szCs w:val="22"/>
        </w:rPr>
      </w:pPr>
      <w:r w:rsidRPr="003F6187">
        <w:rPr>
          <w:b/>
          <w:bCs/>
          <w:iCs/>
          <w:snapToGrid w:val="0"/>
          <w:kern w:val="22"/>
          <w:szCs w:val="22"/>
        </w:rPr>
        <w:t>Reducing the risk of invasive alien species moving with sea containers</w:t>
      </w:r>
    </w:p>
    <w:p w14:paraId="7CCB3E4A" w14:textId="77777777" w:rsidR="00786AE9" w:rsidRPr="003F6187" w:rsidRDefault="00786AE9">
      <w:pPr>
        <w:numPr>
          <w:ilvl w:val="0"/>
          <w:numId w:val="12"/>
        </w:numPr>
        <w:suppressLineNumbers/>
        <w:spacing w:before="120" w:after="120"/>
        <w:ind w:left="0" w:firstLine="720"/>
        <w:rPr>
          <w:snapToGrid w:val="0"/>
          <w:kern w:val="22"/>
          <w:szCs w:val="22"/>
        </w:rPr>
      </w:pPr>
      <w:r w:rsidRPr="003F6187">
        <w:rPr>
          <w:i/>
          <w:snapToGrid w:val="0"/>
          <w:kern w:val="22"/>
          <w:szCs w:val="22"/>
        </w:rPr>
        <w:t>Welcomes</w:t>
      </w:r>
      <w:r w:rsidRPr="003F6187">
        <w:rPr>
          <w:iCs/>
          <w:snapToGrid w:val="0"/>
          <w:kern w:val="22"/>
          <w:szCs w:val="22"/>
        </w:rPr>
        <w:t xml:space="preserve"> the </w:t>
      </w:r>
      <w:r w:rsidRPr="003F6187">
        <w:rPr>
          <w:snapToGrid w:val="0"/>
          <w:kern w:val="22"/>
          <w:szCs w:val="22"/>
        </w:rPr>
        <w:t>revised International Maritime Organization/</w:t>
      </w:r>
      <w:r w:rsidRPr="003F6187">
        <w:rPr>
          <w:snapToGrid w:val="0"/>
          <w:kern w:val="22"/>
          <w:szCs w:val="22"/>
        </w:rPr>
        <w:softHyphen/>
        <w:t>International Labour Organization/</w:t>
      </w:r>
      <w:r w:rsidRPr="003F6187">
        <w:rPr>
          <w:snapToGrid w:val="0"/>
          <w:kern w:val="22"/>
          <w:szCs w:val="22"/>
        </w:rPr>
        <w:softHyphen/>
        <w:t>Economic Commission for Europe Code of Practice for Packing of Cargo Transport Units and the recommendations of the Commission on Phytosanitary Measures at its tenth session that are related to prevention and minimization of the risk of invasive alien species spreading with sea containers;</w:t>
      </w:r>
    </w:p>
    <w:p w14:paraId="1C2198AB" w14:textId="77777777" w:rsidR="00786AE9" w:rsidRPr="003F6187" w:rsidRDefault="00786AE9">
      <w:pPr>
        <w:numPr>
          <w:ilvl w:val="0"/>
          <w:numId w:val="12"/>
        </w:numPr>
        <w:suppressLineNumbers/>
        <w:spacing w:before="120" w:after="120"/>
        <w:ind w:left="0" w:firstLine="720"/>
        <w:rPr>
          <w:snapToGrid w:val="0"/>
          <w:kern w:val="22"/>
          <w:szCs w:val="22"/>
        </w:rPr>
      </w:pPr>
      <w:r w:rsidRPr="003F6187">
        <w:rPr>
          <w:i/>
          <w:snapToGrid w:val="0"/>
          <w:kern w:val="22"/>
          <w:szCs w:val="22"/>
        </w:rPr>
        <w:t xml:space="preserve">Invites </w:t>
      </w:r>
      <w:r w:rsidRPr="003F6187">
        <w:rPr>
          <w:snapToGrid w:val="0"/>
          <w:kern w:val="22"/>
          <w:szCs w:val="22"/>
        </w:rPr>
        <w:t>Parties and other Governments:</w:t>
      </w:r>
    </w:p>
    <w:p w14:paraId="4FEA8E4B" w14:textId="77777777" w:rsidR="00786AE9" w:rsidRPr="003F6187" w:rsidRDefault="00786AE9">
      <w:pPr>
        <w:numPr>
          <w:ilvl w:val="1"/>
          <w:numId w:val="12"/>
        </w:numPr>
        <w:suppressLineNumbers/>
        <w:spacing w:before="120" w:after="120"/>
        <w:ind w:left="0" w:firstLine="720"/>
        <w:rPr>
          <w:snapToGrid w:val="0"/>
          <w:kern w:val="22"/>
          <w:szCs w:val="22"/>
        </w:rPr>
      </w:pPr>
      <w:r w:rsidRPr="003F6187">
        <w:rPr>
          <w:snapToGrid w:val="0"/>
          <w:kern w:val="22"/>
          <w:szCs w:val="22"/>
        </w:rPr>
        <w:t>To communicate and raise awareness about the risk of invasive alien species spread via sea containers, particularly with stakeholders involved in the packing or movement of sea containers;</w:t>
      </w:r>
    </w:p>
    <w:p w14:paraId="7461B998" w14:textId="77777777" w:rsidR="00786AE9" w:rsidRPr="003F6187" w:rsidRDefault="00786AE9">
      <w:pPr>
        <w:numPr>
          <w:ilvl w:val="1"/>
          <w:numId w:val="12"/>
        </w:numPr>
        <w:suppressLineNumbers/>
        <w:spacing w:before="120" w:after="120"/>
        <w:ind w:left="0" w:firstLine="720"/>
        <w:rPr>
          <w:snapToGrid w:val="0"/>
          <w:kern w:val="22"/>
          <w:szCs w:val="22"/>
        </w:rPr>
      </w:pPr>
      <w:r w:rsidRPr="003F6187">
        <w:rPr>
          <w:snapToGrid w:val="0"/>
          <w:kern w:val="22"/>
          <w:szCs w:val="22"/>
        </w:rPr>
        <w:t>To make use of and raise awareness of the relevant parts of the Code of Practice for Packing of Cargo Transport Units, as appropriate;</w:t>
      </w:r>
    </w:p>
    <w:p w14:paraId="641A0111" w14:textId="77777777" w:rsidR="00786AE9" w:rsidRPr="003F6187" w:rsidRDefault="00786AE9">
      <w:pPr>
        <w:numPr>
          <w:ilvl w:val="1"/>
          <w:numId w:val="12"/>
        </w:numPr>
        <w:suppressLineNumbers/>
        <w:spacing w:before="120" w:after="120"/>
        <w:ind w:left="0" w:firstLine="720"/>
        <w:rPr>
          <w:snapToGrid w:val="0"/>
          <w:kern w:val="22"/>
          <w:szCs w:val="22"/>
        </w:rPr>
      </w:pPr>
      <w:r w:rsidRPr="003F6187">
        <w:rPr>
          <w:snapToGrid w:val="0"/>
          <w:kern w:val="22"/>
          <w:szCs w:val="22"/>
        </w:rPr>
        <w:t>To collect information, as appropriate, on the movement of invasive alien species attached to sea containers, in addition to those with the cargo transported within the sea containers, as well as on bio-fouling and ballast water, and to share such information with the view to analysing, as appropriate and in accordance with national legislation, the potential risk of invasive alien species spread via sea containers and take proportionate actions to mitigate this risk;</w:t>
      </w:r>
    </w:p>
    <w:p w14:paraId="54A7C4F6" w14:textId="77777777" w:rsidR="00786AE9" w:rsidRPr="003F6187" w:rsidRDefault="00786AE9">
      <w:pPr>
        <w:numPr>
          <w:ilvl w:val="1"/>
          <w:numId w:val="12"/>
        </w:numPr>
        <w:suppressLineNumbers/>
        <w:spacing w:before="120" w:after="120"/>
        <w:ind w:left="0" w:firstLine="720"/>
        <w:rPr>
          <w:snapToGrid w:val="0"/>
          <w:kern w:val="22"/>
          <w:szCs w:val="22"/>
        </w:rPr>
      </w:pPr>
      <w:r w:rsidRPr="003F6187">
        <w:rPr>
          <w:snapToGrid w:val="0"/>
          <w:kern w:val="22"/>
          <w:szCs w:val="22"/>
        </w:rPr>
        <w:t>To join the International Convention for the Control and Management of Ships’ Ballast Water and Sediments, as appropriate</w:t>
      </w:r>
      <w:r w:rsidR="00AD1E32">
        <w:rPr>
          <w:snapToGrid w:val="0"/>
          <w:kern w:val="22"/>
          <w:szCs w:val="22"/>
        </w:rPr>
        <w:t>;</w:t>
      </w:r>
    </w:p>
    <w:p w14:paraId="433BFEC3" w14:textId="77777777" w:rsidR="00786AE9" w:rsidRPr="003F6187" w:rsidRDefault="00786AE9">
      <w:pPr>
        <w:keepNext/>
        <w:suppressLineNumbers/>
        <w:spacing w:before="120" w:after="120"/>
        <w:jc w:val="center"/>
        <w:rPr>
          <w:b/>
          <w:bCs/>
          <w:iCs/>
          <w:snapToGrid w:val="0"/>
          <w:kern w:val="22"/>
          <w:szCs w:val="22"/>
        </w:rPr>
      </w:pPr>
      <w:r w:rsidRPr="003F6187">
        <w:rPr>
          <w:b/>
          <w:bCs/>
          <w:iCs/>
          <w:snapToGrid w:val="0"/>
          <w:kern w:val="22"/>
          <w:szCs w:val="22"/>
        </w:rPr>
        <w:t>Biological control of invasive alien species</w:t>
      </w:r>
    </w:p>
    <w:p w14:paraId="6FA9602B" w14:textId="77777777" w:rsidR="00786AE9" w:rsidRPr="003F6187" w:rsidRDefault="00786AE9">
      <w:pPr>
        <w:suppressLineNumbers/>
        <w:spacing w:before="120" w:after="120"/>
        <w:ind w:firstLine="720"/>
        <w:rPr>
          <w:snapToGrid w:val="0"/>
          <w:kern w:val="22"/>
          <w:szCs w:val="22"/>
        </w:rPr>
      </w:pPr>
      <w:r w:rsidRPr="003F6187">
        <w:rPr>
          <w:i/>
          <w:snapToGrid w:val="0"/>
          <w:kern w:val="22"/>
          <w:szCs w:val="22"/>
        </w:rPr>
        <w:t>Recognizing</w:t>
      </w:r>
      <w:r w:rsidRPr="003F6187">
        <w:rPr>
          <w:snapToGrid w:val="0"/>
          <w:kern w:val="22"/>
          <w:szCs w:val="22"/>
        </w:rPr>
        <w:t xml:space="preserve"> that classical biological control can be an effective measure to manage already established invasive alien species, that the use of biological control agents could also present direct and indirect risks to non-target organisms and ecosystems, and that these risks should be addressed by applying the precautionary approach, in line with the preamble of the Convention and appropriate procedures, including comprehensive risk analysis,</w:t>
      </w:r>
    </w:p>
    <w:p w14:paraId="4FDB4FF3" w14:textId="77777777" w:rsidR="00786AE9" w:rsidRPr="003F6187" w:rsidRDefault="00786AE9">
      <w:pPr>
        <w:numPr>
          <w:ilvl w:val="0"/>
          <w:numId w:val="12"/>
        </w:numPr>
        <w:suppressLineNumbers/>
        <w:tabs>
          <w:tab w:val="left" w:pos="1440"/>
        </w:tabs>
        <w:spacing w:before="120" w:after="120"/>
        <w:ind w:left="0" w:firstLine="720"/>
        <w:rPr>
          <w:snapToGrid w:val="0"/>
          <w:kern w:val="22"/>
          <w:szCs w:val="22"/>
        </w:rPr>
      </w:pPr>
      <w:r w:rsidRPr="003F6187">
        <w:rPr>
          <w:i/>
          <w:snapToGrid w:val="0"/>
          <w:kern w:val="22"/>
          <w:szCs w:val="22"/>
        </w:rPr>
        <w:t>Encourages</w:t>
      </w:r>
      <w:r w:rsidRPr="003F6187">
        <w:rPr>
          <w:snapToGrid w:val="0"/>
          <w:kern w:val="22"/>
          <w:szCs w:val="22"/>
        </w:rPr>
        <w:t xml:space="preserve"> Parties, other Governments and relevant organizations, when using classical biological control to manage already established invasive alien species, to apply the precautionary approach and appropriate risk analysis, including the elaboration of contingency plans, taking into account the summary of technical considerations annexed to the present decision as appropriate;</w:t>
      </w:r>
    </w:p>
    <w:p w14:paraId="2B97008F" w14:textId="77777777" w:rsidR="00786AE9" w:rsidRPr="003F6187" w:rsidRDefault="00786AE9">
      <w:pPr>
        <w:numPr>
          <w:ilvl w:val="0"/>
          <w:numId w:val="12"/>
        </w:numPr>
        <w:suppressLineNumbers/>
        <w:spacing w:before="120" w:after="120"/>
        <w:ind w:left="0" w:firstLine="720"/>
        <w:rPr>
          <w:snapToGrid w:val="0"/>
          <w:kern w:val="22"/>
          <w:szCs w:val="22"/>
        </w:rPr>
      </w:pPr>
      <w:r w:rsidRPr="003F6187">
        <w:rPr>
          <w:i/>
          <w:snapToGrid w:val="0"/>
          <w:kern w:val="22"/>
          <w:szCs w:val="22"/>
        </w:rPr>
        <w:t>Encourages</w:t>
      </w:r>
      <w:r w:rsidRPr="003F6187">
        <w:rPr>
          <w:snapToGrid w:val="0"/>
          <w:kern w:val="22"/>
          <w:szCs w:val="22"/>
        </w:rPr>
        <w:t xml:space="preserve"> Parties and </w:t>
      </w:r>
      <w:r w:rsidRPr="003F6187">
        <w:rPr>
          <w:i/>
          <w:snapToGrid w:val="0"/>
          <w:kern w:val="22"/>
          <w:szCs w:val="22"/>
        </w:rPr>
        <w:t>invites</w:t>
      </w:r>
      <w:r w:rsidRPr="003F6187">
        <w:rPr>
          <w:snapToGrid w:val="0"/>
          <w:kern w:val="22"/>
          <w:szCs w:val="22"/>
        </w:rPr>
        <w:t xml:space="preserve"> other Governments, where applicable, to engage subnational governments and consult and inform potentially impacted countries when planning and carrying out a classical biological control programme targeting specific invasive alien species;</w:t>
      </w:r>
    </w:p>
    <w:p w14:paraId="5AFD3B46" w14:textId="77777777" w:rsidR="00786AE9" w:rsidRPr="003F6187" w:rsidRDefault="00786AE9">
      <w:pPr>
        <w:numPr>
          <w:ilvl w:val="0"/>
          <w:numId w:val="12"/>
        </w:numPr>
        <w:suppressLineNumbers/>
        <w:spacing w:before="120" w:after="120"/>
        <w:ind w:left="0" w:firstLine="720"/>
        <w:rPr>
          <w:snapToGrid w:val="0"/>
          <w:kern w:val="22"/>
          <w:szCs w:val="22"/>
        </w:rPr>
      </w:pPr>
      <w:r w:rsidRPr="003F6187">
        <w:rPr>
          <w:i/>
          <w:snapToGrid w:val="0"/>
          <w:kern w:val="22"/>
          <w:szCs w:val="22"/>
        </w:rPr>
        <w:t>Invites</w:t>
      </w:r>
      <w:r w:rsidRPr="003F6187">
        <w:rPr>
          <w:snapToGrid w:val="0"/>
          <w:kern w:val="22"/>
          <w:szCs w:val="22"/>
        </w:rPr>
        <w:t xml:space="preserve"> Parties, other Governments, and as appropriate, standard-setting bodies recognized by the World Trade Organization, and other relevant organizations to adapt, improve or further develop </w:t>
      </w:r>
      <w:r w:rsidRPr="003F6187">
        <w:rPr>
          <w:snapToGrid w:val="0"/>
          <w:kern w:val="22"/>
          <w:szCs w:val="22"/>
        </w:rPr>
        <w:lastRenderedPageBreak/>
        <w:t xml:space="preserve">tools, including decision support tools, for better development and application of biological control programmes against invasive alien species, including prioritization based on impacts, feasibility and likelihood of success of biological control, and the selection of the biological control agents and </w:t>
      </w:r>
      <w:r w:rsidRPr="003F6187">
        <w:rPr>
          <w:i/>
          <w:snapToGrid w:val="0"/>
          <w:kern w:val="22"/>
          <w:szCs w:val="22"/>
        </w:rPr>
        <w:t>requests</w:t>
      </w:r>
      <w:r w:rsidRPr="003F6187">
        <w:rPr>
          <w:snapToGrid w:val="0"/>
          <w:kern w:val="22"/>
          <w:szCs w:val="22"/>
        </w:rPr>
        <w:t xml:space="preserve"> the Executive Secretary to compile this information and make it available through the clearing-house mechanism of the Convention and other means;</w:t>
      </w:r>
    </w:p>
    <w:p w14:paraId="3FD7D7A7" w14:textId="77777777" w:rsidR="00786AE9" w:rsidRPr="003F6187" w:rsidRDefault="00786AE9">
      <w:pPr>
        <w:suppressLineNumbers/>
        <w:spacing w:before="120" w:after="120"/>
        <w:ind w:firstLine="720"/>
        <w:rPr>
          <w:snapToGrid w:val="0"/>
          <w:kern w:val="22"/>
          <w:szCs w:val="22"/>
        </w:rPr>
      </w:pPr>
      <w:r w:rsidRPr="003F6187">
        <w:rPr>
          <w:snapToGrid w:val="0"/>
          <w:kern w:val="22"/>
          <w:szCs w:val="22"/>
        </w:rPr>
        <w:t>15.</w:t>
      </w:r>
      <w:r w:rsidRPr="003F6187">
        <w:rPr>
          <w:snapToGrid w:val="0"/>
          <w:kern w:val="22"/>
          <w:szCs w:val="22"/>
        </w:rPr>
        <w:tab/>
      </w:r>
      <w:r w:rsidRPr="003F6187">
        <w:rPr>
          <w:i/>
          <w:snapToGrid w:val="0"/>
          <w:kern w:val="22"/>
          <w:szCs w:val="22"/>
        </w:rPr>
        <w:t>Encourages</w:t>
      </w:r>
      <w:r w:rsidRPr="003F6187">
        <w:rPr>
          <w:snapToGrid w:val="0"/>
          <w:kern w:val="22"/>
          <w:szCs w:val="22"/>
        </w:rPr>
        <w:t xml:space="preserve"> Parties, when applying biological control agents, to consider using native species where possible;</w:t>
      </w:r>
    </w:p>
    <w:p w14:paraId="5678F8BC" w14:textId="77777777" w:rsidR="00786AE9" w:rsidRPr="003F6187" w:rsidRDefault="00786AE9">
      <w:pPr>
        <w:suppressLineNumbers/>
        <w:spacing w:before="120" w:after="120"/>
        <w:ind w:firstLine="720"/>
        <w:rPr>
          <w:snapToGrid w:val="0"/>
          <w:kern w:val="22"/>
          <w:szCs w:val="22"/>
        </w:rPr>
      </w:pPr>
      <w:r w:rsidRPr="003F6187">
        <w:rPr>
          <w:snapToGrid w:val="0"/>
          <w:kern w:val="22"/>
          <w:szCs w:val="22"/>
        </w:rPr>
        <w:t>16.</w:t>
      </w:r>
      <w:r w:rsidRPr="003F6187">
        <w:rPr>
          <w:i/>
          <w:snapToGrid w:val="0"/>
          <w:kern w:val="22"/>
          <w:szCs w:val="22"/>
        </w:rPr>
        <w:tab/>
        <w:t xml:space="preserve">Requests </w:t>
      </w:r>
      <w:r w:rsidRPr="003F6187">
        <w:rPr>
          <w:snapToGrid w:val="0"/>
          <w:kern w:val="22"/>
          <w:szCs w:val="22"/>
        </w:rPr>
        <w:t xml:space="preserve">the Executive Secretary, subject to the availability of resources, to further collaborate with the International Plant Protection Convention, the World Organisation for Animal Health, the Food and Agriculture Organization of the United Nations, other members of the inter-agency liaison group on invasive alien species and other relevant organizations, such as the International Organization for Biological Control, to identify options for supplementing risk assessment and risk management </w:t>
      </w:r>
      <w:r w:rsidRPr="003F6187">
        <w:rPr>
          <w:iCs/>
          <w:snapToGrid w:val="0"/>
          <w:kern w:val="22"/>
          <w:szCs w:val="22"/>
        </w:rPr>
        <w:t>standards</w:t>
      </w:r>
      <w:r w:rsidRPr="003F6187">
        <w:rPr>
          <w:snapToGrid w:val="0"/>
          <w:kern w:val="22"/>
          <w:szCs w:val="22"/>
        </w:rPr>
        <w:t xml:space="preserve"> for the use of biological control agents against invasive alien species, including in aquatic environments, and to report on progress to the Subsidiary Body on Technical, Technological and Scientific Advice at a meeting prior to the fourteenth meeting of the Conference of the Parties;</w:t>
      </w:r>
    </w:p>
    <w:p w14:paraId="79EB20AE" w14:textId="77777777" w:rsidR="00786AE9" w:rsidRPr="003F6187" w:rsidRDefault="00786AE9">
      <w:pPr>
        <w:keepNext/>
        <w:suppressLineNumbers/>
        <w:spacing w:before="120" w:after="120"/>
        <w:jc w:val="center"/>
        <w:rPr>
          <w:b/>
          <w:bCs/>
          <w:iCs/>
          <w:snapToGrid w:val="0"/>
          <w:kern w:val="22"/>
          <w:szCs w:val="22"/>
        </w:rPr>
      </w:pPr>
      <w:r w:rsidRPr="003F6187">
        <w:rPr>
          <w:b/>
          <w:bCs/>
          <w:iCs/>
          <w:snapToGrid w:val="0"/>
          <w:kern w:val="22"/>
          <w:szCs w:val="22"/>
        </w:rPr>
        <w:t>Decision support tools</w:t>
      </w:r>
    </w:p>
    <w:p w14:paraId="4C51B1FD" w14:textId="77777777" w:rsidR="00786AE9" w:rsidRPr="003F6187" w:rsidRDefault="00786AE9">
      <w:pPr>
        <w:suppressLineNumbers/>
        <w:spacing w:before="120" w:after="120"/>
        <w:ind w:firstLine="720"/>
        <w:rPr>
          <w:snapToGrid w:val="0"/>
          <w:kern w:val="22"/>
          <w:szCs w:val="22"/>
        </w:rPr>
      </w:pPr>
      <w:r w:rsidRPr="003F6187">
        <w:rPr>
          <w:iCs/>
          <w:snapToGrid w:val="0"/>
          <w:kern w:val="22"/>
          <w:szCs w:val="22"/>
        </w:rPr>
        <w:t>17.</w:t>
      </w:r>
      <w:r w:rsidRPr="003F6187">
        <w:rPr>
          <w:i/>
          <w:iCs/>
          <w:snapToGrid w:val="0"/>
          <w:kern w:val="22"/>
          <w:szCs w:val="22"/>
        </w:rPr>
        <w:tab/>
        <w:t xml:space="preserve">Also </w:t>
      </w:r>
      <w:r w:rsidRPr="003F6187">
        <w:rPr>
          <w:i/>
          <w:snapToGrid w:val="0"/>
          <w:kern w:val="22"/>
          <w:szCs w:val="22"/>
        </w:rPr>
        <w:t xml:space="preserve">requests </w:t>
      </w:r>
      <w:r w:rsidRPr="003F6187">
        <w:rPr>
          <w:snapToGrid w:val="0"/>
          <w:kern w:val="22"/>
          <w:szCs w:val="22"/>
        </w:rPr>
        <w:t>the Executive Secretary, further to decisions IX/4 A, X/38, XI/28 and XII/17 and subject to the availability of resources, in collaboration with partner organizations and interested or concerned Parties:</w:t>
      </w:r>
    </w:p>
    <w:p w14:paraId="75261DA2" w14:textId="77777777" w:rsidR="00786AE9" w:rsidRPr="003F6187" w:rsidRDefault="00786AE9">
      <w:pPr>
        <w:numPr>
          <w:ilvl w:val="0"/>
          <w:numId w:val="2"/>
        </w:numPr>
        <w:suppressLineNumbers/>
        <w:spacing w:before="120" w:after="120"/>
        <w:ind w:left="0" w:firstLine="720"/>
        <w:rPr>
          <w:snapToGrid w:val="0"/>
          <w:kern w:val="22"/>
          <w:szCs w:val="22"/>
        </w:rPr>
      </w:pPr>
      <w:r w:rsidRPr="003F6187">
        <w:rPr>
          <w:snapToGrid w:val="0"/>
          <w:kern w:val="22"/>
          <w:szCs w:val="22"/>
        </w:rPr>
        <w:t>To continue to compile or develop and maintain decision support tools in a coordinated manner with the Intergovernmental Science-Policy Platform on Biodiversity and Ecosystem Services, making use of the scoping report for a thematic assessment on invasive alien species to facilitate implementation and make those tools available through the clearing-house mechanism of the Convention, in order to generate appropriate actions towards achieving Aichi Biodiversity Target 9;</w:t>
      </w:r>
    </w:p>
    <w:p w14:paraId="524BD12D" w14:textId="77777777" w:rsidR="00786AE9" w:rsidRPr="003F6187" w:rsidRDefault="00786AE9">
      <w:pPr>
        <w:numPr>
          <w:ilvl w:val="0"/>
          <w:numId w:val="2"/>
        </w:numPr>
        <w:suppressLineNumbers/>
        <w:spacing w:before="120" w:after="120"/>
        <w:ind w:left="0" w:firstLine="720"/>
        <w:rPr>
          <w:snapToGrid w:val="0"/>
          <w:kern w:val="22"/>
          <w:szCs w:val="22"/>
        </w:rPr>
      </w:pPr>
      <w:r w:rsidRPr="003F6187">
        <w:rPr>
          <w:snapToGrid w:val="0"/>
          <w:kern w:val="22"/>
          <w:szCs w:val="22"/>
        </w:rPr>
        <w:t>To develop technical guidance for conducting cost-benefit and cost-effectiveness analysis for the management of invasive alien species for consideration by the Subsidiary Body on Technical, Technological and Scientific Advice at a meeting prior to the fourteenth meeting of the Conference of the Parties;</w:t>
      </w:r>
    </w:p>
    <w:p w14:paraId="41A498D1" w14:textId="77777777" w:rsidR="00786AE9" w:rsidRPr="003F6187" w:rsidRDefault="00786AE9">
      <w:pPr>
        <w:numPr>
          <w:ilvl w:val="0"/>
          <w:numId w:val="2"/>
        </w:numPr>
        <w:suppressLineNumbers/>
        <w:spacing w:before="120" w:after="120"/>
        <w:ind w:left="0" w:firstLine="720"/>
        <w:rPr>
          <w:snapToGrid w:val="0"/>
          <w:kern w:val="22"/>
          <w:szCs w:val="22"/>
        </w:rPr>
      </w:pPr>
      <w:r w:rsidRPr="003F6187">
        <w:rPr>
          <w:snapToGrid w:val="0"/>
          <w:kern w:val="22"/>
          <w:szCs w:val="22"/>
        </w:rPr>
        <w:t>To develop guidance on invasive alien species management that takes into consideration the impacts of climate change, natural disasters and land-use change on the management of biological invasions;</w:t>
      </w:r>
    </w:p>
    <w:p w14:paraId="62877239" w14:textId="77777777" w:rsidR="00786AE9" w:rsidRPr="003F6187" w:rsidRDefault="00786AE9">
      <w:pPr>
        <w:numPr>
          <w:ilvl w:val="0"/>
          <w:numId w:val="2"/>
        </w:numPr>
        <w:suppressLineNumbers/>
        <w:spacing w:before="120" w:after="120"/>
        <w:ind w:left="0" w:firstLine="720"/>
        <w:rPr>
          <w:snapToGrid w:val="0"/>
          <w:kern w:val="22"/>
          <w:szCs w:val="22"/>
        </w:rPr>
      </w:pPr>
      <w:r w:rsidRPr="003F6187">
        <w:rPr>
          <w:snapToGrid w:val="0"/>
          <w:kern w:val="22"/>
          <w:szCs w:val="22"/>
        </w:rPr>
        <w:t>To compile information on the potential consequences of invasive alien species on social, economic and cultural values, including the values and priorities of indigenous peoples and local communities;</w:t>
      </w:r>
    </w:p>
    <w:p w14:paraId="0135EEEB" w14:textId="77777777" w:rsidR="00786AE9" w:rsidRPr="003F6187" w:rsidRDefault="00786AE9">
      <w:pPr>
        <w:numPr>
          <w:ilvl w:val="0"/>
          <w:numId w:val="2"/>
        </w:numPr>
        <w:suppressLineNumbers/>
        <w:spacing w:before="120" w:after="120"/>
        <w:ind w:left="0" w:firstLine="720"/>
        <w:rPr>
          <w:snapToGrid w:val="0"/>
          <w:kern w:val="22"/>
          <w:szCs w:val="22"/>
        </w:rPr>
      </w:pPr>
      <w:r w:rsidRPr="003F6187">
        <w:rPr>
          <w:snapToGrid w:val="0"/>
          <w:kern w:val="22"/>
          <w:szCs w:val="22"/>
        </w:rPr>
        <w:t>To report on the progress made to the Subsidiary Body on Scientific, Technical and Technological Advice at a meeting to be held prior to the fourteenth meeting of the Conference of the Parties;</w:t>
      </w:r>
    </w:p>
    <w:p w14:paraId="0D1B6AAA" w14:textId="77777777" w:rsidR="00786AE9" w:rsidRPr="003F6187" w:rsidRDefault="00786AE9">
      <w:pPr>
        <w:suppressLineNumbers/>
        <w:spacing w:before="120" w:after="120"/>
        <w:ind w:firstLine="720"/>
        <w:rPr>
          <w:snapToGrid w:val="0"/>
          <w:kern w:val="22"/>
          <w:szCs w:val="22"/>
        </w:rPr>
      </w:pPr>
      <w:r w:rsidRPr="003F6187">
        <w:rPr>
          <w:snapToGrid w:val="0"/>
          <w:kern w:val="22"/>
          <w:szCs w:val="22"/>
        </w:rPr>
        <w:t>18.</w:t>
      </w:r>
      <w:r w:rsidRPr="003F6187">
        <w:rPr>
          <w:i/>
          <w:snapToGrid w:val="0"/>
          <w:kern w:val="22"/>
          <w:szCs w:val="22"/>
        </w:rPr>
        <w:tab/>
        <w:t>Invites</w:t>
      </w:r>
      <w:r w:rsidRPr="003F6187">
        <w:rPr>
          <w:snapToGrid w:val="0"/>
          <w:kern w:val="22"/>
          <w:szCs w:val="22"/>
        </w:rPr>
        <w:t xml:space="preserve"> Parties and other Governments to consider the balance between the environmental, social and economic costs and benefits related to invasive alien species and remedial actions, in decision making on introduction, eradication, containment, mitigation or control of invasive alien species, </w:t>
      </w:r>
      <w:r w:rsidR="0000318C">
        <w:rPr>
          <w:snapToGrid w:val="0"/>
          <w:kern w:val="22"/>
          <w:szCs w:val="22"/>
        </w:rPr>
        <w:t xml:space="preserve">and </w:t>
      </w:r>
      <w:r w:rsidRPr="003F6187">
        <w:rPr>
          <w:snapToGrid w:val="0"/>
          <w:kern w:val="22"/>
          <w:szCs w:val="22"/>
        </w:rPr>
        <w:t>making use, as appropriate, of the Methodological assessment of scenarios and models of biodiversity and ecosystem services of the Intergovernmental Science-Policy Platform on Biodiversity and Ecosystem Services;</w:t>
      </w:r>
      <w:r w:rsidRPr="003F6187">
        <w:rPr>
          <w:rStyle w:val="a"/>
          <w:snapToGrid w:val="0"/>
          <w:kern w:val="22"/>
          <w:sz w:val="22"/>
          <w:szCs w:val="22"/>
          <w:u w:val="none"/>
          <w:vertAlign w:val="superscript"/>
        </w:rPr>
        <w:footnoteReference w:id="5"/>
      </w:r>
    </w:p>
    <w:p w14:paraId="6FD7C590" w14:textId="77777777" w:rsidR="00786AE9" w:rsidRPr="003F6187" w:rsidRDefault="00786AE9">
      <w:pPr>
        <w:suppressLineNumbers/>
        <w:spacing w:before="120" w:after="120"/>
        <w:ind w:firstLine="720"/>
        <w:rPr>
          <w:snapToGrid w:val="0"/>
          <w:kern w:val="22"/>
          <w:szCs w:val="22"/>
        </w:rPr>
      </w:pPr>
      <w:r w:rsidRPr="003F6187">
        <w:rPr>
          <w:snapToGrid w:val="0"/>
          <w:kern w:val="22"/>
          <w:szCs w:val="22"/>
        </w:rPr>
        <w:lastRenderedPageBreak/>
        <w:t>19.</w:t>
      </w:r>
      <w:r w:rsidRPr="003F6187">
        <w:rPr>
          <w:i/>
          <w:snapToGrid w:val="0"/>
          <w:kern w:val="22"/>
          <w:szCs w:val="22"/>
        </w:rPr>
        <w:tab/>
        <w:t xml:space="preserve">Also invites </w:t>
      </w:r>
      <w:r w:rsidRPr="003F6187">
        <w:rPr>
          <w:snapToGrid w:val="0"/>
          <w:kern w:val="22"/>
          <w:szCs w:val="22"/>
        </w:rPr>
        <w:t>Parties and other Governments to adopt a participatory process by identifying and engaging indigenous peoples and local communities and relevant stakeholders from an early stage, and to develop and use participatory decision-making to increase transparency in decision-making;</w:t>
      </w:r>
    </w:p>
    <w:p w14:paraId="43C3076E" w14:textId="77777777" w:rsidR="00786AE9" w:rsidRPr="003F6187" w:rsidRDefault="00786AE9">
      <w:pPr>
        <w:keepNext/>
        <w:suppressLineNumbers/>
        <w:spacing w:before="120" w:after="120"/>
        <w:jc w:val="center"/>
        <w:rPr>
          <w:b/>
          <w:snapToGrid w:val="0"/>
          <w:kern w:val="22"/>
          <w:szCs w:val="22"/>
        </w:rPr>
      </w:pPr>
      <w:r w:rsidRPr="003F6187">
        <w:rPr>
          <w:b/>
          <w:snapToGrid w:val="0"/>
          <w:kern w:val="22"/>
          <w:szCs w:val="22"/>
        </w:rPr>
        <w:t>Achieving Aichi Biodiversity Target 9</w:t>
      </w:r>
    </w:p>
    <w:p w14:paraId="2C00EE97" w14:textId="77777777" w:rsidR="00786AE9" w:rsidRPr="003F6187" w:rsidRDefault="00786AE9">
      <w:pPr>
        <w:suppressLineNumbers/>
        <w:spacing w:before="120" w:after="120"/>
        <w:ind w:firstLine="720"/>
        <w:rPr>
          <w:snapToGrid w:val="0"/>
          <w:kern w:val="22"/>
          <w:szCs w:val="22"/>
        </w:rPr>
      </w:pPr>
      <w:r w:rsidRPr="003F6187">
        <w:rPr>
          <w:snapToGrid w:val="0"/>
          <w:kern w:val="22"/>
          <w:szCs w:val="22"/>
        </w:rPr>
        <w:t>20.</w:t>
      </w:r>
      <w:r w:rsidRPr="003F6187">
        <w:rPr>
          <w:i/>
          <w:snapToGrid w:val="0"/>
          <w:kern w:val="22"/>
          <w:szCs w:val="22"/>
        </w:rPr>
        <w:tab/>
        <w:t>Welcomes</w:t>
      </w:r>
      <w:r w:rsidRPr="003F6187">
        <w:rPr>
          <w:snapToGrid w:val="0"/>
          <w:kern w:val="22"/>
          <w:szCs w:val="22"/>
        </w:rPr>
        <w:t xml:space="preserve"> the work done by the experts of the Invasive Species Specialist Group of the International Union for Conservation of Nature to develop methodologies for prioritizing the pathways of introduction of invasive alien species as presented in the note by the Executive Secretary,</w:t>
      </w:r>
      <w:r w:rsidRPr="003F6187">
        <w:rPr>
          <w:rStyle w:val="FootnoteReference"/>
          <w:snapToGrid w:val="0"/>
          <w:kern w:val="22"/>
          <w:szCs w:val="22"/>
        </w:rPr>
        <w:footnoteReference w:id="6"/>
      </w:r>
      <w:r w:rsidRPr="003F6187">
        <w:rPr>
          <w:snapToGrid w:val="0"/>
          <w:kern w:val="22"/>
          <w:szCs w:val="22"/>
        </w:rPr>
        <w:t xml:space="preserve"> </w:t>
      </w:r>
      <w:r w:rsidRPr="003F6187">
        <w:rPr>
          <w:i/>
          <w:snapToGrid w:val="0"/>
          <w:kern w:val="22"/>
          <w:szCs w:val="22"/>
        </w:rPr>
        <w:t>invites</w:t>
      </w:r>
      <w:r w:rsidRPr="003F6187">
        <w:rPr>
          <w:snapToGrid w:val="0"/>
          <w:kern w:val="22"/>
          <w:szCs w:val="22"/>
        </w:rPr>
        <w:t xml:space="preserve"> Parties and other Governments to apply these methods, and </w:t>
      </w:r>
      <w:r w:rsidRPr="003F6187">
        <w:rPr>
          <w:i/>
          <w:snapToGrid w:val="0"/>
          <w:kern w:val="22"/>
          <w:szCs w:val="22"/>
        </w:rPr>
        <w:t>invites</w:t>
      </w:r>
      <w:r w:rsidRPr="003F6187">
        <w:rPr>
          <w:snapToGrid w:val="0"/>
          <w:kern w:val="22"/>
          <w:szCs w:val="22"/>
        </w:rPr>
        <w:t xml:space="preserve"> the International Union for Conservation of Nature to complete its work on developing these methodologies, and to present them to a future meeting of Subsidiary Body on Scientific, Technical and Technological Advice;</w:t>
      </w:r>
    </w:p>
    <w:p w14:paraId="3ACDD259" w14:textId="77777777" w:rsidR="00786AE9" w:rsidRPr="003F6187" w:rsidRDefault="00786AE9">
      <w:pPr>
        <w:suppressLineNumbers/>
        <w:spacing w:before="120" w:after="120"/>
        <w:ind w:firstLine="720"/>
        <w:rPr>
          <w:snapToGrid w:val="0"/>
          <w:kern w:val="22"/>
          <w:szCs w:val="22"/>
        </w:rPr>
      </w:pPr>
      <w:r w:rsidRPr="003F6187">
        <w:rPr>
          <w:snapToGrid w:val="0"/>
          <w:kern w:val="22"/>
          <w:szCs w:val="22"/>
        </w:rPr>
        <w:t>21.</w:t>
      </w:r>
      <w:r w:rsidRPr="003F6187">
        <w:rPr>
          <w:i/>
          <w:snapToGrid w:val="0"/>
          <w:kern w:val="22"/>
          <w:szCs w:val="22"/>
        </w:rPr>
        <w:tab/>
        <w:t xml:space="preserve">Welcomes </w:t>
      </w:r>
      <w:r w:rsidRPr="003F6187">
        <w:rPr>
          <w:snapToGrid w:val="0"/>
          <w:kern w:val="22"/>
          <w:szCs w:val="22"/>
        </w:rPr>
        <w:t>the Honolulu Challenge on Invasive Alien Species,</w:t>
      </w:r>
      <w:r w:rsidRPr="003F6187">
        <w:rPr>
          <w:rStyle w:val="a"/>
          <w:snapToGrid w:val="0"/>
          <w:kern w:val="22"/>
          <w:sz w:val="22"/>
          <w:szCs w:val="22"/>
          <w:u w:val="none"/>
          <w:vertAlign w:val="superscript"/>
        </w:rPr>
        <w:footnoteReference w:id="7"/>
      </w:r>
      <w:r w:rsidRPr="003F6187">
        <w:rPr>
          <w:snapToGrid w:val="0"/>
          <w:kern w:val="22"/>
          <w:szCs w:val="22"/>
        </w:rPr>
        <w:t xml:space="preserve"> which calls for further urgent action and bold commitments to address biological invasions in order to meet Aichi Biodiversity Target 9, as well as relevant commitments by Parties on the control and eradication of invasive alien species in the context of the “Cancun Coalitions and Commitments”;</w:t>
      </w:r>
    </w:p>
    <w:p w14:paraId="050B82B8" w14:textId="77777777" w:rsidR="00786AE9" w:rsidRPr="003F6187" w:rsidRDefault="00786AE9">
      <w:pPr>
        <w:suppressLineNumbers/>
        <w:spacing w:before="120" w:after="120"/>
        <w:ind w:firstLine="720"/>
        <w:rPr>
          <w:snapToGrid w:val="0"/>
          <w:kern w:val="22"/>
          <w:szCs w:val="22"/>
        </w:rPr>
      </w:pPr>
      <w:r w:rsidRPr="003F6187">
        <w:rPr>
          <w:snapToGrid w:val="0"/>
          <w:kern w:val="22"/>
          <w:szCs w:val="22"/>
        </w:rPr>
        <w:t>22.</w:t>
      </w:r>
      <w:r w:rsidRPr="003F6187">
        <w:rPr>
          <w:i/>
          <w:snapToGrid w:val="0"/>
          <w:kern w:val="22"/>
          <w:szCs w:val="22"/>
        </w:rPr>
        <w:tab/>
        <w:t xml:space="preserve">Invites </w:t>
      </w:r>
      <w:r w:rsidRPr="003F6187">
        <w:rPr>
          <w:snapToGrid w:val="0"/>
          <w:kern w:val="22"/>
          <w:szCs w:val="22"/>
        </w:rPr>
        <w:t>Parties and other Governments to submit information on:</w:t>
      </w:r>
    </w:p>
    <w:p w14:paraId="25A26CEA" w14:textId="77777777" w:rsidR="00786AE9" w:rsidRPr="003F6187" w:rsidRDefault="00786AE9">
      <w:pPr>
        <w:numPr>
          <w:ilvl w:val="1"/>
          <w:numId w:val="12"/>
        </w:numPr>
        <w:suppressLineNumbers/>
        <w:spacing w:before="120" w:after="120"/>
        <w:ind w:left="0" w:firstLine="720"/>
        <w:rPr>
          <w:snapToGrid w:val="0"/>
          <w:kern w:val="22"/>
          <w:szCs w:val="22"/>
        </w:rPr>
      </w:pPr>
      <w:r w:rsidRPr="003F6187">
        <w:rPr>
          <w:snapToGrid w:val="0"/>
          <w:kern w:val="22"/>
          <w:szCs w:val="22"/>
        </w:rPr>
        <w:t>Experiences, best practices and lessons learned in their work, including information on progress in implementation;</w:t>
      </w:r>
    </w:p>
    <w:p w14:paraId="63391CF4" w14:textId="77777777" w:rsidR="00786AE9" w:rsidRPr="003F6187" w:rsidRDefault="00786AE9">
      <w:pPr>
        <w:suppressLineNumbers/>
        <w:spacing w:before="120" w:after="120"/>
        <w:ind w:firstLine="720"/>
        <w:rPr>
          <w:snapToGrid w:val="0"/>
          <w:kern w:val="22"/>
          <w:szCs w:val="22"/>
        </w:rPr>
      </w:pPr>
      <w:r w:rsidRPr="003F6187">
        <w:rPr>
          <w:snapToGrid w:val="0"/>
          <w:kern w:val="22"/>
          <w:szCs w:val="22"/>
        </w:rPr>
        <w:t>(b)</w:t>
      </w:r>
      <w:r w:rsidRPr="003F6187">
        <w:rPr>
          <w:snapToGrid w:val="0"/>
          <w:kern w:val="22"/>
          <w:szCs w:val="22"/>
        </w:rPr>
        <w:tab/>
        <w:t>Gaps in achieving Aichi Biodiversity Target 9, especially on the application of methods for pathway analysis and prioritization of invasive alien species, including gaps in existing capacity;</w:t>
      </w:r>
    </w:p>
    <w:p w14:paraId="2118B594" w14:textId="77777777" w:rsidR="00786AE9" w:rsidRPr="003F6187" w:rsidRDefault="00786AE9">
      <w:pPr>
        <w:suppressLineNumbers/>
        <w:spacing w:before="120" w:after="120"/>
        <w:ind w:firstLine="720"/>
        <w:rPr>
          <w:snapToGrid w:val="0"/>
          <w:kern w:val="22"/>
          <w:szCs w:val="22"/>
        </w:rPr>
      </w:pPr>
      <w:r w:rsidRPr="003F6187">
        <w:rPr>
          <w:snapToGrid w:val="0"/>
          <w:kern w:val="22"/>
          <w:szCs w:val="22"/>
        </w:rPr>
        <w:t>23.</w:t>
      </w:r>
      <w:r w:rsidRPr="003F6187">
        <w:rPr>
          <w:i/>
          <w:snapToGrid w:val="0"/>
          <w:kern w:val="22"/>
          <w:szCs w:val="22"/>
        </w:rPr>
        <w:tab/>
        <w:t>Requests</w:t>
      </w:r>
      <w:r w:rsidRPr="003F6187">
        <w:rPr>
          <w:snapToGrid w:val="0"/>
          <w:kern w:val="22"/>
          <w:szCs w:val="22"/>
        </w:rPr>
        <w:t xml:space="preserve"> the Executive Secretary, subject to the availability of resources;</w:t>
      </w:r>
    </w:p>
    <w:p w14:paraId="4BFAA8AF" w14:textId="77777777" w:rsidR="00786AE9" w:rsidRPr="003F6187" w:rsidRDefault="00786AE9">
      <w:pPr>
        <w:numPr>
          <w:ilvl w:val="0"/>
          <w:numId w:val="11"/>
        </w:numPr>
        <w:suppressLineNumbers/>
        <w:spacing w:before="120" w:after="120"/>
        <w:ind w:left="0" w:firstLine="720"/>
        <w:rPr>
          <w:snapToGrid w:val="0"/>
          <w:kern w:val="22"/>
          <w:szCs w:val="22"/>
        </w:rPr>
      </w:pPr>
      <w:r w:rsidRPr="003F6187">
        <w:rPr>
          <w:snapToGrid w:val="0"/>
          <w:kern w:val="22"/>
          <w:szCs w:val="22"/>
        </w:rPr>
        <w:t>To make the information requested in paragraph 22 above available through the clearing-house mechanism and other means;</w:t>
      </w:r>
    </w:p>
    <w:p w14:paraId="6A262B12" w14:textId="77777777" w:rsidR="00786AE9" w:rsidRPr="003F6187" w:rsidRDefault="00786AE9">
      <w:pPr>
        <w:numPr>
          <w:ilvl w:val="0"/>
          <w:numId w:val="11"/>
        </w:numPr>
        <w:suppressLineNumbers/>
        <w:spacing w:before="120" w:after="120"/>
        <w:ind w:left="0" w:firstLine="720"/>
        <w:rPr>
          <w:snapToGrid w:val="0"/>
          <w:kern w:val="22"/>
          <w:szCs w:val="22"/>
        </w:rPr>
      </w:pPr>
      <w:r w:rsidRPr="003F6187">
        <w:rPr>
          <w:snapToGrid w:val="0"/>
          <w:kern w:val="22"/>
          <w:szCs w:val="22"/>
        </w:rPr>
        <w:t>To continue to provide support for data collection, standardization, sharing and open access at global level through the Global Invasive Alien Species Information Partnership;</w:t>
      </w:r>
    </w:p>
    <w:p w14:paraId="554F4826" w14:textId="77777777" w:rsidR="00786AE9" w:rsidRPr="003F6187" w:rsidRDefault="00786AE9">
      <w:pPr>
        <w:numPr>
          <w:ilvl w:val="0"/>
          <w:numId w:val="11"/>
        </w:numPr>
        <w:suppressLineNumbers/>
        <w:spacing w:before="120" w:after="120"/>
        <w:ind w:left="0" w:firstLine="720"/>
        <w:rPr>
          <w:snapToGrid w:val="0"/>
          <w:kern w:val="22"/>
          <w:szCs w:val="22"/>
        </w:rPr>
      </w:pPr>
      <w:r w:rsidRPr="003F6187">
        <w:rPr>
          <w:snapToGrid w:val="0"/>
          <w:kern w:val="22"/>
          <w:szCs w:val="22"/>
        </w:rPr>
        <w:t xml:space="preserve">To report on progress to the Subsidiary Body on Technical, Technological and Scientific Advice at a meeting </w:t>
      </w:r>
      <w:r w:rsidR="0000318C">
        <w:rPr>
          <w:snapToGrid w:val="0"/>
          <w:kern w:val="22"/>
          <w:szCs w:val="22"/>
        </w:rPr>
        <w:t xml:space="preserve">to be </w:t>
      </w:r>
      <w:r w:rsidRPr="003F6187">
        <w:rPr>
          <w:snapToGrid w:val="0"/>
          <w:kern w:val="22"/>
          <w:szCs w:val="22"/>
        </w:rPr>
        <w:t>held prior to the fourteenth meeting of the Conference of the Parties;</w:t>
      </w:r>
    </w:p>
    <w:p w14:paraId="5D8FC83F" w14:textId="77777777" w:rsidR="00786AE9" w:rsidRPr="003F6187" w:rsidRDefault="00786AE9">
      <w:pPr>
        <w:suppressLineNumbers/>
        <w:spacing w:before="120" w:after="120"/>
        <w:ind w:firstLine="720"/>
        <w:rPr>
          <w:snapToGrid w:val="0"/>
          <w:kern w:val="22"/>
          <w:szCs w:val="22"/>
        </w:rPr>
      </w:pPr>
      <w:r w:rsidRPr="003F6187">
        <w:rPr>
          <w:snapToGrid w:val="0"/>
          <w:kern w:val="22"/>
          <w:szCs w:val="22"/>
        </w:rPr>
        <w:t>24.</w:t>
      </w:r>
      <w:r w:rsidRPr="003F6187">
        <w:rPr>
          <w:i/>
          <w:snapToGrid w:val="0"/>
          <w:kern w:val="22"/>
          <w:szCs w:val="22"/>
        </w:rPr>
        <w:tab/>
        <w:t>Encourages</w:t>
      </w:r>
      <w:r w:rsidRPr="003F6187">
        <w:rPr>
          <w:iCs/>
          <w:snapToGrid w:val="0"/>
          <w:kern w:val="22"/>
          <w:szCs w:val="22"/>
        </w:rPr>
        <w:t xml:space="preserve"> Parties, other Governments and relevant organizations to cooperate with the private </w:t>
      </w:r>
      <w:r w:rsidRPr="003F6187">
        <w:rPr>
          <w:snapToGrid w:val="0"/>
          <w:kern w:val="22"/>
          <w:szCs w:val="22"/>
        </w:rPr>
        <w:t>sector</w:t>
      </w:r>
      <w:r w:rsidRPr="003F6187">
        <w:rPr>
          <w:iCs/>
          <w:snapToGrid w:val="0"/>
          <w:kern w:val="22"/>
          <w:szCs w:val="22"/>
        </w:rPr>
        <w:t xml:space="preserve"> in order to address invasive alien species, and </w:t>
      </w:r>
      <w:r w:rsidRPr="003F6187">
        <w:rPr>
          <w:i/>
          <w:snapToGrid w:val="0"/>
          <w:kern w:val="22"/>
          <w:szCs w:val="22"/>
        </w:rPr>
        <w:t>invites</w:t>
      </w:r>
      <w:r w:rsidRPr="003F6187">
        <w:rPr>
          <w:iCs/>
          <w:snapToGrid w:val="0"/>
          <w:kern w:val="22"/>
          <w:szCs w:val="22"/>
        </w:rPr>
        <w:t xml:space="preserve"> the private sector to consider contributing to the achievement of Aichi Biodiversity Target 9 in their corporate practices</w:t>
      </w:r>
      <w:r w:rsidRPr="003F6187">
        <w:rPr>
          <w:snapToGrid w:val="0"/>
          <w:kern w:val="22"/>
          <w:szCs w:val="22"/>
        </w:rPr>
        <w:t>;</w:t>
      </w:r>
    </w:p>
    <w:p w14:paraId="70020F0C" w14:textId="77777777" w:rsidR="00786AE9" w:rsidRPr="003F6187" w:rsidRDefault="00786AE9">
      <w:pPr>
        <w:suppressLineNumbers/>
        <w:spacing w:before="120" w:after="120"/>
        <w:ind w:firstLine="720"/>
        <w:rPr>
          <w:snapToGrid w:val="0"/>
          <w:kern w:val="22"/>
          <w:szCs w:val="22"/>
        </w:rPr>
      </w:pPr>
      <w:r w:rsidRPr="003F6187">
        <w:rPr>
          <w:snapToGrid w:val="0"/>
          <w:kern w:val="22"/>
          <w:szCs w:val="22"/>
        </w:rPr>
        <w:t>25.</w:t>
      </w:r>
      <w:r w:rsidRPr="003F6187">
        <w:rPr>
          <w:i/>
          <w:snapToGrid w:val="0"/>
          <w:kern w:val="22"/>
          <w:szCs w:val="22"/>
        </w:rPr>
        <w:tab/>
        <w:t xml:space="preserve">Invites </w:t>
      </w:r>
      <w:r w:rsidRPr="003F6187">
        <w:rPr>
          <w:snapToGrid w:val="0"/>
          <w:kern w:val="22"/>
          <w:szCs w:val="22"/>
        </w:rPr>
        <w:t xml:space="preserve">Parties, other </w:t>
      </w:r>
      <w:r w:rsidRPr="003F6187">
        <w:rPr>
          <w:iCs/>
          <w:snapToGrid w:val="0"/>
          <w:kern w:val="22"/>
          <w:szCs w:val="22"/>
        </w:rPr>
        <w:t>Governments</w:t>
      </w:r>
      <w:r w:rsidRPr="003F6187">
        <w:rPr>
          <w:snapToGrid w:val="0"/>
          <w:kern w:val="22"/>
          <w:szCs w:val="22"/>
        </w:rPr>
        <w:t>, other organizations and the scientific community,</w:t>
      </w:r>
      <w:r w:rsidRPr="003F6187">
        <w:rPr>
          <w:iCs/>
          <w:snapToGrid w:val="0"/>
          <w:kern w:val="22"/>
          <w:szCs w:val="22"/>
        </w:rPr>
        <w:t xml:space="preserve"> recalling</w:t>
      </w:r>
      <w:r w:rsidRPr="003F6187">
        <w:rPr>
          <w:snapToGrid w:val="0"/>
          <w:kern w:val="22"/>
          <w:szCs w:val="22"/>
        </w:rPr>
        <w:t xml:space="preserve"> decision XII/17, paragraphs 6(a)-(n), to continue developing strategies and take actions to achieve Aichi Biodiversity Target 9, and to continue investing resources in the development and circulation of new knowledge on alien species and pathways, particularly through relevant existing tools, such as the Global Invasive Species Database of the International Union for Conservation of Nature, the Invasive Alien Species Pathways tool (under development) and the Global Register of Introduced and Invasive Species implemented within the Global Invasive Alien Species Information Partnership, as appropriate.</w:t>
      </w:r>
    </w:p>
    <w:p w14:paraId="1A082A5C" w14:textId="77777777" w:rsidR="00786AE9" w:rsidRPr="003F6187" w:rsidRDefault="00786AE9">
      <w:pPr>
        <w:keepNext/>
        <w:suppressLineNumbers/>
        <w:spacing w:before="120" w:after="120"/>
        <w:jc w:val="center"/>
        <w:rPr>
          <w:i/>
          <w:snapToGrid w:val="0"/>
          <w:kern w:val="22"/>
          <w:szCs w:val="22"/>
        </w:rPr>
      </w:pPr>
      <w:r w:rsidRPr="003F6187">
        <w:rPr>
          <w:i/>
          <w:snapToGrid w:val="0"/>
          <w:kern w:val="22"/>
          <w:szCs w:val="22"/>
        </w:rPr>
        <w:t>Annex</w:t>
      </w:r>
    </w:p>
    <w:p w14:paraId="464DCD95" w14:textId="77777777" w:rsidR="00786AE9" w:rsidRPr="003F6187" w:rsidRDefault="00786AE9">
      <w:pPr>
        <w:keepNext/>
        <w:suppressLineNumbers/>
        <w:spacing w:before="240" w:after="120"/>
        <w:jc w:val="center"/>
        <w:rPr>
          <w:b/>
          <w:caps/>
          <w:snapToGrid w:val="0"/>
          <w:kern w:val="22"/>
          <w:szCs w:val="22"/>
        </w:rPr>
      </w:pPr>
      <w:r w:rsidRPr="003F6187">
        <w:rPr>
          <w:b/>
          <w:caps/>
          <w:snapToGrid w:val="0"/>
          <w:kern w:val="22"/>
          <w:szCs w:val="22"/>
        </w:rPr>
        <w:t>Summary of technical considerations for the use of biological control agents to manage invasive alien species</w:t>
      </w:r>
    </w:p>
    <w:p w14:paraId="31D4B5E1" w14:textId="77777777" w:rsidR="00786AE9" w:rsidRPr="003F6187" w:rsidRDefault="00786AE9">
      <w:pPr>
        <w:keepNext/>
        <w:suppressLineNumbers/>
        <w:spacing w:before="100" w:after="100"/>
        <w:rPr>
          <w:b/>
          <w:bCs/>
          <w:snapToGrid w:val="0"/>
          <w:kern w:val="22"/>
          <w:szCs w:val="22"/>
        </w:rPr>
      </w:pPr>
      <w:r w:rsidRPr="003F6187">
        <w:rPr>
          <w:b/>
          <w:bCs/>
          <w:snapToGrid w:val="0"/>
          <w:kern w:val="22"/>
          <w:szCs w:val="22"/>
        </w:rPr>
        <w:t>Classical biological control</w:t>
      </w:r>
    </w:p>
    <w:p w14:paraId="48525008" w14:textId="77777777" w:rsidR="00786AE9" w:rsidRPr="003F6187" w:rsidRDefault="00786AE9">
      <w:pPr>
        <w:numPr>
          <w:ilvl w:val="0"/>
          <w:numId w:val="10"/>
        </w:numPr>
        <w:suppressLineNumbers/>
        <w:spacing w:before="120" w:after="120"/>
        <w:rPr>
          <w:rFonts w:eastAsia="MS Mincho"/>
          <w:bCs/>
          <w:snapToGrid w:val="0"/>
          <w:kern w:val="22"/>
          <w:szCs w:val="22"/>
        </w:rPr>
      </w:pPr>
      <w:r w:rsidRPr="003F6187">
        <w:rPr>
          <w:rFonts w:eastAsia="MS Mincho"/>
          <w:bCs/>
          <w:snapToGrid w:val="0"/>
          <w:kern w:val="22"/>
          <w:szCs w:val="22"/>
        </w:rPr>
        <w:t xml:space="preserve">For the purpose of this summary, classical biological control is the control of invasive alien species by biological control agents selected from natural environments or host-specific natural enemies. </w:t>
      </w:r>
      <w:r w:rsidRPr="003F6187">
        <w:rPr>
          <w:rFonts w:eastAsia="MS Mincho"/>
          <w:bCs/>
          <w:snapToGrid w:val="0"/>
          <w:kern w:val="22"/>
          <w:szCs w:val="22"/>
        </w:rPr>
        <w:lastRenderedPageBreak/>
        <w:t>Such natural enemies from the country of origin of the invasive alien species targeted for control are identified, and subjected to risk assessment against direct and indirect non</w:t>
      </w:r>
      <w:r w:rsidRPr="003F6187">
        <w:rPr>
          <w:rFonts w:eastAsia="MS Mincho"/>
          <w:bCs/>
          <w:snapToGrid w:val="0"/>
          <w:kern w:val="22"/>
          <w:szCs w:val="22"/>
        </w:rPr>
        <w:noBreakHyphen/>
        <w:t>target impacts, in line with national law and international standards. If the results of the risk assessment are acceptable, the biological control agents are imported, further tested and released to control the invasive alien species. The biological control agents are expected to establish permanently from the founder population released, and to reproduce and spread, causing suppression or weakening of the target organism. Successful classical biological control assists mitigation of the negative impacts of invasive alien species and may expedite the restoration of biodiversity but rarely leads to the complete eradication of a target species. Biological control should be carried out as part of an integrated management approach in the context of clear goals for conservation and restoration.</w:t>
      </w:r>
    </w:p>
    <w:p w14:paraId="18D50DD6" w14:textId="77777777" w:rsidR="00786AE9" w:rsidRPr="003F6187" w:rsidRDefault="00786AE9">
      <w:pPr>
        <w:keepNext/>
        <w:suppressLineNumbers/>
        <w:spacing w:before="100" w:after="100"/>
        <w:rPr>
          <w:b/>
          <w:bCs/>
          <w:iCs/>
          <w:snapToGrid w:val="0"/>
          <w:kern w:val="22"/>
          <w:szCs w:val="22"/>
        </w:rPr>
      </w:pPr>
      <w:r w:rsidRPr="003F6187">
        <w:rPr>
          <w:b/>
          <w:bCs/>
          <w:iCs/>
          <w:snapToGrid w:val="0"/>
          <w:kern w:val="22"/>
          <w:szCs w:val="22"/>
        </w:rPr>
        <w:t>Precautionary approach</w:t>
      </w:r>
      <w:r w:rsidRPr="003F6187">
        <w:rPr>
          <w:b/>
          <w:bCs/>
          <w:iCs/>
          <w:snapToGrid w:val="0"/>
          <w:kern w:val="22"/>
          <w:szCs w:val="22"/>
          <w:vertAlign w:val="superscript"/>
        </w:rPr>
        <w:t xml:space="preserve"> </w:t>
      </w:r>
      <w:r w:rsidRPr="003F6187">
        <w:rPr>
          <w:b/>
          <w:bCs/>
          <w:iCs/>
          <w:snapToGrid w:val="0"/>
          <w:kern w:val="22"/>
          <w:szCs w:val="22"/>
        </w:rPr>
        <w:t>and risk assessment and management</w:t>
      </w:r>
    </w:p>
    <w:p w14:paraId="408096CB" w14:textId="77777777" w:rsidR="00786AE9" w:rsidRPr="003F6187" w:rsidRDefault="00786AE9">
      <w:pPr>
        <w:numPr>
          <w:ilvl w:val="0"/>
          <w:numId w:val="10"/>
        </w:numPr>
        <w:suppressLineNumbers/>
        <w:spacing w:before="120" w:after="120"/>
        <w:rPr>
          <w:rFonts w:eastAsia="MS Mincho"/>
          <w:bCs/>
          <w:snapToGrid w:val="0"/>
          <w:kern w:val="22"/>
          <w:szCs w:val="22"/>
        </w:rPr>
      </w:pPr>
      <w:r w:rsidRPr="003F6187">
        <w:rPr>
          <w:rFonts w:eastAsia="MS Mincho"/>
          <w:bCs/>
          <w:snapToGrid w:val="0"/>
          <w:kern w:val="22"/>
          <w:szCs w:val="22"/>
        </w:rPr>
        <w:t>Risk assessment, reflecting the precautionary approach, of candidate biological control agents against direct and indirect non</w:t>
      </w:r>
      <w:r w:rsidRPr="003F6187">
        <w:rPr>
          <w:rFonts w:eastAsia="MS Mincho"/>
          <w:bCs/>
          <w:snapToGrid w:val="0"/>
          <w:kern w:val="22"/>
          <w:szCs w:val="22"/>
        </w:rPr>
        <w:noBreakHyphen/>
        <w:t>target impacts, prior to any release decision, is key for the success of classical biological control programmes.</w:t>
      </w:r>
    </w:p>
    <w:p w14:paraId="2025D199" w14:textId="77777777" w:rsidR="00786AE9" w:rsidRPr="003F6187" w:rsidRDefault="00786AE9">
      <w:pPr>
        <w:numPr>
          <w:ilvl w:val="0"/>
          <w:numId w:val="10"/>
        </w:numPr>
        <w:suppressLineNumbers/>
        <w:spacing w:before="120" w:after="120"/>
        <w:rPr>
          <w:rFonts w:eastAsia="MS Mincho"/>
          <w:bCs/>
          <w:snapToGrid w:val="0"/>
          <w:kern w:val="22"/>
          <w:szCs w:val="22"/>
        </w:rPr>
      </w:pPr>
      <w:r w:rsidRPr="003F6187">
        <w:rPr>
          <w:rFonts w:eastAsia="MS Mincho"/>
          <w:bCs/>
          <w:snapToGrid w:val="0"/>
          <w:kern w:val="22"/>
          <w:szCs w:val="22"/>
        </w:rPr>
        <w:t xml:space="preserve">Risk assessment affords a clear understanding of the risks and allows improvements to be understood and adopted. Internationally harmonized guidance, such as that provided in the International Standards for Phytosanitary Measures (ISPMs) related to the pest risk analysis process (including ISPM 2, 3, 11), </w:t>
      </w:r>
      <w:r w:rsidRPr="003F6187">
        <w:rPr>
          <w:snapToGrid w:val="0"/>
          <w:kern w:val="22"/>
          <w:szCs w:val="22"/>
        </w:rPr>
        <w:t>as well as other relevant existing standards, guidelines and recommendations recognized by the World Trade Organization,</w:t>
      </w:r>
      <w:r w:rsidRPr="003F6187">
        <w:rPr>
          <w:rFonts w:eastAsia="MS Mincho"/>
          <w:bCs/>
          <w:snapToGrid w:val="0"/>
          <w:kern w:val="22"/>
          <w:szCs w:val="22"/>
        </w:rPr>
        <w:t xml:space="preserve"> provide readily available guidance for this purpose.</w:t>
      </w:r>
    </w:p>
    <w:p w14:paraId="65E6AAFA" w14:textId="77777777" w:rsidR="00786AE9" w:rsidRPr="003F6187" w:rsidRDefault="00786AE9">
      <w:pPr>
        <w:numPr>
          <w:ilvl w:val="0"/>
          <w:numId w:val="10"/>
        </w:numPr>
        <w:suppressLineNumbers/>
        <w:spacing w:before="120" w:after="120"/>
        <w:rPr>
          <w:snapToGrid w:val="0"/>
          <w:kern w:val="22"/>
          <w:szCs w:val="22"/>
        </w:rPr>
      </w:pPr>
      <w:r w:rsidRPr="003F6187">
        <w:rPr>
          <w:snapToGrid w:val="0"/>
          <w:kern w:val="22"/>
          <w:szCs w:val="22"/>
        </w:rPr>
        <w:t xml:space="preserve">Consistent and in harmony with the Convention and other relevant international obligations, and in line with national legislation where </w:t>
      </w:r>
      <w:r w:rsidRPr="003F6187">
        <w:rPr>
          <w:rFonts w:eastAsia="MS Mincho"/>
          <w:bCs/>
          <w:snapToGrid w:val="0"/>
          <w:kern w:val="22"/>
          <w:szCs w:val="22"/>
        </w:rPr>
        <w:t>applicable</w:t>
      </w:r>
      <w:r w:rsidRPr="003F6187">
        <w:rPr>
          <w:snapToGrid w:val="0"/>
          <w:kern w:val="22"/>
          <w:szCs w:val="22"/>
        </w:rPr>
        <w:t>, risk assessments should consider the following elements:</w:t>
      </w:r>
    </w:p>
    <w:p w14:paraId="5D3A3533" w14:textId="77777777" w:rsidR="00786AE9" w:rsidRPr="003F6187" w:rsidRDefault="00786AE9">
      <w:pPr>
        <w:numPr>
          <w:ilvl w:val="1"/>
          <w:numId w:val="4"/>
        </w:numPr>
        <w:spacing w:after="120"/>
        <w:ind w:left="0" w:firstLine="720"/>
        <w:rPr>
          <w:snapToGrid w:val="0"/>
          <w:kern w:val="22"/>
          <w:szCs w:val="22"/>
        </w:rPr>
      </w:pPr>
      <w:r w:rsidRPr="003F6187">
        <w:rPr>
          <w:snapToGrid w:val="0"/>
          <w:kern w:val="22"/>
          <w:szCs w:val="22"/>
        </w:rPr>
        <w:t>The potential for direct and indirect non-target impacts on the ecosystems, ecosystem functions and services, habitats, native species, and related human health and safety, in the area where the biological control agents are planned to be released and could establish and in areas in which they might spread;</w:t>
      </w:r>
    </w:p>
    <w:p w14:paraId="1D17D373" w14:textId="77777777" w:rsidR="00786AE9" w:rsidRPr="003F6187" w:rsidRDefault="00786AE9">
      <w:pPr>
        <w:numPr>
          <w:ilvl w:val="1"/>
          <w:numId w:val="4"/>
        </w:numPr>
        <w:spacing w:after="120"/>
        <w:ind w:left="0" w:firstLine="720"/>
        <w:rPr>
          <w:snapToGrid w:val="0"/>
          <w:kern w:val="22"/>
          <w:szCs w:val="22"/>
        </w:rPr>
      </w:pPr>
      <w:r w:rsidRPr="003F6187">
        <w:rPr>
          <w:snapToGrid w:val="0"/>
          <w:kern w:val="22"/>
          <w:szCs w:val="22"/>
        </w:rPr>
        <w:t>The potential influence of climate and its current and future variability and other sources of environmental variation on the establishment, spread and impact of the biological control agent.</w:t>
      </w:r>
    </w:p>
    <w:p w14:paraId="3617A829" w14:textId="77777777" w:rsidR="00786AE9" w:rsidRPr="003F6187" w:rsidRDefault="00786AE9">
      <w:pPr>
        <w:numPr>
          <w:ilvl w:val="0"/>
          <w:numId w:val="10"/>
        </w:numPr>
        <w:suppressLineNumbers/>
        <w:spacing w:before="120" w:after="120"/>
        <w:rPr>
          <w:rFonts w:eastAsia="MS Mincho"/>
          <w:bCs/>
          <w:snapToGrid w:val="0"/>
          <w:kern w:val="22"/>
          <w:szCs w:val="22"/>
        </w:rPr>
      </w:pPr>
      <w:r w:rsidRPr="003F6187">
        <w:rPr>
          <w:rFonts w:eastAsia="MS Mincho"/>
          <w:bCs/>
          <w:snapToGrid w:val="0"/>
          <w:kern w:val="22"/>
          <w:szCs w:val="22"/>
        </w:rPr>
        <w:t>When considering the risks as well as costs and benefits of a proposed release of a biological control agent, the risks and costs of inaction or comparative risks from other approaches, such as the use of chemicals or toxins to reduce an invasive alien species population, should also be considered and assessed.</w:t>
      </w:r>
    </w:p>
    <w:p w14:paraId="449B0E60" w14:textId="77777777" w:rsidR="00786AE9" w:rsidRPr="003F6187" w:rsidRDefault="00786AE9">
      <w:pPr>
        <w:numPr>
          <w:ilvl w:val="0"/>
          <w:numId w:val="10"/>
        </w:numPr>
        <w:suppressLineNumbers/>
        <w:spacing w:before="120" w:after="120"/>
        <w:rPr>
          <w:rFonts w:eastAsia="MS Mincho"/>
          <w:bCs/>
          <w:snapToGrid w:val="0"/>
          <w:kern w:val="22"/>
          <w:szCs w:val="22"/>
        </w:rPr>
      </w:pPr>
      <w:r w:rsidRPr="003F6187">
        <w:rPr>
          <w:rFonts w:eastAsia="MS Mincho"/>
          <w:bCs/>
          <w:snapToGrid w:val="0"/>
          <w:kern w:val="22"/>
          <w:szCs w:val="22"/>
        </w:rPr>
        <w:t>The following procedures should be considered to minimize risks to biological diversity and human health and ensure maximum potential for success:</w:t>
      </w:r>
    </w:p>
    <w:p w14:paraId="0B835EC8" w14:textId="77777777" w:rsidR="00786AE9" w:rsidRPr="003F6187" w:rsidRDefault="00786AE9">
      <w:pPr>
        <w:numPr>
          <w:ilvl w:val="1"/>
          <w:numId w:val="3"/>
        </w:numPr>
        <w:suppressLineNumbers/>
        <w:spacing w:after="120"/>
        <w:ind w:left="0" w:firstLine="720"/>
        <w:rPr>
          <w:snapToGrid w:val="0"/>
          <w:kern w:val="22"/>
          <w:szCs w:val="22"/>
        </w:rPr>
      </w:pPr>
      <w:r w:rsidRPr="003F6187">
        <w:rPr>
          <w:snapToGrid w:val="0"/>
          <w:kern w:val="22"/>
          <w:szCs w:val="22"/>
        </w:rPr>
        <w:t>Quarantine infrastructure of sufficient standard and appropriate standard operating procedures should be available to ensure that the agents can be safely imported, tested and cleaned of any diseases and parasites before any releases are made;</w:t>
      </w:r>
    </w:p>
    <w:p w14:paraId="49D7D355" w14:textId="77777777" w:rsidR="00786AE9" w:rsidRPr="003F6187" w:rsidRDefault="00786AE9">
      <w:pPr>
        <w:numPr>
          <w:ilvl w:val="1"/>
          <w:numId w:val="3"/>
        </w:numPr>
        <w:suppressLineNumbers/>
        <w:spacing w:after="120"/>
        <w:ind w:left="0" w:firstLine="720"/>
        <w:rPr>
          <w:snapToGrid w:val="0"/>
          <w:kern w:val="22"/>
          <w:szCs w:val="22"/>
        </w:rPr>
      </w:pPr>
      <w:r w:rsidRPr="003F6187">
        <w:rPr>
          <w:snapToGrid w:val="0"/>
          <w:kern w:val="22"/>
          <w:szCs w:val="22"/>
        </w:rPr>
        <w:t>Host selection and host specificity testing and efficacy studies of biological control agents should take place either in the country of origin or in an appropriately registered quarantine facility within the country of introduction;</w:t>
      </w:r>
    </w:p>
    <w:p w14:paraId="77D331F3" w14:textId="77777777" w:rsidR="00786AE9" w:rsidRPr="003F6187" w:rsidRDefault="00786AE9">
      <w:pPr>
        <w:numPr>
          <w:ilvl w:val="1"/>
          <w:numId w:val="3"/>
        </w:numPr>
        <w:suppressLineNumbers/>
        <w:spacing w:after="120"/>
        <w:ind w:left="0" w:firstLine="720"/>
        <w:rPr>
          <w:snapToGrid w:val="0"/>
          <w:kern w:val="22"/>
          <w:szCs w:val="22"/>
        </w:rPr>
      </w:pPr>
      <w:r w:rsidRPr="003F6187">
        <w:rPr>
          <w:snapToGrid w:val="0"/>
          <w:kern w:val="22"/>
          <w:szCs w:val="22"/>
        </w:rPr>
        <w:t>Qualified taxonomists, including experts in phylogenetic analysis, should be involved in the selection and testing to correctly identify all potential biocontrol agents and the species undergoing the testing;</w:t>
      </w:r>
    </w:p>
    <w:p w14:paraId="7C3041D1" w14:textId="77777777" w:rsidR="00786AE9" w:rsidRPr="003F6187" w:rsidRDefault="00786AE9">
      <w:pPr>
        <w:numPr>
          <w:ilvl w:val="1"/>
          <w:numId w:val="3"/>
        </w:numPr>
        <w:suppressLineNumbers/>
        <w:spacing w:after="120"/>
        <w:ind w:left="0" w:firstLine="720"/>
        <w:rPr>
          <w:snapToGrid w:val="0"/>
          <w:kern w:val="22"/>
          <w:szCs w:val="22"/>
        </w:rPr>
      </w:pPr>
      <w:r w:rsidRPr="003F6187">
        <w:rPr>
          <w:snapToGrid w:val="0"/>
          <w:kern w:val="22"/>
          <w:szCs w:val="22"/>
        </w:rPr>
        <w:t>Shipments of live biological control agents conform to applicable national (origin, destination and transit countries) and international regulations, and permits for the import of live organisms include appropriate labelling. This is generally a requirement of all shipping and courier companies;</w:t>
      </w:r>
    </w:p>
    <w:p w14:paraId="6259E995" w14:textId="77777777" w:rsidR="00786AE9" w:rsidRPr="003F6187" w:rsidRDefault="00786AE9">
      <w:pPr>
        <w:numPr>
          <w:ilvl w:val="1"/>
          <w:numId w:val="3"/>
        </w:numPr>
        <w:suppressLineNumbers/>
        <w:spacing w:after="120"/>
        <w:ind w:left="0" w:firstLine="720"/>
        <w:rPr>
          <w:snapToGrid w:val="0"/>
          <w:kern w:val="22"/>
          <w:szCs w:val="22"/>
        </w:rPr>
      </w:pPr>
      <w:r w:rsidRPr="003F6187">
        <w:rPr>
          <w:snapToGrid w:val="0"/>
          <w:kern w:val="22"/>
          <w:szCs w:val="22"/>
        </w:rPr>
        <w:lastRenderedPageBreak/>
        <w:t>International regulations, procedures and agreements, such as the Nagoya Protocol to the extent it applies, should be followed in research and development regarding biological control agents.</w:t>
      </w:r>
    </w:p>
    <w:p w14:paraId="2E62E04E" w14:textId="77777777" w:rsidR="00786AE9" w:rsidRPr="003F6187" w:rsidRDefault="00786AE9">
      <w:pPr>
        <w:pStyle w:val="Para10"/>
        <w:numPr>
          <w:ilvl w:val="0"/>
          <w:numId w:val="10"/>
        </w:numPr>
        <w:suppressLineNumbers/>
        <w:rPr>
          <w:rFonts w:cs="Times New Roman"/>
          <w:snapToGrid w:val="0"/>
          <w:kern w:val="22"/>
        </w:rPr>
      </w:pPr>
      <w:r w:rsidRPr="003F6187">
        <w:rPr>
          <w:rFonts w:cs="Times New Roman"/>
          <w:snapToGrid w:val="0"/>
          <w:kern w:val="22"/>
        </w:rPr>
        <w:t>Social factors, including economic and cultural values as well as values and priorities of indigenous peoples and local communities, should be considered, as appropriate, in decisions on using biological control, including any alternative views regarding the control of the target alien species as well as providing clear, simple information for the community regarding the costs, benefits, risks and timeliness for the use of biological control in order to build public understanding and support.</w:t>
      </w:r>
    </w:p>
    <w:p w14:paraId="2243EEBF" w14:textId="77777777" w:rsidR="00786AE9" w:rsidRPr="003F6187" w:rsidRDefault="00786AE9">
      <w:pPr>
        <w:keepNext/>
        <w:suppressLineNumbers/>
        <w:spacing w:before="100" w:after="100"/>
        <w:rPr>
          <w:b/>
          <w:bCs/>
          <w:iCs/>
          <w:snapToGrid w:val="0"/>
          <w:kern w:val="22"/>
          <w:szCs w:val="22"/>
        </w:rPr>
      </w:pPr>
      <w:r w:rsidRPr="003F6187">
        <w:rPr>
          <w:b/>
          <w:bCs/>
          <w:iCs/>
          <w:snapToGrid w:val="0"/>
          <w:kern w:val="22"/>
          <w:szCs w:val="22"/>
        </w:rPr>
        <w:t>Planning and implementation of biological control programmes</w:t>
      </w:r>
    </w:p>
    <w:p w14:paraId="232AEA22" w14:textId="77777777" w:rsidR="00786AE9" w:rsidRPr="003F6187" w:rsidRDefault="00786AE9">
      <w:pPr>
        <w:numPr>
          <w:ilvl w:val="0"/>
          <w:numId w:val="10"/>
        </w:numPr>
        <w:suppressLineNumbers/>
        <w:spacing w:before="120" w:after="120"/>
        <w:rPr>
          <w:rFonts w:eastAsia="MS Mincho"/>
          <w:bCs/>
          <w:snapToGrid w:val="0"/>
          <w:kern w:val="22"/>
          <w:szCs w:val="22"/>
        </w:rPr>
      </w:pPr>
      <w:r w:rsidRPr="003F6187">
        <w:rPr>
          <w:rFonts w:eastAsia="MS Mincho"/>
          <w:bCs/>
          <w:snapToGrid w:val="0"/>
          <w:kern w:val="22"/>
          <w:szCs w:val="22"/>
        </w:rPr>
        <w:t>The following planning and implementation measures should be taken into account:</w:t>
      </w:r>
    </w:p>
    <w:p w14:paraId="4064DE89" w14:textId="77777777" w:rsidR="00786AE9" w:rsidRPr="003F6187" w:rsidRDefault="00786AE9">
      <w:pPr>
        <w:numPr>
          <w:ilvl w:val="1"/>
          <w:numId w:val="9"/>
        </w:numPr>
        <w:suppressLineNumbers/>
        <w:spacing w:after="120"/>
        <w:ind w:left="0" w:firstLine="720"/>
        <w:rPr>
          <w:snapToGrid w:val="0"/>
          <w:kern w:val="22"/>
          <w:szCs w:val="22"/>
        </w:rPr>
      </w:pPr>
      <w:r w:rsidRPr="003F6187">
        <w:rPr>
          <w:snapToGrid w:val="0"/>
          <w:kern w:val="22"/>
          <w:szCs w:val="22"/>
        </w:rPr>
        <w:t>Carrying out biological control programmes in the context of clear environmental conservation and restoration goals and as part of an integrated management approach, consistent with the precautionary approach and by undertaking appropriate risk analysis, and the Ecosystem Approach and its 12 principles;</w:t>
      </w:r>
    </w:p>
    <w:p w14:paraId="78BA12D8" w14:textId="77777777" w:rsidR="00786AE9" w:rsidRPr="003F6187" w:rsidRDefault="00786AE9">
      <w:pPr>
        <w:numPr>
          <w:ilvl w:val="1"/>
          <w:numId w:val="9"/>
        </w:numPr>
        <w:suppressLineNumbers/>
        <w:spacing w:after="120"/>
        <w:ind w:left="0" w:firstLine="720"/>
        <w:rPr>
          <w:snapToGrid w:val="0"/>
          <w:kern w:val="22"/>
          <w:szCs w:val="22"/>
        </w:rPr>
      </w:pPr>
      <w:r w:rsidRPr="003F6187">
        <w:rPr>
          <w:snapToGrid w:val="0"/>
          <w:kern w:val="22"/>
          <w:szCs w:val="22"/>
        </w:rPr>
        <w:t>Availability of substantial initial investments for exploration, risk analysis and quarantine facilities, as well as sustainable long-term funding to support mass rearing and redistribution of biological control agents and post-release monitoring and surveillance;</w:t>
      </w:r>
    </w:p>
    <w:p w14:paraId="1571E9F3" w14:textId="77777777" w:rsidR="00786AE9" w:rsidRPr="003F6187" w:rsidRDefault="00786AE9">
      <w:pPr>
        <w:numPr>
          <w:ilvl w:val="1"/>
          <w:numId w:val="9"/>
        </w:numPr>
        <w:suppressLineNumbers/>
        <w:spacing w:after="120"/>
        <w:ind w:left="0" w:firstLine="720"/>
        <w:rPr>
          <w:snapToGrid w:val="0"/>
          <w:kern w:val="22"/>
          <w:szCs w:val="22"/>
        </w:rPr>
      </w:pPr>
      <w:r w:rsidRPr="003F6187">
        <w:rPr>
          <w:snapToGrid w:val="0"/>
          <w:kern w:val="22"/>
          <w:szCs w:val="22"/>
        </w:rPr>
        <w:t>Full engagement by the State authority for the management of pests and pathogens and of appropriate State regulators responsible for release decisions, including consultation and collaboration across sectors, such as the agricultural, environmental, health sectors and border services, as well as between the private and public sector;</w:t>
      </w:r>
    </w:p>
    <w:p w14:paraId="4E28BDF5" w14:textId="77777777" w:rsidR="00786AE9" w:rsidRPr="003F6187" w:rsidRDefault="00786AE9">
      <w:pPr>
        <w:numPr>
          <w:ilvl w:val="1"/>
          <w:numId w:val="9"/>
        </w:numPr>
        <w:suppressLineNumbers/>
        <w:spacing w:after="120"/>
        <w:ind w:left="0" w:firstLine="720"/>
        <w:rPr>
          <w:snapToGrid w:val="0"/>
          <w:kern w:val="22"/>
          <w:szCs w:val="22"/>
        </w:rPr>
      </w:pPr>
      <w:r w:rsidRPr="003F6187">
        <w:rPr>
          <w:snapToGrid w:val="0"/>
          <w:kern w:val="22"/>
          <w:szCs w:val="22"/>
        </w:rPr>
        <w:t>Engagement of all relevant stakeholders, at the cross-jurisdictional, cross-sectoral, and community levels, regarding their varying views on goals, collaborative sharing of knowledge, experience, distribution of benefits and costs, and capacity development.</w:t>
      </w:r>
    </w:p>
    <w:p w14:paraId="0C0C4011" w14:textId="77777777" w:rsidR="00786AE9" w:rsidRPr="003F6187" w:rsidRDefault="00786AE9">
      <w:pPr>
        <w:numPr>
          <w:ilvl w:val="0"/>
          <w:numId w:val="10"/>
        </w:numPr>
        <w:suppressLineNumbers/>
        <w:spacing w:before="120" w:after="120"/>
        <w:rPr>
          <w:rFonts w:eastAsia="MS Mincho"/>
          <w:bCs/>
          <w:snapToGrid w:val="0"/>
          <w:kern w:val="22"/>
          <w:szCs w:val="22"/>
        </w:rPr>
      </w:pPr>
      <w:r w:rsidRPr="003F6187">
        <w:rPr>
          <w:rFonts w:eastAsia="MS Mincho"/>
          <w:bCs/>
          <w:snapToGrid w:val="0"/>
          <w:kern w:val="22"/>
          <w:szCs w:val="22"/>
        </w:rPr>
        <w:t>Countries planning the first release of a new biological control agent are urged to inform potentially impacted countries and, if they might be affected by a release, consult with them at an early stage in the planning process and prior to any release. Notification and consultation with the potentially impacted countries are necessary in order to inform them of potential benefits and risks, and to promote consultation and participation of potentially affected countries, in the decision processes, as well as to ensure the development of effective and beneficial biological control methods.</w:t>
      </w:r>
    </w:p>
    <w:p w14:paraId="4D027A68" w14:textId="77777777" w:rsidR="00786AE9" w:rsidRPr="003F6187" w:rsidRDefault="00786AE9">
      <w:pPr>
        <w:keepNext/>
        <w:suppressLineNumbers/>
        <w:spacing w:before="100" w:after="100"/>
        <w:rPr>
          <w:b/>
          <w:bCs/>
          <w:iCs/>
          <w:snapToGrid w:val="0"/>
          <w:kern w:val="22"/>
          <w:szCs w:val="22"/>
        </w:rPr>
      </w:pPr>
      <w:r w:rsidRPr="003F6187">
        <w:rPr>
          <w:b/>
          <w:bCs/>
          <w:iCs/>
          <w:snapToGrid w:val="0"/>
          <w:kern w:val="22"/>
          <w:szCs w:val="22"/>
        </w:rPr>
        <w:t>Post-release monitoring, emergency plan and rapid response</w:t>
      </w:r>
    </w:p>
    <w:p w14:paraId="731EC464" w14:textId="77777777" w:rsidR="00786AE9" w:rsidRPr="003F6187" w:rsidRDefault="00786AE9">
      <w:pPr>
        <w:numPr>
          <w:ilvl w:val="0"/>
          <w:numId w:val="10"/>
        </w:numPr>
        <w:suppressLineNumbers/>
        <w:spacing w:before="120" w:after="120"/>
        <w:rPr>
          <w:rFonts w:eastAsia="MS Mincho"/>
          <w:bCs/>
          <w:snapToGrid w:val="0"/>
          <w:kern w:val="22"/>
          <w:szCs w:val="22"/>
        </w:rPr>
      </w:pPr>
      <w:r w:rsidRPr="003F6187">
        <w:rPr>
          <w:rFonts w:eastAsia="MS Mincho"/>
          <w:bCs/>
          <w:snapToGrid w:val="0"/>
          <w:kern w:val="22"/>
          <w:szCs w:val="22"/>
        </w:rPr>
        <w:t>Post-release monitoring allows for rapid detection and measurement of any predicted, unpredicted direct or indirect negative impacts of the agents on biodiversity or agriculture and can assist emergency planning and rapid response. All biological control programmes should incorporate long-term monitoring and evaluation of impacts (positive or negative) using standardized and cost-effective methodologies.</w:t>
      </w:r>
    </w:p>
    <w:p w14:paraId="7E611DA5" w14:textId="77777777" w:rsidR="00786AE9" w:rsidRPr="003F6187" w:rsidRDefault="00786AE9">
      <w:pPr>
        <w:numPr>
          <w:ilvl w:val="0"/>
          <w:numId w:val="10"/>
        </w:numPr>
        <w:suppressLineNumbers/>
        <w:spacing w:before="120" w:after="120"/>
        <w:rPr>
          <w:rFonts w:eastAsia="MS Mincho"/>
          <w:bCs/>
          <w:snapToGrid w:val="0"/>
          <w:kern w:val="22"/>
          <w:szCs w:val="22"/>
        </w:rPr>
      </w:pPr>
      <w:r w:rsidRPr="003F6187">
        <w:rPr>
          <w:rFonts w:eastAsia="MS Mincho"/>
          <w:bCs/>
          <w:snapToGrid w:val="0"/>
          <w:kern w:val="22"/>
          <w:szCs w:val="22"/>
        </w:rPr>
        <w:t>Sharing post-release monitoring information widely, including with potentially impacted countries and other experts, can support the improvement of biological control programmes elsewhere and the approaches adopted in the face of climate variability, fluctuations and changes.</w:t>
      </w:r>
    </w:p>
    <w:p w14:paraId="6EBB43BE" w14:textId="77777777" w:rsidR="00786AE9" w:rsidRPr="003F6187" w:rsidRDefault="00786AE9">
      <w:pPr>
        <w:keepNext/>
        <w:suppressLineNumbers/>
        <w:spacing w:before="100" w:after="100"/>
        <w:rPr>
          <w:b/>
          <w:bCs/>
          <w:iCs/>
          <w:snapToGrid w:val="0"/>
          <w:kern w:val="22"/>
          <w:szCs w:val="22"/>
        </w:rPr>
      </w:pPr>
      <w:r w:rsidRPr="003F6187">
        <w:rPr>
          <w:b/>
          <w:bCs/>
          <w:iCs/>
          <w:snapToGrid w:val="0"/>
          <w:kern w:val="22"/>
          <w:szCs w:val="22"/>
        </w:rPr>
        <w:t xml:space="preserve">Decisions on </w:t>
      </w:r>
      <w:r w:rsidR="0000318C">
        <w:rPr>
          <w:b/>
          <w:bCs/>
          <w:iCs/>
          <w:snapToGrid w:val="0"/>
          <w:kern w:val="22"/>
          <w:szCs w:val="22"/>
        </w:rPr>
        <w:t xml:space="preserve">the </w:t>
      </w:r>
      <w:r w:rsidRPr="003F6187">
        <w:rPr>
          <w:b/>
          <w:bCs/>
          <w:iCs/>
          <w:snapToGrid w:val="0"/>
          <w:kern w:val="22"/>
          <w:szCs w:val="22"/>
        </w:rPr>
        <w:t>release of biological control agents</w:t>
      </w:r>
    </w:p>
    <w:p w14:paraId="2122B328" w14:textId="77777777" w:rsidR="00786AE9" w:rsidRPr="003F6187" w:rsidRDefault="00786AE9">
      <w:pPr>
        <w:numPr>
          <w:ilvl w:val="0"/>
          <w:numId w:val="10"/>
        </w:numPr>
        <w:suppressLineNumbers/>
        <w:spacing w:before="120" w:after="120"/>
        <w:rPr>
          <w:rFonts w:eastAsia="MS Mincho"/>
          <w:bCs/>
          <w:snapToGrid w:val="0"/>
          <w:kern w:val="22"/>
          <w:szCs w:val="22"/>
        </w:rPr>
      </w:pPr>
      <w:r w:rsidRPr="003F6187">
        <w:rPr>
          <w:rFonts w:eastAsia="MS Mincho"/>
          <w:bCs/>
          <w:snapToGrid w:val="0"/>
          <w:kern w:val="22"/>
          <w:szCs w:val="22"/>
        </w:rPr>
        <w:t>For decisions regarding biological control programmes, participatory decision-making is an essential factor for engaging support and success. This includes communication of information on risks and options for their management. This process is most usefully initiated at the early stage of the development of a biological control programme to ensure</w:t>
      </w:r>
      <w:r w:rsidRPr="003F6187">
        <w:rPr>
          <w:snapToGrid w:val="0"/>
          <w:kern w:val="22"/>
          <w:szCs w:val="22"/>
        </w:rPr>
        <w:t>, as appropriate,</w:t>
      </w:r>
      <w:r w:rsidRPr="003F6187">
        <w:rPr>
          <w:rFonts w:eastAsia="MS Mincho"/>
          <w:bCs/>
          <w:snapToGrid w:val="0"/>
          <w:kern w:val="22"/>
          <w:szCs w:val="22"/>
        </w:rPr>
        <w:t xml:space="preserve"> that the interests of </w:t>
      </w:r>
      <w:r w:rsidRPr="003F6187">
        <w:rPr>
          <w:snapToGrid w:val="0"/>
          <w:kern w:val="22"/>
          <w:szCs w:val="22"/>
        </w:rPr>
        <w:t xml:space="preserve">indigenous peoples and local communities and </w:t>
      </w:r>
      <w:r w:rsidRPr="003F6187">
        <w:rPr>
          <w:rFonts w:eastAsia="MS Mincho"/>
          <w:bCs/>
          <w:snapToGrid w:val="0"/>
          <w:kern w:val="22"/>
          <w:szCs w:val="22"/>
        </w:rPr>
        <w:t>all relevant stakeholders are considered in view of the conservation goals set for the specific programme.</w:t>
      </w:r>
    </w:p>
    <w:p w14:paraId="4B3FC4FF" w14:textId="77777777" w:rsidR="00786AE9" w:rsidRPr="003F6187" w:rsidRDefault="00786AE9">
      <w:pPr>
        <w:numPr>
          <w:ilvl w:val="0"/>
          <w:numId w:val="10"/>
        </w:numPr>
        <w:suppressLineNumbers/>
        <w:spacing w:before="120" w:after="120"/>
        <w:rPr>
          <w:rFonts w:eastAsia="MS Mincho"/>
          <w:bCs/>
          <w:snapToGrid w:val="0"/>
          <w:kern w:val="22"/>
          <w:szCs w:val="22"/>
        </w:rPr>
      </w:pPr>
      <w:r w:rsidRPr="003F6187">
        <w:rPr>
          <w:rFonts w:eastAsia="MS Mincho"/>
          <w:bCs/>
          <w:snapToGrid w:val="0"/>
          <w:kern w:val="22"/>
          <w:szCs w:val="22"/>
        </w:rPr>
        <w:lastRenderedPageBreak/>
        <w:t>The provision of relevant scientific information for potentially impacted countries prior to the approval of the release of biological control agents is necessary in order to support regional consultation and the sharing of relevant knowledge, and allows relevant stakeholders to contribute to the decision</w:t>
      </w:r>
      <w:r w:rsidRPr="003F6187">
        <w:rPr>
          <w:rFonts w:eastAsia="MS Mincho"/>
          <w:bCs/>
          <w:snapToGrid w:val="0"/>
          <w:kern w:val="22"/>
          <w:szCs w:val="22"/>
        </w:rPr>
        <w:noBreakHyphen/>
        <w:t>making process and prepare for any potential negative impacts.</w:t>
      </w:r>
    </w:p>
    <w:p w14:paraId="68753EB4" w14:textId="77777777" w:rsidR="00786AE9" w:rsidRPr="003F6187" w:rsidRDefault="00786AE9">
      <w:pPr>
        <w:keepNext/>
        <w:suppressLineNumbers/>
        <w:spacing w:before="100" w:after="100"/>
        <w:rPr>
          <w:b/>
          <w:bCs/>
          <w:iCs/>
          <w:snapToGrid w:val="0"/>
          <w:kern w:val="22"/>
          <w:szCs w:val="22"/>
        </w:rPr>
      </w:pPr>
      <w:r w:rsidRPr="003F6187">
        <w:rPr>
          <w:b/>
          <w:bCs/>
          <w:iCs/>
          <w:snapToGrid w:val="0"/>
          <w:kern w:val="22"/>
          <w:szCs w:val="22"/>
        </w:rPr>
        <w:t>Capacity development</w:t>
      </w:r>
    </w:p>
    <w:p w14:paraId="74F377F3" w14:textId="77777777" w:rsidR="00786AE9" w:rsidRPr="003F6187" w:rsidRDefault="00786AE9">
      <w:pPr>
        <w:numPr>
          <w:ilvl w:val="0"/>
          <w:numId w:val="10"/>
        </w:numPr>
        <w:suppressLineNumbers/>
        <w:spacing w:before="120" w:after="120"/>
        <w:rPr>
          <w:rFonts w:eastAsia="MS Mincho"/>
          <w:bCs/>
          <w:snapToGrid w:val="0"/>
          <w:kern w:val="22"/>
          <w:szCs w:val="22"/>
        </w:rPr>
      </w:pPr>
      <w:r w:rsidRPr="003F6187">
        <w:rPr>
          <w:rFonts w:eastAsia="MS Mincho"/>
          <w:bCs/>
          <w:snapToGrid w:val="0"/>
          <w:kern w:val="22"/>
          <w:szCs w:val="22"/>
        </w:rPr>
        <w:t>Technical and scientific cooperation to develop capacities in classical biological control, including scientific understanding, the regulatory process, and the training of skilled staff, is crucial for the success of biological control programmes.</w:t>
      </w:r>
    </w:p>
    <w:p w14:paraId="3B4D8915" w14:textId="77777777" w:rsidR="00786AE9" w:rsidRPr="003F6187" w:rsidRDefault="00786AE9">
      <w:pPr>
        <w:keepNext/>
        <w:spacing w:before="140" w:after="140"/>
        <w:ind w:left="720"/>
        <w:jc w:val="center"/>
        <w:rPr>
          <w:snapToGrid w:val="0"/>
          <w:kern w:val="22"/>
          <w:szCs w:val="22"/>
        </w:rPr>
      </w:pPr>
      <w:r w:rsidRPr="003F6187">
        <w:rPr>
          <w:snapToGrid w:val="0"/>
          <w:kern w:val="22"/>
          <w:szCs w:val="22"/>
        </w:rPr>
        <w:t>__________</w:t>
      </w:r>
    </w:p>
    <w:p w14:paraId="2890C25F" w14:textId="77777777" w:rsidR="00786AE9" w:rsidRPr="003F6187" w:rsidRDefault="00786AE9">
      <w:pPr>
        <w:rPr>
          <w:snapToGrid w:val="0"/>
          <w:kern w:val="22"/>
          <w:szCs w:val="22"/>
        </w:rPr>
      </w:pPr>
    </w:p>
    <w:sectPr w:rsidR="00786AE9" w:rsidRPr="003F6187" w:rsidSect="003F6187">
      <w:headerReference w:type="even" r:id="rId10"/>
      <w:headerReference w:type="default" r:id="rId11"/>
      <w:pgSz w:w="12240" w:h="15840"/>
      <w:pgMar w:top="567" w:right="1361" w:bottom="1134" w:left="1361" w:header="461"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599A65" w14:textId="77777777" w:rsidR="005E49B2" w:rsidRDefault="005E49B2">
      <w:r>
        <w:separator/>
      </w:r>
    </w:p>
  </w:endnote>
  <w:endnote w:type="continuationSeparator" w:id="0">
    <w:p w14:paraId="67AD7C72" w14:textId="77777777" w:rsidR="005E49B2" w:rsidRDefault="005E49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Times New Roman Bold">
    <w:altName w:val="Times New Roman"/>
    <w:panose1 w:val="020B0604020202020204"/>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Univers">
    <w:panose1 w:val="020B0503020202020204"/>
    <w:charset w:val="00"/>
    <w:family w:val="swiss"/>
    <w:pitch w:val="variable"/>
    <w:sig w:usb0="80000287" w:usb1="00000000" w:usb2="00000000" w:usb3="00000000" w:csb0="0000000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Batang">
    <w:altName w:val="바탕"/>
    <w:panose1 w:val="02030600000101010101"/>
    <w:charset w:val="81"/>
    <w:family w:val="roman"/>
    <w:pitch w:val="variable"/>
    <w:sig w:usb0="B00002AF" w:usb1="69D77CFB" w:usb2="00000030" w:usb3="00000000" w:csb0="0008009F" w:csb1="00000000"/>
  </w:font>
  <w:font w:name="ヒラギノ角ゴ ProN W3">
    <w:panose1 w:val="020B0604020202020204"/>
    <w:charset w:val="80"/>
    <w:family w:val="auto"/>
    <w:pitch w:val="variable"/>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ourier">
    <w:panose1 w:val="02070309020205020404"/>
    <w:charset w:val="00"/>
    <w:family w:val="modern"/>
    <w:pitch w:val="fixed"/>
    <w:sig w:usb0="00000003" w:usb1="00000000" w:usb2="00000000" w:usb3="00000000" w:csb0="00000001" w:csb1="00000000"/>
  </w:font>
  <w:font w:name="Calibri">
    <w:panose1 w:val="020F0502020204030204"/>
    <w:charset w:val="00"/>
    <w:family w:val="swiss"/>
    <w:pitch w:val="variable"/>
    <w:sig w:usb0="E0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Malgun Gothic">
    <w:panose1 w:val="020B0503020000020004"/>
    <w:charset w:val="81"/>
    <w:family w:val="swiss"/>
    <w:pitch w:val="variable"/>
    <w:sig w:usb0="9000002F" w:usb1="29D77CFB" w:usb2="00000012" w:usb3="00000000" w:csb0="0008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574488" w14:textId="77777777" w:rsidR="005E49B2" w:rsidRDefault="005E49B2">
      <w:r>
        <w:separator/>
      </w:r>
    </w:p>
  </w:footnote>
  <w:footnote w:type="continuationSeparator" w:id="0">
    <w:p w14:paraId="20210D57" w14:textId="77777777" w:rsidR="005E49B2" w:rsidRDefault="005E49B2">
      <w:r>
        <w:continuationSeparator/>
      </w:r>
    </w:p>
  </w:footnote>
  <w:footnote w:id="1">
    <w:p w14:paraId="1E4A7215" w14:textId="77777777" w:rsidR="00786AE9" w:rsidRPr="003F6187" w:rsidRDefault="00786AE9" w:rsidP="003A29EF">
      <w:pPr>
        <w:pStyle w:val="FootnoteText"/>
        <w:ind w:firstLine="0"/>
        <w:jc w:val="left"/>
        <w:rPr>
          <w:kern w:val="18"/>
          <w:szCs w:val="18"/>
        </w:rPr>
      </w:pPr>
      <w:r w:rsidRPr="003F6187">
        <w:rPr>
          <w:rStyle w:val="a"/>
          <w:kern w:val="18"/>
          <w:u w:val="none"/>
        </w:rPr>
        <w:t>*</w:t>
      </w:r>
      <w:r w:rsidRPr="003F6187">
        <w:rPr>
          <w:kern w:val="18"/>
          <w:szCs w:val="18"/>
        </w:rPr>
        <w:t xml:space="preserve"> One representative entered a formal objection during the process leading to the adoption of decision VI/23 and underlined that he did not believe that the Conference of the Parties could legitimately adopt a motion or a text with a formal objection in place. A few representatives expressed reservations regarding the procedure leading to the adoption of decision VI/23 (see </w:t>
      </w:r>
      <w:hyperlink r:id="rId1" w:history="1">
        <w:r w:rsidRPr="003F6187">
          <w:rPr>
            <w:rStyle w:val="Hyperlink"/>
            <w:kern w:val="18"/>
          </w:rPr>
          <w:t>UNEP/CBD/COP/6/20</w:t>
        </w:r>
      </w:hyperlink>
      <w:r w:rsidRPr="003F6187">
        <w:rPr>
          <w:kern w:val="18"/>
          <w:szCs w:val="18"/>
        </w:rPr>
        <w:t>, paras. 294-324).</w:t>
      </w:r>
    </w:p>
  </w:footnote>
  <w:footnote w:id="2">
    <w:p w14:paraId="29075264" w14:textId="77777777" w:rsidR="00786AE9" w:rsidRPr="003F6187" w:rsidRDefault="00786AE9" w:rsidP="00635C01">
      <w:pPr>
        <w:pStyle w:val="FootnoteText"/>
        <w:ind w:firstLine="0"/>
        <w:jc w:val="left"/>
        <w:rPr>
          <w:kern w:val="18"/>
        </w:rPr>
      </w:pPr>
      <w:r w:rsidRPr="003F6187">
        <w:rPr>
          <w:rStyle w:val="a"/>
          <w:kern w:val="18"/>
          <w:u w:val="none"/>
          <w:vertAlign w:val="superscript"/>
        </w:rPr>
        <w:footnoteRef/>
      </w:r>
      <w:r w:rsidRPr="003F6187">
        <w:rPr>
          <w:kern w:val="18"/>
          <w:szCs w:val="18"/>
        </w:rPr>
        <w:t xml:space="preserve"> </w:t>
      </w:r>
      <w:hyperlink r:id="rId2" w:history="1">
        <w:r w:rsidRPr="003F6187">
          <w:rPr>
            <w:rStyle w:val="Hyperlink"/>
            <w:kern w:val="18"/>
          </w:rPr>
          <w:t>http://www.imo.org/en/About/Conventions/ListOfConventions/Pages/International-Convention-for-the-Control-and-Management-of-Ships'-Ballast-Water-and-Sediments-(BWM).aspx</w:t>
        </w:r>
      </w:hyperlink>
    </w:p>
  </w:footnote>
  <w:footnote w:id="3">
    <w:p w14:paraId="18F09A1A" w14:textId="77777777" w:rsidR="00786AE9" w:rsidRPr="003F6187" w:rsidRDefault="00786AE9" w:rsidP="00635C01">
      <w:pPr>
        <w:pStyle w:val="FootnoteText"/>
        <w:ind w:firstLine="0"/>
        <w:jc w:val="left"/>
        <w:rPr>
          <w:kern w:val="18"/>
          <w:szCs w:val="18"/>
          <w:lang w:val="en-CA"/>
        </w:rPr>
      </w:pPr>
      <w:r w:rsidRPr="003F6187">
        <w:rPr>
          <w:rStyle w:val="a"/>
          <w:kern w:val="18"/>
          <w:u w:val="none"/>
          <w:vertAlign w:val="superscript"/>
        </w:rPr>
        <w:footnoteRef/>
      </w:r>
      <w:r w:rsidRPr="003F6187">
        <w:rPr>
          <w:kern w:val="18"/>
          <w:szCs w:val="18"/>
        </w:rPr>
        <w:t xml:space="preserve"> </w:t>
      </w:r>
      <w:r w:rsidRPr="003F6187">
        <w:rPr>
          <w:kern w:val="18"/>
          <w:szCs w:val="18"/>
          <w:lang w:val="en-CA"/>
        </w:rPr>
        <w:t>Wildlife is defined to include both wild flora and fauna.</w:t>
      </w:r>
    </w:p>
  </w:footnote>
  <w:footnote w:id="4">
    <w:p w14:paraId="61548DC4" w14:textId="77777777" w:rsidR="00786AE9" w:rsidRPr="003F6187" w:rsidRDefault="00786AE9" w:rsidP="003F6187">
      <w:pPr>
        <w:pStyle w:val="FootnoteText"/>
        <w:ind w:firstLine="0"/>
        <w:jc w:val="left"/>
        <w:rPr>
          <w:rStyle w:val="limitedheight"/>
          <w:kern w:val="18"/>
        </w:rPr>
      </w:pPr>
      <w:r w:rsidRPr="003F6187">
        <w:rPr>
          <w:rStyle w:val="a"/>
          <w:kern w:val="18"/>
          <w:u w:val="none"/>
          <w:vertAlign w:val="superscript"/>
        </w:rPr>
        <w:footnoteRef/>
      </w:r>
      <w:r w:rsidRPr="003F6187">
        <w:rPr>
          <w:kern w:val="18"/>
        </w:rPr>
        <w:t xml:space="preserve"> </w:t>
      </w:r>
      <w:r w:rsidRPr="003F6187">
        <w:rPr>
          <w:kern w:val="18"/>
          <w:lang w:val="en-US"/>
        </w:rPr>
        <w:t xml:space="preserve">United Nations, </w:t>
      </w:r>
      <w:r w:rsidRPr="003F6187">
        <w:rPr>
          <w:rStyle w:val="limitedheight"/>
          <w:i/>
          <w:iCs/>
          <w:kern w:val="18"/>
        </w:rPr>
        <w:t>Treaty Series</w:t>
      </w:r>
      <w:r w:rsidRPr="003F6187">
        <w:rPr>
          <w:rStyle w:val="limitedheight"/>
          <w:kern w:val="18"/>
        </w:rPr>
        <w:t>, vol. 993, No. 14537.</w:t>
      </w:r>
    </w:p>
  </w:footnote>
  <w:footnote w:id="5">
    <w:p w14:paraId="03CF8C7F" w14:textId="77777777" w:rsidR="00786AE9" w:rsidRPr="003F6187" w:rsidRDefault="00786AE9" w:rsidP="003A29EF">
      <w:pPr>
        <w:pStyle w:val="FootnoteText"/>
        <w:ind w:firstLine="0"/>
        <w:jc w:val="left"/>
        <w:rPr>
          <w:kern w:val="18"/>
          <w:szCs w:val="18"/>
        </w:rPr>
      </w:pPr>
      <w:r w:rsidRPr="003F6187">
        <w:rPr>
          <w:rStyle w:val="a"/>
          <w:kern w:val="18"/>
          <w:u w:val="none"/>
          <w:vertAlign w:val="superscript"/>
        </w:rPr>
        <w:footnoteRef/>
      </w:r>
      <w:r w:rsidRPr="003F6187">
        <w:rPr>
          <w:kern w:val="18"/>
          <w:szCs w:val="18"/>
        </w:rPr>
        <w:t xml:space="preserve"> The methodological assessment report on scenarios and models of biodiversity and ecosystem services.  http://www.ipbes.net/sites/default/files/downloads/pdf/SPM_Deliverable_3c.pdf</w:t>
      </w:r>
    </w:p>
  </w:footnote>
  <w:footnote w:id="6">
    <w:p w14:paraId="4C4D9404" w14:textId="77777777" w:rsidR="00786AE9" w:rsidRPr="003F6187" w:rsidRDefault="00786AE9" w:rsidP="003A29EF">
      <w:pPr>
        <w:pStyle w:val="FootnoteText"/>
        <w:ind w:firstLine="0"/>
        <w:jc w:val="left"/>
        <w:rPr>
          <w:kern w:val="18"/>
          <w:szCs w:val="18"/>
        </w:rPr>
      </w:pPr>
      <w:r w:rsidRPr="003F6187">
        <w:rPr>
          <w:rStyle w:val="a"/>
          <w:kern w:val="18"/>
          <w:u w:val="none"/>
          <w:vertAlign w:val="superscript"/>
        </w:rPr>
        <w:footnoteRef/>
      </w:r>
      <w:r w:rsidRPr="003F6187">
        <w:rPr>
          <w:kern w:val="18"/>
          <w:szCs w:val="18"/>
        </w:rPr>
        <w:t xml:space="preserve"> UNEP/CBD/SBSTTA/20/INF/5.</w:t>
      </w:r>
    </w:p>
  </w:footnote>
  <w:footnote w:id="7">
    <w:p w14:paraId="573439EA" w14:textId="77777777" w:rsidR="00786AE9" w:rsidRPr="003F6187" w:rsidRDefault="00786AE9" w:rsidP="00635C01">
      <w:pPr>
        <w:pStyle w:val="FootnoteText"/>
        <w:ind w:firstLine="0"/>
        <w:jc w:val="left"/>
        <w:rPr>
          <w:kern w:val="18"/>
          <w:szCs w:val="18"/>
          <w:lang w:val="en-US"/>
        </w:rPr>
      </w:pPr>
      <w:r w:rsidRPr="003F6187">
        <w:rPr>
          <w:rStyle w:val="a"/>
          <w:kern w:val="18"/>
          <w:u w:val="none"/>
          <w:vertAlign w:val="superscript"/>
        </w:rPr>
        <w:footnoteRef/>
      </w:r>
      <w:r w:rsidRPr="003F6187">
        <w:rPr>
          <w:kern w:val="18"/>
          <w:szCs w:val="18"/>
        </w:rPr>
        <w:t xml:space="preserve"> </w:t>
      </w:r>
      <w:r w:rsidRPr="003F6187">
        <w:rPr>
          <w:kern w:val="18"/>
          <w:szCs w:val="18"/>
          <w:lang w:val="en-US"/>
        </w:rPr>
        <w:t>UNEP/CBD/COP/13/INF/23.</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25C226" w14:textId="77777777" w:rsidR="00786AE9" w:rsidRPr="003F6187" w:rsidRDefault="00C33FE8" w:rsidP="003F6187">
    <w:pPr>
      <w:pStyle w:val="Header"/>
      <w:tabs>
        <w:tab w:val="clear" w:pos="4320"/>
        <w:tab w:val="clear" w:pos="8640"/>
      </w:tabs>
      <w:jc w:val="left"/>
      <w:rPr>
        <w:noProof/>
        <w:kern w:val="22"/>
      </w:rPr>
    </w:pPr>
    <w:r w:rsidRPr="003F6187">
      <w:rPr>
        <w:noProof/>
        <w:kern w:val="22"/>
      </w:rPr>
      <w:t>CBD/COP/DEC/XIII/13</w:t>
    </w:r>
  </w:p>
  <w:p w14:paraId="5B962530" w14:textId="77777777" w:rsidR="0043510B" w:rsidRPr="003F6187" w:rsidRDefault="0043510B" w:rsidP="003F6187">
    <w:pPr>
      <w:pStyle w:val="Header"/>
      <w:tabs>
        <w:tab w:val="clear" w:pos="4320"/>
        <w:tab w:val="clear" w:pos="8640"/>
      </w:tabs>
      <w:jc w:val="left"/>
      <w:rPr>
        <w:noProof/>
        <w:kern w:val="22"/>
      </w:rPr>
    </w:pPr>
    <w:r w:rsidRPr="003F6187">
      <w:rPr>
        <w:noProof/>
        <w:kern w:val="22"/>
      </w:rPr>
      <w:t xml:space="preserve">Page </w:t>
    </w:r>
    <w:r w:rsidRPr="003F6187">
      <w:rPr>
        <w:noProof/>
        <w:kern w:val="22"/>
      </w:rPr>
      <w:fldChar w:fldCharType="begin"/>
    </w:r>
    <w:r w:rsidRPr="003F6187">
      <w:rPr>
        <w:noProof/>
        <w:kern w:val="22"/>
      </w:rPr>
      <w:instrText xml:space="preserve"> PAGE   \* MERGEFORMAT </w:instrText>
    </w:r>
    <w:r w:rsidRPr="003F6187">
      <w:rPr>
        <w:noProof/>
        <w:kern w:val="22"/>
      </w:rPr>
      <w:fldChar w:fldCharType="separate"/>
    </w:r>
    <w:r w:rsidR="003F6187">
      <w:rPr>
        <w:noProof/>
        <w:kern w:val="22"/>
      </w:rPr>
      <w:t>8</w:t>
    </w:r>
    <w:r w:rsidRPr="003F6187">
      <w:rPr>
        <w:noProof/>
        <w:kern w:val="22"/>
      </w:rPr>
      <w:fldChar w:fldCharType="end"/>
    </w:r>
  </w:p>
  <w:p w14:paraId="2A1D862B" w14:textId="77777777" w:rsidR="00ED5ABE" w:rsidRPr="003F6187" w:rsidRDefault="00ED5ABE" w:rsidP="003F6187">
    <w:pPr>
      <w:pStyle w:val="Header"/>
      <w:tabs>
        <w:tab w:val="clear" w:pos="4320"/>
        <w:tab w:val="clear" w:pos="8640"/>
      </w:tabs>
      <w:jc w:val="left"/>
      <w:rPr>
        <w:noProof/>
        <w:kern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032531" w14:textId="77777777" w:rsidR="0043510B" w:rsidRPr="003F6187" w:rsidRDefault="00C33FE8" w:rsidP="003F6187">
    <w:pPr>
      <w:pStyle w:val="Header"/>
      <w:tabs>
        <w:tab w:val="clear" w:pos="4320"/>
        <w:tab w:val="clear" w:pos="8640"/>
      </w:tabs>
      <w:jc w:val="right"/>
      <w:rPr>
        <w:noProof/>
        <w:kern w:val="22"/>
      </w:rPr>
    </w:pPr>
    <w:r w:rsidRPr="003F6187">
      <w:rPr>
        <w:noProof/>
        <w:kern w:val="22"/>
      </w:rPr>
      <w:t>CBD/COP/DEC/XIII/13</w:t>
    </w:r>
  </w:p>
  <w:p w14:paraId="27B67BC1" w14:textId="77777777" w:rsidR="0043510B" w:rsidRPr="003F6187" w:rsidRDefault="0043510B" w:rsidP="003F6187">
    <w:pPr>
      <w:pStyle w:val="Header"/>
      <w:tabs>
        <w:tab w:val="clear" w:pos="4320"/>
        <w:tab w:val="clear" w:pos="8640"/>
      </w:tabs>
      <w:jc w:val="right"/>
      <w:rPr>
        <w:noProof/>
        <w:kern w:val="22"/>
      </w:rPr>
    </w:pPr>
    <w:r w:rsidRPr="003F6187">
      <w:rPr>
        <w:noProof/>
        <w:kern w:val="22"/>
      </w:rPr>
      <w:t xml:space="preserve">Page </w:t>
    </w:r>
    <w:r w:rsidRPr="003F6187">
      <w:rPr>
        <w:noProof/>
        <w:kern w:val="22"/>
      </w:rPr>
      <w:fldChar w:fldCharType="begin"/>
    </w:r>
    <w:r w:rsidRPr="003F6187">
      <w:rPr>
        <w:noProof/>
        <w:kern w:val="22"/>
      </w:rPr>
      <w:instrText xml:space="preserve"> PAGE   \* MERGEFORMAT </w:instrText>
    </w:r>
    <w:r w:rsidRPr="003F6187">
      <w:rPr>
        <w:noProof/>
        <w:kern w:val="22"/>
      </w:rPr>
      <w:fldChar w:fldCharType="separate"/>
    </w:r>
    <w:r w:rsidR="003F6187">
      <w:rPr>
        <w:noProof/>
        <w:kern w:val="22"/>
      </w:rPr>
      <w:t>7</w:t>
    </w:r>
    <w:r w:rsidRPr="003F6187">
      <w:rPr>
        <w:noProof/>
        <w:kern w:val="22"/>
      </w:rPr>
      <w:fldChar w:fldCharType="end"/>
    </w:r>
  </w:p>
  <w:p w14:paraId="1EB6625F" w14:textId="77777777" w:rsidR="00786AE9" w:rsidRPr="003F6187" w:rsidRDefault="00786AE9" w:rsidP="003F6187">
    <w:pPr>
      <w:pStyle w:val="Header"/>
      <w:tabs>
        <w:tab w:val="clear" w:pos="4320"/>
        <w:tab w:val="clear" w:pos="8640"/>
      </w:tabs>
      <w:jc w:val="right"/>
      <w:rPr>
        <w:noProof/>
        <w:kern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upperRoman"/>
      <w:lvlText w:val="%1."/>
      <w:lvlJc w:val="left"/>
      <w:pPr>
        <w:tabs>
          <w:tab w:val="num" w:pos="720"/>
        </w:tabs>
        <w:ind w:left="0" w:firstLine="0"/>
      </w:pPr>
    </w:lvl>
    <w:lvl w:ilvl="1">
      <w:start w:val="1"/>
      <w:numFmt w:val="upperLetter"/>
      <w:lvlText w:val="%2."/>
      <w:lvlJc w:val="left"/>
      <w:pPr>
        <w:tabs>
          <w:tab w:val="num" w:pos="360"/>
        </w:tabs>
        <w:ind w:left="0" w:firstLine="0"/>
      </w:pPr>
    </w:lvl>
    <w:lvl w:ilvl="2">
      <w:start w:val="1"/>
      <w:numFmt w:val="decimal"/>
      <w:lvlText w:val="%3."/>
      <w:lvlJc w:val="left"/>
      <w:pPr>
        <w:tabs>
          <w:tab w:val="num" w:pos="360"/>
        </w:tabs>
        <w:ind w:left="0" w:firstLine="0"/>
      </w:pPr>
    </w:lvl>
    <w:lvl w:ilvl="3">
      <w:start w:val="1"/>
      <w:numFmt w:val="decimal"/>
      <w:lvlText w:val="1.%4"/>
      <w:lvlJc w:val="left"/>
      <w:pPr>
        <w:tabs>
          <w:tab w:val="num" w:pos="360"/>
        </w:tabs>
        <w:ind w:left="0" w:firstLine="0"/>
      </w:pPr>
    </w:lvl>
    <w:lvl w:ilvl="4">
      <w:start w:val="1"/>
      <w:numFmt w:val="lowerRoman"/>
      <w:lvlText w:val="(%5)"/>
      <w:lvlJc w:val="left"/>
      <w:pPr>
        <w:tabs>
          <w:tab w:val="num" w:pos="720"/>
        </w:tabs>
        <w:ind w:left="0" w:firstLine="0"/>
      </w:pPr>
    </w:lvl>
    <w:lvl w:ilvl="5">
      <w:start w:val="1"/>
      <w:numFmt w:val="lowerLetter"/>
      <w:lvlText w:val="(%6)"/>
      <w:lvlJc w:val="left"/>
      <w:pPr>
        <w:tabs>
          <w:tab w:val="num" w:pos="1080"/>
        </w:tabs>
        <w:ind w:left="720" w:firstLine="0"/>
      </w:pPr>
    </w:lvl>
    <w:lvl w:ilvl="6">
      <w:start w:val="1"/>
      <w:numFmt w:val="lowerRoman"/>
      <w:lvlText w:val="(%7)"/>
      <w:lvlJc w:val="left"/>
      <w:pPr>
        <w:tabs>
          <w:tab w:val="num" w:pos="4680"/>
        </w:tabs>
        <w:ind w:left="4320" w:firstLine="0"/>
      </w:pPr>
    </w:lvl>
    <w:lvl w:ilvl="7">
      <w:start w:val="1"/>
      <w:numFmt w:val="lowerLetter"/>
      <w:lvlText w:val="(%8)"/>
      <w:lvlJc w:val="left"/>
      <w:pPr>
        <w:tabs>
          <w:tab w:val="num" w:pos="-360"/>
        </w:tabs>
        <w:ind w:left="720" w:firstLine="0"/>
      </w:pPr>
    </w:lvl>
    <w:lvl w:ilvl="8">
      <w:start w:val="1"/>
      <w:numFmt w:val="lowerRoman"/>
      <w:lvlText w:val="(%9)"/>
      <w:lvlJc w:val="left"/>
      <w:pPr>
        <w:tabs>
          <w:tab w:val="num" w:pos="6120"/>
        </w:tabs>
        <w:ind w:left="5760" w:firstLine="0"/>
      </w:pPr>
    </w:lvl>
  </w:abstractNum>
  <w:abstractNum w:abstractNumId="1" w15:restartNumberingAfterBreak="0">
    <w:nsid w:val="00000002"/>
    <w:multiLevelType w:val="singleLevel"/>
    <w:tmpl w:val="00000002"/>
    <w:name w:val="WW8Num1"/>
    <w:lvl w:ilvl="0">
      <w:start w:val="1"/>
      <w:numFmt w:val="lowerLetter"/>
      <w:lvlText w:val="(%1)"/>
      <w:lvlJc w:val="left"/>
      <w:pPr>
        <w:tabs>
          <w:tab w:val="num" w:pos="0"/>
        </w:tabs>
        <w:ind w:left="780" w:hanging="360"/>
      </w:pPr>
      <w:rPr>
        <w:i w:val="0"/>
      </w:rPr>
    </w:lvl>
  </w:abstractNum>
  <w:abstractNum w:abstractNumId="2" w15:restartNumberingAfterBreak="0">
    <w:nsid w:val="00000003"/>
    <w:multiLevelType w:val="multilevel"/>
    <w:tmpl w:val="00000003"/>
    <w:name w:val="WW8Num5"/>
    <w:lvl w:ilvl="0">
      <w:start w:val="1"/>
      <w:numFmt w:val="decimal"/>
      <w:lvlText w:val="%1)"/>
      <w:lvlJc w:val="left"/>
      <w:pPr>
        <w:tabs>
          <w:tab w:val="num" w:pos="0"/>
        </w:tabs>
        <w:ind w:left="360" w:hanging="360"/>
      </w:pPr>
    </w:lvl>
    <w:lvl w:ilvl="1">
      <w:start w:val="1"/>
      <w:numFmt w:val="lowerLetter"/>
      <w:lvlText w:val="(%2)"/>
      <w:lvlJc w:val="left"/>
      <w:pPr>
        <w:tabs>
          <w:tab w:val="num" w:pos="0"/>
        </w:tabs>
        <w:ind w:left="720" w:hanging="360"/>
      </w:pPr>
      <w:rPr>
        <w:b w:val="0"/>
      </w:rPr>
    </w:lvl>
    <w:lvl w:ilvl="2">
      <w:start w:val="1"/>
      <w:numFmt w:val="lowerRoman"/>
      <w:lvlText w:val="%3)"/>
      <w:lvlJc w:val="left"/>
      <w:pPr>
        <w:tabs>
          <w:tab w:val="num" w:pos="0"/>
        </w:tabs>
        <w:ind w:left="1080" w:hanging="360"/>
      </w:pPr>
    </w:lvl>
    <w:lvl w:ilvl="3">
      <w:start w:val="1"/>
      <w:numFmt w:val="decimal"/>
      <w:lvlText w:val="(%4)"/>
      <w:lvlJc w:val="left"/>
      <w:pPr>
        <w:tabs>
          <w:tab w:val="num" w:pos="0"/>
        </w:tabs>
        <w:ind w:left="1440" w:hanging="360"/>
      </w:pPr>
    </w:lvl>
    <w:lvl w:ilvl="4">
      <w:start w:val="1"/>
      <w:numFmt w:val="lowerLetter"/>
      <w:lvlText w:val="(%5)"/>
      <w:lvlJc w:val="left"/>
      <w:pPr>
        <w:tabs>
          <w:tab w:val="num" w:pos="0"/>
        </w:tabs>
        <w:ind w:left="1800" w:hanging="360"/>
      </w:pPr>
    </w:lvl>
    <w:lvl w:ilvl="5">
      <w:start w:val="1"/>
      <w:numFmt w:val="lowerRoman"/>
      <w:lvlText w:val="(%6)"/>
      <w:lvlJc w:val="left"/>
      <w:pPr>
        <w:tabs>
          <w:tab w:val="num" w:pos="0"/>
        </w:tabs>
        <w:ind w:left="2160" w:hanging="360"/>
      </w:pPr>
    </w:lvl>
    <w:lvl w:ilvl="6">
      <w:start w:val="1"/>
      <w:numFmt w:val="decimal"/>
      <w:lvlText w:val="%7."/>
      <w:lvlJc w:val="left"/>
      <w:pPr>
        <w:tabs>
          <w:tab w:val="num" w:pos="0"/>
        </w:tabs>
        <w:ind w:left="2520" w:hanging="360"/>
      </w:pPr>
    </w:lvl>
    <w:lvl w:ilvl="7">
      <w:start w:val="1"/>
      <w:numFmt w:val="lowerLetter"/>
      <w:lvlText w:val="%8."/>
      <w:lvlJc w:val="left"/>
      <w:pPr>
        <w:tabs>
          <w:tab w:val="num" w:pos="0"/>
        </w:tabs>
        <w:ind w:left="2880" w:hanging="360"/>
      </w:pPr>
    </w:lvl>
    <w:lvl w:ilvl="8">
      <w:start w:val="1"/>
      <w:numFmt w:val="lowerRoman"/>
      <w:lvlText w:val="%9."/>
      <w:lvlJc w:val="left"/>
      <w:pPr>
        <w:tabs>
          <w:tab w:val="num" w:pos="0"/>
        </w:tabs>
        <w:ind w:left="3240" w:hanging="360"/>
      </w:pPr>
    </w:lvl>
  </w:abstractNum>
  <w:abstractNum w:abstractNumId="3" w15:restartNumberingAfterBreak="0">
    <w:nsid w:val="00000004"/>
    <w:multiLevelType w:val="multilevel"/>
    <w:tmpl w:val="00000004"/>
    <w:name w:val="WW8Num9"/>
    <w:lvl w:ilvl="0">
      <w:start w:val="1"/>
      <w:numFmt w:val="decimal"/>
      <w:lvlText w:val="%1)"/>
      <w:lvlJc w:val="left"/>
      <w:pPr>
        <w:tabs>
          <w:tab w:val="num" w:pos="0"/>
        </w:tabs>
        <w:ind w:left="360" w:hanging="360"/>
      </w:pPr>
    </w:lvl>
    <w:lvl w:ilvl="1">
      <w:start w:val="1"/>
      <w:numFmt w:val="lowerLetter"/>
      <w:lvlText w:val="(%2)"/>
      <w:lvlJc w:val="left"/>
      <w:pPr>
        <w:tabs>
          <w:tab w:val="num" w:pos="0"/>
        </w:tabs>
        <w:ind w:left="720" w:hanging="360"/>
      </w:pPr>
      <w:rPr>
        <w:b w:val="0"/>
      </w:rPr>
    </w:lvl>
    <w:lvl w:ilvl="2">
      <w:start w:val="1"/>
      <w:numFmt w:val="lowerRoman"/>
      <w:lvlText w:val="%3)"/>
      <w:lvlJc w:val="left"/>
      <w:pPr>
        <w:tabs>
          <w:tab w:val="num" w:pos="0"/>
        </w:tabs>
        <w:ind w:left="1080" w:hanging="360"/>
      </w:pPr>
    </w:lvl>
    <w:lvl w:ilvl="3">
      <w:start w:val="1"/>
      <w:numFmt w:val="decimal"/>
      <w:lvlText w:val="(%4)"/>
      <w:lvlJc w:val="left"/>
      <w:pPr>
        <w:tabs>
          <w:tab w:val="num" w:pos="0"/>
        </w:tabs>
        <w:ind w:left="1440" w:hanging="360"/>
      </w:pPr>
    </w:lvl>
    <w:lvl w:ilvl="4">
      <w:start w:val="1"/>
      <w:numFmt w:val="lowerLetter"/>
      <w:lvlText w:val="(%5)"/>
      <w:lvlJc w:val="left"/>
      <w:pPr>
        <w:tabs>
          <w:tab w:val="num" w:pos="0"/>
        </w:tabs>
        <w:ind w:left="1800" w:hanging="360"/>
      </w:pPr>
    </w:lvl>
    <w:lvl w:ilvl="5">
      <w:start w:val="1"/>
      <w:numFmt w:val="lowerRoman"/>
      <w:lvlText w:val="(%6)"/>
      <w:lvlJc w:val="left"/>
      <w:pPr>
        <w:tabs>
          <w:tab w:val="num" w:pos="0"/>
        </w:tabs>
        <w:ind w:left="2160" w:hanging="360"/>
      </w:pPr>
    </w:lvl>
    <w:lvl w:ilvl="6">
      <w:start w:val="1"/>
      <w:numFmt w:val="decimal"/>
      <w:lvlText w:val="%7."/>
      <w:lvlJc w:val="left"/>
      <w:pPr>
        <w:tabs>
          <w:tab w:val="num" w:pos="0"/>
        </w:tabs>
        <w:ind w:left="2520" w:hanging="360"/>
      </w:pPr>
    </w:lvl>
    <w:lvl w:ilvl="7">
      <w:start w:val="1"/>
      <w:numFmt w:val="lowerLetter"/>
      <w:lvlText w:val="%8."/>
      <w:lvlJc w:val="left"/>
      <w:pPr>
        <w:tabs>
          <w:tab w:val="num" w:pos="0"/>
        </w:tabs>
        <w:ind w:left="2880" w:hanging="360"/>
      </w:pPr>
    </w:lvl>
    <w:lvl w:ilvl="8">
      <w:start w:val="1"/>
      <w:numFmt w:val="lowerRoman"/>
      <w:lvlText w:val="%9."/>
      <w:lvlJc w:val="left"/>
      <w:pPr>
        <w:tabs>
          <w:tab w:val="num" w:pos="0"/>
        </w:tabs>
        <w:ind w:left="3240" w:hanging="360"/>
      </w:pPr>
    </w:lvl>
  </w:abstractNum>
  <w:abstractNum w:abstractNumId="4" w15:restartNumberingAfterBreak="0">
    <w:nsid w:val="00000005"/>
    <w:multiLevelType w:val="singleLevel"/>
    <w:tmpl w:val="00000005"/>
    <w:name w:val="WW8Num13"/>
    <w:lvl w:ilvl="0">
      <w:start w:val="1"/>
      <w:numFmt w:val="decimal"/>
      <w:lvlText w:val="%1."/>
      <w:lvlJc w:val="left"/>
      <w:pPr>
        <w:tabs>
          <w:tab w:val="num" w:pos="0"/>
        </w:tabs>
        <w:ind w:left="720" w:hanging="360"/>
      </w:pPr>
      <w:rPr>
        <w:sz w:val="20"/>
        <w:szCs w:val="20"/>
      </w:rPr>
    </w:lvl>
  </w:abstractNum>
  <w:abstractNum w:abstractNumId="5" w15:restartNumberingAfterBreak="0">
    <w:nsid w:val="00000006"/>
    <w:multiLevelType w:val="multilevel"/>
    <w:tmpl w:val="00000006"/>
    <w:name w:val="WW8Num20"/>
    <w:lvl w:ilvl="0">
      <w:start w:val="1"/>
      <w:numFmt w:val="decimal"/>
      <w:lvlText w:val="%1."/>
      <w:lvlJc w:val="left"/>
      <w:pPr>
        <w:tabs>
          <w:tab w:val="num" w:pos="0"/>
        </w:tabs>
        <w:ind w:left="369" w:hanging="369"/>
      </w:pPr>
    </w:lvl>
    <w:lvl w:ilvl="1">
      <w:start w:val="1"/>
      <w:numFmt w:val="none"/>
      <w:suff w:val="nothing"/>
      <w:lvlText w:val="-"/>
      <w:lvlJc w:val="left"/>
      <w:pPr>
        <w:tabs>
          <w:tab w:val="num" w:pos="0"/>
        </w:tabs>
        <w:ind w:left="737" w:hanging="368"/>
      </w:pPr>
    </w:lvl>
    <w:lvl w:ilvl="2">
      <w:start w:val="1"/>
      <w:numFmt w:val="none"/>
      <w:suff w:val="nothing"/>
      <w:lvlText w:val=":"/>
      <w:lvlJc w:val="left"/>
      <w:pPr>
        <w:tabs>
          <w:tab w:val="num" w:pos="0"/>
        </w:tabs>
        <w:ind w:left="1106" w:hanging="369"/>
      </w:pPr>
    </w:lvl>
    <w:lvl w:ilvl="3">
      <w:start w:val="1"/>
      <w:numFmt w:val="none"/>
      <w:suff w:val="nothing"/>
      <w:lvlText w:val=""/>
      <w:lvlJc w:val="left"/>
      <w:pPr>
        <w:tabs>
          <w:tab w:val="num" w:pos="0"/>
        </w:tabs>
        <w:ind w:left="1474" w:hanging="368"/>
      </w:pPr>
    </w:lvl>
    <w:lvl w:ilvl="4">
      <w:start w:val="1"/>
      <w:numFmt w:val="lowerLetter"/>
      <w:lvlText w:val="(%5)"/>
      <w:lvlJc w:val="left"/>
      <w:pPr>
        <w:tabs>
          <w:tab w:val="num" w:pos="0"/>
        </w:tabs>
        <w:ind w:left="1800" w:hanging="360"/>
      </w:pPr>
    </w:lvl>
    <w:lvl w:ilvl="5">
      <w:start w:val="1"/>
      <w:numFmt w:val="lowerRoman"/>
      <w:lvlText w:val="(%6)"/>
      <w:lvlJc w:val="left"/>
      <w:pPr>
        <w:tabs>
          <w:tab w:val="num" w:pos="0"/>
        </w:tabs>
        <w:ind w:left="2160" w:hanging="360"/>
      </w:pPr>
    </w:lvl>
    <w:lvl w:ilvl="6">
      <w:start w:val="1"/>
      <w:numFmt w:val="decimal"/>
      <w:lvlText w:val="%7."/>
      <w:lvlJc w:val="left"/>
      <w:pPr>
        <w:tabs>
          <w:tab w:val="num" w:pos="0"/>
        </w:tabs>
        <w:ind w:left="2520" w:hanging="360"/>
      </w:pPr>
    </w:lvl>
    <w:lvl w:ilvl="7">
      <w:start w:val="1"/>
      <w:numFmt w:val="lowerLetter"/>
      <w:lvlText w:val="%8."/>
      <w:lvlJc w:val="left"/>
      <w:pPr>
        <w:tabs>
          <w:tab w:val="num" w:pos="0"/>
        </w:tabs>
        <w:ind w:left="2880" w:hanging="360"/>
      </w:pPr>
    </w:lvl>
    <w:lvl w:ilvl="8">
      <w:start w:val="1"/>
      <w:numFmt w:val="lowerRoman"/>
      <w:lvlText w:val="%9."/>
      <w:lvlJc w:val="left"/>
      <w:pPr>
        <w:tabs>
          <w:tab w:val="num" w:pos="0"/>
        </w:tabs>
        <w:ind w:left="3240" w:hanging="360"/>
      </w:pPr>
    </w:lvl>
  </w:abstractNum>
  <w:abstractNum w:abstractNumId="6" w15:restartNumberingAfterBreak="0">
    <w:nsid w:val="00000007"/>
    <w:multiLevelType w:val="multilevel"/>
    <w:tmpl w:val="00000007"/>
    <w:name w:val="WW8Num28"/>
    <w:lvl w:ilvl="0">
      <w:start w:val="1"/>
      <w:numFmt w:val="decimal"/>
      <w:lvlText w:val="%1."/>
      <w:lvlJc w:val="left"/>
      <w:pPr>
        <w:tabs>
          <w:tab w:val="num" w:pos="360"/>
        </w:tabs>
        <w:ind w:left="0" w:firstLine="0"/>
      </w:pPr>
    </w:lvl>
    <w:lvl w:ilvl="1">
      <w:start w:val="1"/>
      <w:numFmt w:val="lowerLetter"/>
      <w:lvlText w:val="(%2)"/>
      <w:lvlJc w:val="left"/>
      <w:pPr>
        <w:tabs>
          <w:tab w:val="num" w:pos="1440"/>
        </w:tabs>
        <w:ind w:left="0" w:firstLine="720"/>
      </w:pPr>
    </w:lvl>
    <w:lvl w:ilvl="2">
      <w:start w:val="1"/>
      <w:numFmt w:val="lowerRoman"/>
      <w:lvlText w:val="(%3)"/>
      <w:lvlJc w:val="left"/>
      <w:pPr>
        <w:tabs>
          <w:tab w:val="num" w:pos="1440"/>
        </w:tabs>
        <w:ind w:left="1440" w:hanging="360"/>
      </w:pPr>
    </w:lvl>
    <w:lvl w:ilvl="3">
      <w:start w:val="1"/>
      <w:numFmt w:val="bullet"/>
      <w:lvlText w:val=""/>
      <w:lvlJc w:val="left"/>
      <w:pPr>
        <w:tabs>
          <w:tab w:val="num" w:pos="2160"/>
        </w:tabs>
        <w:ind w:left="2160" w:hanging="720"/>
      </w:pPr>
      <w:rPr>
        <w:rFonts w:ascii="Symbol" w:hAnsi="Symbol"/>
        <w:sz w:val="28"/>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 w15:restartNumberingAfterBreak="0">
    <w:nsid w:val="00000008"/>
    <w:multiLevelType w:val="multilevel"/>
    <w:tmpl w:val="00000008"/>
    <w:name w:val="WW8Num29"/>
    <w:lvl w:ilvl="0">
      <w:start w:val="1"/>
      <w:numFmt w:val="decimal"/>
      <w:lvlText w:val="%1."/>
      <w:lvlJc w:val="left"/>
      <w:pPr>
        <w:tabs>
          <w:tab w:val="num" w:pos="360"/>
        </w:tabs>
        <w:ind w:left="0" w:firstLine="0"/>
      </w:pPr>
      <w:rPr>
        <w:rFonts w:ascii="Times New Roman" w:hAnsi="Times New Roman"/>
        <w:b w:val="0"/>
        <w:i w:val="0"/>
        <w:sz w:val="22"/>
      </w:rPr>
    </w:lvl>
    <w:lvl w:ilvl="1">
      <w:start w:val="1"/>
      <w:numFmt w:val="lowerLetter"/>
      <w:lvlText w:val="(%2)"/>
      <w:lvlJc w:val="left"/>
      <w:pPr>
        <w:tabs>
          <w:tab w:val="num" w:pos="1440"/>
        </w:tabs>
        <w:ind w:left="0" w:firstLine="720"/>
      </w:pPr>
      <w:rPr>
        <w:b w:val="0"/>
        <w:i w:val="0"/>
      </w:rPr>
    </w:lvl>
    <w:lvl w:ilvl="2">
      <w:start w:val="1"/>
      <w:numFmt w:val="lowerRoman"/>
      <w:lvlText w:val="(%3)"/>
      <w:lvlJc w:val="left"/>
      <w:pPr>
        <w:tabs>
          <w:tab w:val="num" w:pos="1440"/>
        </w:tabs>
        <w:ind w:left="1440" w:hanging="360"/>
      </w:pPr>
    </w:lvl>
    <w:lvl w:ilvl="3">
      <w:start w:val="1"/>
      <w:numFmt w:val="bullet"/>
      <w:lvlText w:val=""/>
      <w:lvlJc w:val="left"/>
      <w:pPr>
        <w:tabs>
          <w:tab w:val="num" w:pos="2160"/>
        </w:tabs>
        <w:ind w:left="2160" w:hanging="720"/>
      </w:pPr>
      <w:rPr>
        <w:rFonts w:ascii="Symbol" w:hAnsi="Symbol"/>
        <w:color w:val="auto"/>
        <w:sz w:val="28"/>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00000009"/>
    <w:multiLevelType w:val="multilevel"/>
    <w:tmpl w:val="00000009"/>
    <w:name w:val="WW8Num30"/>
    <w:lvl w:ilvl="0">
      <w:start w:val="1"/>
      <w:numFmt w:val="decimal"/>
      <w:lvlText w:val="%1)"/>
      <w:lvlJc w:val="left"/>
      <w:pPr>
        <w:tabs>
          <w:tab w:val="num" w:pos="0"/>
        </w:tabs>
        <w:ind w:left="360" w:hanging="360"/>
      </w:pPr>
    </w:lvl>
    <w:lvl w:ilvl="1">
      <w:start w:val="1"/>
      <w:numFmt w:val="lowerLetter"/>
      <w:lvlText w:val="(%2)"/>
      <w:lvlJc w:val="left"/>
      <w:pPr>
        <w:tabs>
          <w:tab w:val="num" w:pos="0"/>
        </w:tabs>
        <w:ind w:left="720" w:hanging="360"/>
      </w:pPr>
      <w:rPr>
        <w:b w:val="0"/>
      </w:rPr>
    </w:lvl>
    <w:lvl w:ilvl="2">
      <w:start w:val="1"/>
      <w:numFmt w:val="lowerRoman"/>
      <w:lvlText w:val="%3)"/>
      <w:lvlJc w:val="left"/>
      <w:pPr>
        <w:tabs>
          <w:tab w:val="num" w:pos="0"/>
        </w:tabs>
        <w:ind w:left="1080" w:hanging="360"/>
      </w:pPr>
    </w:lvl>
    <w:lvl w:ilvl="3">
      <w:start w:val="1"/>
      <w:numFmt w:val="decimal"/>
      <w:lvlText w:val="(%4)"/>
      <w:lvlJc w:val="left"/>
      <w:pPr>
        <w:tabs>
          <w:tab w:val="num" w:pos="0"/>
        </w:tabs>
        <w:ind w:left="1440" w:hanging="360"/>
      </w:pPr>
    </w:lvl>
    <w:lvl w:ilvl="4">
      <w:start w:val="1"/>
      <w:numFmt w:val="lowerLetter"/>
      <w:lvlText w:val="(%5)"/>
      <w:lvlJc w:val="left"/>
      <w:pPr>
        <w:tabs>
          <w:tab w:val="num" w:pos="0"/>
        </w:tabs>
        <w:ind w:left="1800" w:hanging="360"/>
      </w:pPr>
    </w:lvl>
    <w:lvl w:ilvl="5">
      <w:start w:val="1"/>
      <w:numFmt w:val="lowerRoman"/>
      <w:lvlText w:val="(%6)"/>
      <w:lvlJc w:val="left"/>
      <w:pPr>
        <w:tabs>
          <w:tab w:val="num" w:pos="0"/>
        </w:tabs>
        <w:ind w:left="2160" w:hanging="360"/>
      </w:pPr>
    </w:lvl>
    <w:lvl w:ilvl="6">
      <w:start w:val="1"/>
      <w:numFmt w:val="decimal"/>
      <w:lvlText w:val="%7."/>
      <w:lvlJc w:val="left"/>
      <w:pPr>
        <w:tabs>
          <w:tab w:val="num" w:pos="0"/>
        </w:tabs>
        <w:ind w:left="2520" w:hanging="360"/>
      </w:pPr>
    </w:lvl>
    <w:lvl w:ilvl="7">
      <w:start w:val="1"/>
      <w:numFmt w:val="lowerLetter"/>
      <w:lvlText w:val="%8."/>
      <w:lvlJc w:val="left"/>
      <w:pPr>
        <w:tabs>
          <w:tab w:val="num" w:pos="0"/>
        </w:tabs>
        <w:ind w:left="2880" w:hanging="360"/>
      </w:pPr>
    </w:lvl>
    <w:lvl w:ilvl="8">
      <w:start w:val="1"/>
      <w:numFmt w:val="lowerRoman"/>
      <w:lvlText w:val="%9."/>
      <w:lvlJc w:val="left"/>
      <w:pPr>
        <w:tabs>
          <w:tab w:val="num" w:pos="0"/>
        </w:tabs>
        <w:ind w:left="3240" w:hanging="360"/>
      </w:pPr>
    </w:lvl>
  </w:abstractNum>
  <w:abstractNum w:abstractNumId="9" w15:restartNumberingAfterBreak="0">
    <w:nsid w:val="0000000A"/>
    <w:multiLevelType w:val="singleLevel"/>
    <w:tmpl w:val="0000000A"/>
    <w:name w:val="WW8Num31"/>
    <w:lvl w:ilvl="0">
      <w:start w:val="1"/>
      <w:numFmt w:val="decimal"/>
      <w:lvlText w:val="%1."/>
      <w:lvlJc w:val="left"/>
      <w:pPr>
        <w:tabs>
          <w:tab w:val="num" w:pos="0"/>
        </w:tabs>
        <w:ind w:left="720" w:hanging="360"/>
      </w:pPr>
    </w:lvl>
  </w:abstractNum>
  <w:abstractNum w:abstractNumId="10" w15:restartNumberingAfterBreak="0">
    <w:nsid w:val="0000000B"/>
    <w:multiLevelType w:val="singleLevel"/>
    <w:tmpl w:val="0000000B"/>
    <w:name w:val="WW8Num44"/>
    <w:lvl w:ilvl="0">
      <w:start w:val="1"/>
      <w:numFmt w:val="lowerLetter"/>
      <w:lvlText w:val="(%1)"/>
      <w:lvlJc w:val="left"/>
      <w:pPr>
        <w:tabs>
          <w:tab w:val="num" w:pos="0"/>
        </w:tabs>
        <w:ind w:left="1440" w:hanging="360"/>
      </w:pPr>
      <w:rPr>
        <w:i w:val="0"/>
      </w:rPr>
    </w:lvl>
  </w:abstractNum>
  <w:abstractNum w:abstractNumId="11" w15:restartNumberingAfterBreak="0">
    <w:nsid w:val="0000000C"/>
    <w:multiLevelType w:val="multilevel"/>
    <w:tmpl w:val="0000000C"/>
    <w:name w:val="WW8Num51"/>
    <w:lvl w:ilvl="0">
      <w:start w:val="1"/>
      <w:numFmt w:val="decimal"/>
      <w:lvlText w:val="%1."/>
      <w:lvlJc w:val="left"/>
      <w:pPr>
        <w:tabs>
          <w:tab w:val="num" w:pos="0"/>
        </w:tabs>
        <w:ind w:left="720" w:hanging="360"/>
      </w:pPr>
      <w:rPr>
        <w:i w:val="0"/>
        <w:iCs/>
      </w:rPr>
    </w:lvl>
    <w:lvl w:ilvl="1">
      <w:start w:val="1"/>
      <w:numFmt w:val="lowerLetter"/>
      <w:lvlText w:val="(%2)"/>
      <w:lvlJc w:val="left"/>
      <w:pPr>
        <w:tabs>
          <w:tab w:val="num" w:pos="0"/>
        </w:tabs>
        <w:ind w:left="1440" w:hanging="360"/>
      </w:pPr>
      <w:rPr>
        <w:i w:val="0"/>
      </w:rPr>
    </w:lvl>
    <w:lvl w:ilvl="2">
      <w:start w:val="13"/>
      <w:numFmt w:val="decimal"/>
      <w:lvlText w:val="%3"/>
      <w:lvlJc w:val="left"/>
      <w:pPr>
        <w:tabs>
          <w:tab w:val="num" w:pos="0"/>
        </w:tabs>
        <w:ind w:left="2340" w:hanging="36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num w:numId="1" w16cid:durableId="627442687">
    <w:abstractNumId w:val="0"/>
  </w:num>
  <w:num w:numId="2" w16cid:durableId="140662689">
    <w:abstractNumId w:val="1"/>
  </w:num>
  <w:num w:numId="3" w16cid:durableId="2078160503">
    <w:abstractNumId w:val="2"/>
  </w:num>
  <w:num w:numId="4" w16cid:durableId="698090067">
    <w:abstractNumId w:val="3"/>
  </w:num>
  <w:num w:numId="5" w16cid:durableId="1346247461">
    <w:abstractNumId w:val="4"/>
  </w:num>
  <w:num w:numId="6" w16cid:durableId="2138329187">
    <w:abstractNumId w:val="5"/>
  </w:num>
  <w:num w:numId="7" w16cid:durableId="1002512870">
    <w:abstractNumId w:val="6"/>
  </w:num>
  <w:num w:numId="8" w16cid:durableId="811169119">
    <w:abstractNumId w:val="7"/>
  </w:num>
  <w:num w:numId="9" w16cid:durableId="91820006">
    <w:abstractNumId w:val="8"/>
  </w:num>
  <w:num w:numId="10" w16cid:durableId="261305208">
    <w:abstractNumId w:val="9"/>
  </w:num>
  <w:num w:numId="11" w16cid:durableId="1235699389">
    <w:abstractNumId w:val="10"/>
  </w:num>
  <w:num w:numId="12" w16cid:durableId="34617643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isplayBackgroundShape/>
  <w:embedSystemFonts/>
  <w:proofState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efaultTableStyle w:val="Normal"/>
  <w:evenAndOddHeaders/>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4C6E"/>
    <w:rsid w:val="0000318C"/>
    <w:rsid w:val="00046046"/>
    <w:rsid w:val="00096EE0"/>
    <w:rsid w:val="000F51E3"/>
    <w:rsid w:val="00285A51"/>
    <w:rsid w:val="003A29EF"/>
    <w:rsid w:val="003F6187"/>
    <w:rsid w:val="00412EE9"/>
    <w:rsid w:val="0043510B"/>
    <w:rsid w:val="005B4F06"/>
    <w:rsid w:val="005C4C6E"/>
    <w:rsid w:val="005E49B2"/>
    <w:rsid w:val="005E6C44"/>
    <w:rsid w:val="0060011A"/>
    <w:rsid w:val="00607128"/>
    <w:rsid w:val="00635C01"/>
    <w:rsid w:val="00786AE9"/>
    <w:rsid w:val="00AD1854"/>
    <w:rsid w:val="00AD1E32"/>
    <w:rsid w:val="00B71C35"/>
    <w:rsid w:val="00B82F39"/>
    <w:rsid w:val="00C33FE8"/>
    <w:rsid w:val="00DB4AA8"/>
    <w:rsid w:val="00ED5ABE"/>
    <w:rsid w:val="00F8610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5FA4DF29"/>
  <w15:chartTrackingRefBased/>
  <w15:docId w15:val="{957A82AB-2B3A-4343-91BA-68AF65BBF6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jc w:val="both"/>
    </w:pPr>
    <w:rPr>
      <w:sz w:val="22"/>
      <w:szCs w:val="24"/>
      <w:lang w:val="en-GB" w:eastAsia="ar-SA"/>
    </w:rPr>
  </w:style>
  <w:style w:type="paragraph" w:styleId="Heading1">
    <w:name w:val="heading 1"/>
    <w:basedOn w:val="Normal"/>
    <w:next w:val="Heading2"/>
    <w:qFormat/>
    <w:pPr>
      <w:keepNext/>
      <w:tabs>
        <w:tab w:val="left" w:pos="720"/>
      </w:tabs>
      <w:spacing w:before="240" w:after="120"/>
      <w:jc w:val="center"/>
      <w:outlineLvl w:val="0"/>
    </w:pPr>
    <w:rPr>
      <w:b/>
      <w:caps/>
    </w:rPr>
  </w:style>
  <w:style w:type="paragraph" w:styleId="Heading2">
    <w:name w:val="heading 2"/>
    <w:basedOn w:val="Normal"/>
    <w:next w:val="Normal"/>
    <w:qFormat/>
    <w:pPr>
      <w:keepNext/>
      <w:tabs>
        <w:tab w:val="left" w:pos="720"/>
      </w:tabs>
      <w:spacing w:before="120" w:after="120"/>
      <w:jc w:val="center"/>
      <w:outlineLvl w:val="1"/>
    </w:pPr>
    <w:rPr>
      <w:b/>
      <w:bCs/>
      <w:iCs/>
    </w:rPr>
  </w:style>
  <w:style w:type="paragraph" w:styleId="Heading3">
    <w:name w:val="heading 3"/>
    <w:basedOn w:val="Normal"/>
    <w:next w:val="Normal"/>
    <w:qFormat/>
    <w:pPr>
      <w:keepNext/>
      <w:tabs>
        <w:tab w:val="left" w:pos="567"/>
      </w:tabs>
      <w:spacing w:before="120" w:after="120"/>
      <w:jc w:val="center"/>
      <w:outlineLvl w:val="2"/>
    </w:pPr>
    <w:rPr>
      <w:i/>
      <w:iCs/>
    </w:rPr>
  </w:style>
  <w:style w:type="paragraph" w:styleId="Heading4">
    <w:name w:val="heading 4"/>
    <w:basedOn w:val="Normal"/>
    <w:next w:val="BodyText"/>
    <w:qFormat/>
    <w:pPr>
      <w:keepNext/>
      <w:spacing w:before="120" w:after="120"/>
      <w:outlineLvl w:val="3"/>
    </w:pPr>
    <w:rPr>
      <w:rFonts w:ascii="Times New Roman Bold" w:eastAsia="Arial Unicode MS" w:hAnsi="Times New Roman Bold" w:cs="Arial"/>
      <w:b/>
      <w:bCs/>
      <w:i/>
    </w:rPr>
  </w:style>
  <w:style w:type="paragraph" w:styleId="Heading5">
    <w:name w:val="heading 5"/>
    <w:basedOn w:val="Normal"/>
    <w:next w:val="Normal"/>
    <w:qFormat/>
    <w:pPr>
      <w:keepNext/>
      <w:numPr>
        <w:ilvl w:val="4"/>
        <w:numId w:val="1"/>
      </w:numPr>
      <w:spacing w:before="120" w:after="120"/>
      <w:jc w:val="left"/>
      <w:outlineLvl w:val="4"/>
    </w:pPr>
    <w:rPr>
      <w:bCs/>
      <w:i/>
      <w:szCs w:val="26"/>
      <w:lang w:val="en-CA"/>
    </w:rPr>
  </w:style>
  <w:style w:type="paragraph" w:styleId="Heading6">
    <w:name w:val="heading 6"/>
    <w:basedOn w:val="Normal"/>
    <w:next w:val="Normal"/>
    <w:qFormat/>
    <w:pPr>
      <w:keepNext/>
      <w:spacing w:after="240" w:line="240" w:lineRule="exact"/>
      <w:ind w:left="720"/>
      <w:outlineLvl w:val="5"/>
    </w:pPr>
    <w:rPr>
      <w:u w:val="single"/>
    </w:rPr>
  </w:style>
  <w:style w:type="paragraph" w:styleId="Heading7">
    <w:name w:val="heading 7"/>
    <w:basedOn w:val="Normal"/>
    <w:next w:val="Normal"/>
    <w:qFormat/>
    <w:pPr>
      <w:keepNext/>
      <w:jc w:val="right"/>
      <w:outlineLvl w:val="6"/>
    </w:pPr>
    <w:rPr>
      <w:rFonts w:ascii="Univers" w:hAnsi="Univers"/>
      <w:b/>
      <w:sz w:val="28"/>
    </w:rPr>
  </w:style>
  <w:style w:type="paragraph" w:styleId="Heading8">
    <w:name w:val="heading 8"/>
    <w:basedOn w:val="Normal"/>
    <w:next w:val="Normal"/>
    <w:qFormat/>
    <w:pPr>
      <w:keepNext/>
      <w:jc w:val="right"/>
      <w:outlineLvl w:val="7"/>
    </w:pPr>
    <w:rPr>
      <w:rFonts w:ascii="Univers" w:hAnsi="Univers"/>
      <w:b/>
      <w:sz w:val="32"/>
    </w:rPr>
  </w:style>
  <w:style w:type="paragraph" w:styleId="Heading9">
    <w:name w:val="heading 9"/>
    <w:basedOn w:val="Normal"/>
    <w:next w:val="Normal"/>
    <w:qFormat/>
    <w:pPr>
      <w:keepNext/>
      <w:spacing w:before="280" w:after="120"/>
      <w:outlineLvl w:val="8"/>
    </w:pPr>
    <w:rPr>
      <w:i/>
      <w:iCs/>
    </w:rPr>
  </w:style>
  <w:style w:type="character" w:default="1" w:styleId="DefaultParagraphFont">
    <w:name w:val="Default Paragraph Fon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rPr>
      <w:i w:val="0"/>
    </w:rPr>
  </w:style>
  <w:style w:type="character" w:customStyle="1" w:styleId="WW8Num5z1">
    <w:name w:val="WW8Num5z1"/>
    <w:rPr>
      <w:b w:val="0"/>
    </w:rPr>
  </w:style>
  <w:style w:type="character" w:customStyle="1" w:styleId="WW8Num6z0">
    <w:name w:val="WW8Num6z0"/>
    <w:rPr>
      <w:rFonts w:ascii="Symbol" w:hAnsi="Symbol"/>
    </w:rPr>
  </w:style>
  <w:style w:type="character" w:customStyle="1" w:styleId="WW8Num6z1">
    <w:name w:val="WW8Num6z1"/>
    <w:rPr>
      <w:rFonts w:ascii="Courier New" w:hAnsi="Courier New" w:cs="Wingdings"/>
    </w:rPr>
  </w:style>
  <w:style w:type="character" w:customStyle="1" w:styleId="WW8Num6z2">
    <w:name w:val="WW8Num6z2"/>
    <w:rPr>
      <w:rFonts w:ascii="Wingdings" w:hAnsi="Wingdings"/>
    </w:rPr>
  </w:style>
  <w:style w:type="character" w:customStyle="1" w:styleId="WW8Num9z1">
    <w:name w:val="WW8Num9z1"/>
    <w:rPr>
      <w:b w:val="0"/>
    </w:rPr>
  </w:style>
  <w:style w:type="character" w:customStyle="1" w:styleId="WW8Num10z0">
    <w:name w:val="WW8Num10z0"/>
    <w:rPr>
      <w:b w:val="0"/>
    </w:rPr>
  </w:style>
  <w:style w:type="character" w:customStyle="1" w:styleId="WW8Num11z0">
    <w:name w:val="WW8Num11z0"/>
    <w:rPr>
      <w:b w:val="0"/>
    </w:rPr>
  </w:style>
  <w:style w:type="character" w:customStyle="1" w:styleId="WW8Num12z0">
    <w:name w:val="WW8Num12z0"/>
    <w:rPr>
      <w:rFonts w:ascii="Symbol" w:hAnsi="Symbol"/>
    </w:rPr>
  </w:style>
  <w:style w:type="character" w:customStyle="1" w:styleId="WW8Num12z1">
    <w:name w:val="WW8Num12z1"/>
    <w:rPr>
      <w:rFonts w:ascii="Courier New" w:hAnsi="Courier New" w:cs="Courier New"/>
    </w:rPr>
  </w:style>
  <w:style w:type="character" w:customStyle="1" w:styleId="WW8Num12z2">
    <w:name w:val="WW8Num12z2"/>
    <w:rPr>
      <w:rFonts w:ascii="Wingdings" w:hAnsi="Wingdings"/>
    </w:rPr>
  </w:style>
  <w:style w:type="character" w:customStyle="1" w:styleId="WW8Num13z0">
    <w:name w:val="WW8Num13z0"/>
    <w:rPr>
      <w:sz w:val="20"/>
      <w:szCs w:val="20"/>
    </w:rPr>
  </w:style>
  <w:style w:type="character" w:customStyle="1" w:styleId="WW8Num14z0">
    <w:name w:val="WW8Num14z0"/>
    <w:rPr>
      <w:rFonts w:ascii="Symbol" w:hAnsi="Symbol"/>
    </w:rPr>
  </w:style>
  <w:style w:type="character" w:customStyle="1" w:styleId="WW8Num14z1">
    <w:name w:val="WW8Num14z1"/>
    <w:rPr>
      <w:rFonts w:ascii="Courier New" w:hAnsi="Courier New" w:cs="Wingdings"/>
    </w:rPr>
  </w:style>
  <w:style w:type="character" w:customStyle="1" w:styleId="WW8Num14z2">
    <w:name w:val="WW8Num14z2"/>
    <w:rPr>
      <w:rFonts w:ascii="Wingdings" w:hAnsi="Wingdings"/>
    </w:rPr>
  </w:style>
  <w:style w:type="character" w:customStyle="1" w:styleId="WW8Num15z1">
    <w:name w:val="WW8Num15z1"/>
    <w:rPr>
      <w:b w:val="0"/>
    </w:rPr>
  </w:style>
  <w:style w:type="character" w:customStyle="1" w:styleId="WW8Num17z0">
    <w:name w:val="WW8Num17z0"/>
    <w:rPr>
      <w:sz w:val="22"/>
      <w:szCs w:val="22"/>
    </w:rPr>
  </w:style>
  <w:style w:type="character" w:customStyle="1" w:styleId="WW8Num19z0">
    <w:name w:val="WW8Num19z0"/>
    <w:rPr>
      <w:b w:val="0"/>
    </w:rPr>
  </w:style>
  <w:style w:type="character" w:customStyle="1" w:styleId="WW8Num21z0">
    <w:name w:val="WW8Num21z0"/>
    <w:rPr>
      <w:rFonts w:ascii="Times New Roman" w:hAnsi="Times New Roman" w:cs="Times New Roman"/>
      <w:i w:val="0"/>
    </w:rPr>
  </w:style>
  <w:style w:type="character" w:customStyle="1" w:styleId="WW8Num26z0">
    <w:name w:val="WW8Num26z0"/>
    <w:rPr>
      <w:b w:val="0"/>
      <w:i w:val="0"/>
    </w:rPr>
  </w:style>
  <w:style w:type="character" w:customStyle="1" w:styleId="WW8Num27z0">
    <w:name w:val="WW8Num27z0"/>
    <w:rPr>
      <w:rFonts w:ascii="Symbol" w:hAnsi="Symbol"/>
    </w:rPr>
  </w:style>
  <w:style w:type="character" w:customStyle="1" w:styleId="WW8Num27z1">
    <w:name w:val="WW8Num27z1"/>
    <w:rPr>
      <w:rFonts w:ascii="Courier New" w:hAnsi="Courier New" w:cs="Wingdings"/>
    </w:rPr>
  </w:style>
  <w:style w:type="character" w:customStyle="1" w:styleId="WW8Num27z2">
    <w:name w:val="WW8Num27z2"/>
    <w:rPr>
      <w:rFonts w:ascii="Wingdings" w:hAnsi="Wingdings"/>
    </w:rPr>
  </w:style>
  <w:style w:type="character" w:customStyle="1" w:styleId="WW8Num28z3">
    <w:name w:val="WW8Num28z3"/>
    <w:rPr>
      <w:rFonts w:ascii="Symbol" w:hAnsi="Symbol"/>
      <w:color w:val="auto"/>
      <w:sz w:val="28"/>
    </w:rPr>
  </w:style>
  <w:style w:type="character" w:customStyle="1" w:styleId="WW8Num29z0">
    <w:name w:val="WW8Num29z0"/>
    <w:rPr>
      <w:rFonts w:ascii="Times New Roman" w:hAnsi="Times New Roman"/>
      <w:b w:val="0"/>
      <w:i w:val="0"/>
      <w:sz w:val="22"/>
    </w:rPr>
  </w:style>
  <w:style w:type="character" w:customStyle="1" w:styleId="WW8Num29z1">
    <w:name w:val="WW8Num29z1"/>
    <w:rPr>
      <w:b w:val="0"/>
      <w:i w:val="0"/>
    </w:rPr>
  </w:style>
  <w:style w:type="character" w:customStyle="1" w:styleId="WW8Num29z3">
    <w:name w:val="WW8Num29z3"/>
    <w:rPr>
      <w:rFonts w:ascii="Symbol" w:hAnsi="Symbol"/>
      <w:color w:val="auto"/>
      <w:sz w:val="28"/>
    </w:rPr>
  </w:style>
  <w:style w:type="character" w:customStyle="1" w:styleId="WW8Num30z1">
    <w:name w:val="WW8Num30z1"/>
    <w:rPr>
      <w:b w:val="0"/>
    </w:rPr>
  </w:style>
  <w:style w:type="character" w:customStyle="1" w:styleId="WW8Num32z0">
    <w:name w:val="WW8Num32z0"/>
    <w:rPr>
      <w:b/>
    </w:rPr>
  </w:style>
  <w:style w:type="character" w:customStyle="1" w:styleId="WW8Num33z0">
    <w:name w:val="WW8Num33z0"/>
    <w:rPr>
      <w:rFonts w:ascii="Times New Roman" w:hAnsi="Times New Roman" w:cs="Times New Roman"/>
      <w:b w:val="0"/>
      <w:i w:val="0"/>
      <w:sz w:val="22"/>
    </w:rPr>
  </w:style>
  <w:style w:type="character" w:customStyle="1" w:styleId="WW8Num33z1">
    <w:name w:val="WW8Num33z1"/>
    <w:rPr>
      <w:b w:val="0"/>
      <w:i w:val="0"/>
    </w:rPr>
  </w:style>
  <w:style w:type="character" w:customStyle="1" w:styleId="WW8Num33z3">
    <w:name w:val="WW8Num33z3"/>
    <w:rPr>
      <w:rFonts w:ascii="Symbol" w:hAnsi="Symbol"/>
      <w:color w:val="auto"/>
      <w:sz w:val="28"/>
    </w:rPr>
  </w:style>
  <w:style w:type="character" w:customStyle="1" w:styleId="WW8Num38z0">
    <w:name w:val="WW8Num38z0"/>
    <w:rPr>
      <w:rFonts w:ascii="Symbol" w:hAnsi="Symbol"/>
    </w:rPr>
  </w:style>
  <w:style w:type="character" w:customStyle="1" w:styleId="WW8Num38z1">
    <w:name w:val="WW8Num38z1"/>
    <w:rPr>
      <w:rFonts w:ascii="Courier New" w:hAnsi="Courier New" w:cs="Wingdings"/>
    </w:rPr>
  </w:style>
  <w:style w:type="character" w:customStyle="1" w:styleId="WW8Num38z2">
    <w:name w:val="WW8Num38z2"/>
    <w:rPr>
      <w:rFonts w:ascii="Wingdings" w:hAnsi="Wingdings"/>
    </w:rPr>
  </w:style>
  <w:style w:type="character" w:customStyle="1" w:styleId="WW8Num41z0">
    <w:name w:val="WW8Num41z0"/>
    <w:rPr>
      <w:rFonts w:ascii="Times New Roman" w:eastAsia="Batang" w:hAnsi="Times New Roman" w:cs="Times New Roman"/>
      <w:b w:val="0"/>
      <w:i w:val="0"/>
    </w:rPr>
  </w:style>
  <w:style w:type="character" w:customStyle="1" w:styleId="WW8Num42z0">
    <w:name w:val="WW8Num42z0"/>
    <w:rPr>
      <w:color w:val="7030A0"/>
    </w:rPr>
  </w:style>
  <w:style w:type="character" w:customStyle="1" w:styleId="WW8Num43z0">
    <w:name w:val="WW8Num43z0"/>
    <w:rPr>
      <w:b w:val="0"/>
    </w:rPr>
  </w:style>
  <w:style w:type="character" w:customStyle="1" w:styleId="WW8Num44z0">
    <w:name w:val="WW8Num44z0"/>
    <w:rPr>
      <w:i w:val="0"/>
    </w:rPr>
  </w:style>
  <w:style w:type="character" w:customStyle="1" w:styleId="WW8Num48z0">
    <w:name w:val="WW8Num48z0"/>
    <w:rPr>
      <w:b w:val="0"/>
    </w:rPr>
  </w:style>
  <w:style w:type="character" w:customStyle="1" w:styleId="WW8Num49z0">
    <w:name w:val="WW8Num49z0"/>
    <w:rPr>
      <w:rFonts w:ascii="Times New Roman" w:eastAsia="Batang" w:hAnsi="Times New Roman" w:cs="Times New Roman"/>
      <w:b w:val="0"/>
      <w:i w:val="0"/>
    </w:rPr>
  </w:style>
  <w:style w:type="character" w:customStyle="1" w:styleId="WW8Num51z0">
    <w:name w:val="WW8Num51z0"/>
    <w:rPr>
      <w:i w:val="0"/>
      <w:iCs/>
    </w:rPr>
  </w:style>
  <w:style w:type="character" w:customStyle="1" w:styleId="WW8Num51z1">
    <w:name w:val="WW8Num51z1"/>
    <w:rPr>
      <w:i w:val="0"/>
    </w:rPr>
  </w:style>
  <w:style w:type="character" w:styleId="DefaultParagraphFont0">
    <w:name w:val="Default Paragraph Font"/>
  </w:style>
  <w:style w:type="character" w:styleId="PageNumber">
    <w:name w:val="page number"/>
    <w:rPr>
      <w:rFonts w:ascii="Times New Roman" w:hAnsi="Times New Roman"/>
      <w:sz w:val="22"/>
    </w:rPr>
  </w:style>
  <w:style w:type="character" w:styleId="CommentReference">
    <w:name w:val="annotation reference"/>
    <w:rPr>
      <w:sz w:val="16"/>
    </w:rPr>
  </w:style>
  <w:style w:type="character" w:customStyle="1" w:styleId="CommentTextChar">
    <w:name w:val="Comment Text Char"/>
    <w:rPr>
      <w:sz w:val="22"/>
      <w:szCs w:val="24"/>
      <w:lang w:val="en-GB"/>
    </w:rPr>
  </w:style>
  <w:style w:type="character" w:customStyle="1" w:styleId="CommentSubjectChar">
    <w:name w:val="Comment Subject Char"/>
    <w:rPr>
      <w:b/>
      <w:bCs/>
      <w:sz w:val="24"/>
      <w:szCs w:val="24"/>
    </w:rPr>
  </w:style>
  <w:style w:type="character" w:customStyle="1" w:styleId="a">
    <w:name w:val="脚注番号"/>
    <w:rPr>
      <w:position w:val="0"/>
      <w:sz w:val="18"/>
      <w:u w:val="single"/>
      <w:vertAlign w:val="baseline"/>
    </w:rPr>
  </w:style>
  <w:style w:type="character" w:customStyle="1" w:styleId="EndnoteTextChar">
    <w:name w:val="Endnote Text Char"/>
    <w:rPr>
      <w:rFonts w:ascii="Courier New" w:hAnsi="Courier New"/>
      <w:sz w:val="22"/>
      <w:szCs w:val="24"/>
      <w:lang w:val="en-GB"/>
    </w:rPr>
  </w:style>
  <w:style w:type="character" w:customStyle="1" w:styleId="a0">
    <w:name w:val="文末脚注番号"/>
    <w:rPr>
      <w:vertAlign w:val="superscript"/>
    </w:rPr>
  </w:style>
  <w:style w:type="character" w:customStyle="1" w:styleId="StyleFootnoteReferenceNounderline">
    <w:name w:val="Style Footnote Reference + No underline"/>
    <w:rPr>
      <w:position w:val="0"/>
      <w:sz w:val="18"/>
      <w:u w:val="none"/>
      <w:vertAlign w:val="baseline"/>
    </w:rPr>
  </w:style>
  <w:style w:type="character" w:customStyle="1" w:styleId="Heading9Char">
    <w:name w:val="Heading 9 Char"/>
    <w:rPr>
      <w:i/>
      <w:iCs/>
      <w:sz w:val="22"/>
      <w:szCs w:val="24"/>
      <w:lang w:val="en-GB"/>
    </w:rPr>
  </w:style>
  <w:style w:type="character" w:styleId="FollowedHyperlink">
    <w:name w:val="FollowedHyperlink"/>
    <w:rPr>
      <w:color w:val="800080"/>
      <w:u w:val="single"/>
    </w:rPr>
  </w:style>
  <w:style w:type="character" w:customStyle="1" w:styleId="Heading1Char">
    <w:name w:val="Heading 1 Char"/>
    <w:rPr>
      <w:b/>
      <w:caps/>
      <w:sz w:val="22"/>
      <w:szCs w:val="24"/>
    </w:rPr>
  </w:style>
  <w:style w:type="character" w:customStyle="1" w:styleId="FootnoteTextChar">
    <w:name w:val="Footnote Text Char"/>
    <w:rPr>
      <w:sz w:val="18"/>
      <w:szCs w:val="24"/>
    </w:rPr>
  </w:style>
  <w:style w:type="character" w:styleId="Hyperlink">
    <w:name w:val="Hyperlink"/>
    <w:rPr>
      <w:color w:val="0000FF"/>
      <w:u w:val="single"/>
    </w:rPr>
  </w:style>
  <w:style w:type="character" w:customStyle="1" w:styleId="StyleFootnoteReferencenumberFootnoteReferenceSuperscript-EF">
    <w:name w:val="Style Footnote ReferencenumberFootnote Reference Superscript-E F..."/>
    <w:rPr>
      <w:kern w:val="1"/>
      <w:sz w:val="18"/>
      <w:u w:val="none"/>
      <w:vertAlign w:val="superscript"/>
    </w:rPr>
  </w:style>
  <w:style w:type="character" w:customStyle="1" w:styleId="HeaderChar">
    <w:name w:val="Header Char"/>
    <w:rPr>
      <w:sz w:val="22"/>
      <w:szCs w:val="24"/>
      <w:lang w:val="en-GB"/>
    </w:rPr>
  </w:style>
  <w:style w:type="character" w:customStyle="1" w:styleId="FooterChar">
    <w:name w:val="Footer Char"/>
    <w:rPr>
      <w:sz w:val="22"/>
      <w:szCs w:val="24"/>
      <w:lang w:val="en-GB"/>
    </w:rPr>
  </w:style>
  <w:style w:type="character" w:customStyle="1" w:styleId="limitedheight">
    <w:name w:val="limitedheight"/>
  </w:style>
  <w:style w:type="character" w:styleId="FootnoteReference">
    <w:name w:val="footnote reference"/>
    <w:rPr>
      <w:vertAlign w:val="superscript"/>
    </w:rPr>
  </w:style>
  <w:style w:type="character" w:styleId="EndnoteReference">
    <w:name w:val="endnote reference"/>
    <w:rPr>
      <w:vertAlign w:val="superscript"/>
    </w:rPr>
  </w:style>
  <w:style w:type="paragraph" w:customStyle="1" w:styleId="a1">
    <w:name w:val="見出し"/>
    <w:basedOn w:val="Normal"/>
    <w:next w:val="BodyText"/>
    <w:pPr>
      <w:keepNext/>
      <w:spacing w:before="240" w:after="120"/>
    </w:pPr>
    <w:rPr>
      <w:rFonts w:ascii="Arial" w:eastAsia="ヒラギノ角ゴ ProN W3" w:hAnsi="Arial" w:cs="Arial Unicode MS"/>
      <w:sz w:val="28"/>
      <w:szCs w:val="28"/>
    </w:rPr>
  </w:style>
  <w:style w:type="paragraph" w:styleId="BodyText">
    <w:name w:val="Body Text"/>
    <w:basedOn w:val="Normal"/>
    <w:pPr>
      <w:spacing w:before="120" w:after="120"/>
      <w:ind w:firstLine="720"/>
    </w:pPr>
    <w:rPr>
      <w:iCs/>
    </w:rPr>
  </w:style>
  <w:style w:type="paragraph" w:styleId="List">
    <w:name w:val="List"/>
    <w:basedOn w:val="BodyText"/>
    <w:rPr>
      <w:rFonts w:cs="Arial Unicode MS"/>
    </w:rPr>
  </w:style>
  <w:style w:type="paragraph" w:customStyle="1" w:styleId="a2">
    <w:name w:val="図表番号"/>
    <w:basedOn w:val="Normal"/>
    <w:pPr>
      <w:suppressLineNumbers/>
      <w:spacing w:before="120" w:after="120"/>
    </w:pPr>
    <w:rPr>
      <w:rFonts w:cs="Arial Unicode MS"/>
      <w:i/>
      <w:iCs/>
      <w:sz w:val="24"/>
    </w:rPr>
  </w:style>
  <w:style w:type="paragraph" w:customStyle="1" w:styleId="a3">
    <w:name w:val="索引"/>
    <w:basedOn w:val="Normal"/>
    <w:pPr>
      <w:suppressLineNumbers/>
    </w:pPr>
    <w:rPr>
      <w:rFonts w:cs="Arial Unicode MS"/>
    </w:rPr>
  </w:style>
  <w:style w:type="paragraph" w:styleId="BodyText3">
    <w:name w:val="Body Text 3"/>
    <w:basedOn w:val="Normal"/>
    <w:rPr>
      <w:szCs w:val="20"/>
    </w:rPr>
  </w:style>
  <w:style w:type="paragraph" w:styleId="BodyTextIndent2">
    <w:name w:val="Body Text Indent 2"/>
    <w:basedOn w:val="Normal"/>
    <w:pPr>
      <w:ind w:left="360" w:hanging="360"/>
    </w:pPr>
    <w:rPr>
      <w:b/>
      <w:sz w:val="20"/>
      <w:szCs w:val="20"/>
    </w:rPr>
  </w:style>
  <w:style w:type="paragraph" w:styleId="FootnoteText">
    <w:name w:val="footnote text"/>
    <w:basedOn w:val="Normal"/>
    <w:pPr>
      <w:keepLines/>
      <w:spacing w:after="60"/>
      <w:ind w:firstLine="720"/>
    </w:pPr>
    <w:rPr>
      <w:sz w:val="18"/>
    </w:rPr>
  </w:style>
  <w:style w:type="paragraph" w:styleId="Footer">
    <w:name w:val="footer"/>
    <w:basedOn w:val="Normal"/>
    <w:pPr>
      <w:tabs>
        <w:tab w:val="center" w:pos="4320"/>
        <w:tab w:val="right" w:pos="8640"/>
      </w:tabs>
      <w:ind w:firstLine="720"/>
      <w:jc w:val="right"/>
    </w:pPr>
  </w:style>
  <w:style w:type="paragraph" w:styleId="BodyTextIndent">
    <w:name w:val="Body Text Indent"/>
    <w:basedOn w:val="Normal"/>
    <w:pPr>
      <w:spacing w:before="120" w:after="120"/>
      <w:ind w:left="1440" w:hanging="720"/>
      <w:jc w:val="left"/>
    </w:pPr>
  </w:style>
  <w:style w:type="paragraph" w:styleId="Title">
    <w:name w:val="Title"/>
    <w:basedOn w:val="Normal"/>
    <w:next w:val="Subtitle"/>
    <w:qFormat/>
    <w:pPr>
      <w:ind w:firstLine="720"/>
      <w:jc w:val="center"/>
    </w:pPr>
    <w:rPr>
      <w:u w:val="single"/>
    </w:rPr>
  </w:style>
  <w:style w:type="paragraph" w:styleId="Subtitle">
    <w:name w:val="Subtitle"/>
    <w:basedOn w:val="a1"/>
    <w:next w:val="BodyText"/>
    <w:qFormat/>
    <w:pPr>
      <w:jc w:val="center"/>
    </w:pPr>
    <w:rPr>
      <w:i/>
      <w:iCs/>
    </w:rPr>
  </w:style>
  <w:style w:type="paragraph" w:styleId="BodyText2">
    <w:name w:val="Body Text 2"/>
    <w:basedOn w:val="Normal"/>
    <w:rPr>
      <w:b/>
      <w:bCs/>
      <w:color w:val="FFFFFF"/>
      <w:sz w:val="12"/>
      <w:szCs w:val="12"/>
    </w:rPr>
  </w:style>
  <w:style w:type="paragraph" w:styleId="TOC2">
    <w:name w:val="toc 2"/>
    <w:basedOn w:val="Normal"/>
    <w:next w:val="Normal"/>
    <w:pPr>
      <w:tabs>
        <w:tab w:val="right" w:leader="dot" w:pos="9356"/>
      </w:tabs>
      <w:ind w:left="1440" w:hanging="720"/>
    </w:pPr>
    <w:rPr>
      <w:szCs w:val="22"/>
      <w:lang w:val="en-CA"/>
    </w:rPr>
  </w:style>
  <w:style w:type="paragraph" w:customStyle="1" w:styleId="Para1">
    <w:name w:val="Para1"/>
    <w:basedOn w:val="Normal"/>
    <w:pPr>
      <w:numPr>
        <w:numId w:val="8"/>
      </w:numPr>
      <w:spacing w:before="120" w:after="120"/>
    </w:pPr>
    <w:rPr>
      <w:szCs w:val="18"/>
    </w:rPr>
  </w:style>
  <w:style w:type="paragraph" w:customStyle="1" w:styleId="Para1-Annex">
    <w:name w:val="Para1-Annex"/>
    <w:basedOn w:val="Normal"/>
    <w:pPr>
      <w:spacing w:before="120" w:after="120"/>
    </w:pPr>
  </w:style>
  <w:style w:type="paragraph" w:customStyle="1" w:styleId="HEADINGNOTFORTOC">
    <w:name w:val="HEADING (NOT FOR TOC)"/>
    <w:basedOn w:val="Heading1"/>
    <w:next w:val="Heading2"/>
  </w:style>
  <w:style w:type="paragraph" w:customStyle="1" w:styleId="Cornernotation">
    <w:name w:val="Corner notation"/>
    <w:basedOn w:val="Normal"/>
    <w:pPr>
      <w:ind w:left="170" w:right="3119" w:hanging="170"/>
      <w:jc w:val="left"/>
    </w:pPr>
  </w:style>
  <w:style w:type="paragraph" w:customStyle="1" w:styleId="bodytextnoindent">
    <w:name w:val="body text (no indent)"/>
    <w:basedOn w:val="Normal"/>
    <w:pPr>
      <w:spacing w:before="120" w:after="120"/>
    </w:pPr>
  </w:style>
  <w:style w:type="paragraph" w:styleId="Header">
    <w:name w:val="header"/>
    <w:basedOn w:val="Normal"/>
    <w:pPr>
      <w:tabs>
        <w:tab w:val="center" w:pos="4320"/>
        <w:tab w:val="right" w:pos="8640"/>
      </w:tabs>
    </w:pPr>
  </w:style>
  <w:style w:type="paragraph" w:customStyle="1" w:styleId="HEADING">
    <w:name w:val="HEADING"/>
    <w:basedOn w:val="Normal"/>
    <w:pPr>
      <w:keepNext/>
      <w:spacing w:before="240" w:after="120"/>
      <w:jc w:val="center"/>
    </w:pPr>
    <w:rPr>
      <w:b/>
      <w:bCs/>
      <w:caps/>
    </w:rPr>
  </w:style>
  <w:style w:type="paragraph" w:styleId="BalloonText">
    <w:name w:val="Balloon Text"/>
    <w:basedOn w:val="Normal"/>
    <w:rPr>
      <w:rFonts w:ascii="Tahoma" w:hAnsi="Tahoma" w:cs="Tahoma"/>
      <w:sz w:val="16"/>
      <w:szCs w:val="16"/>
    </w:rPr>
  </w:style>
  <w:style w:type="paragraph" w:customStyle="1" w:styleId="Numbering">
    <w:name w:val="Numbering"/>
    <w:basedOn w:val="Normal"/>
  </w:style>
  <w:style w:type="paragraph" w:styleId="CommentText">
    <w:name w:val="annotation text"/>
    <w:basedOn w:val="Normal"/>
    <w:pPr>
      <w:spacing w:after="120" w:line="240" w:lineRule="exact"/>
    </w:pPr>
  </w:style>
  <w:style w:type="paragraph" w:styleId="CommentSubject">
    <w:name w:val="annotation subject"/>
    <w:basedOn w:val="CommentText"/>
    <w:next w:val="CommentText"/>
    <w:rPr>
      <w:b/>
      <w:bCs/>
    </w:rPr>
  </w:style>
  <w:style w:type="paragraph" w:styleId="EndnoteText">
    <w:name w:val="endnote text"/>
    <w:basedOn w:val="Normal"/>
    <w:pPr>
      <w:widowControl w:val="0"/>
      <w:tabs>
        <w:tab w:val="left" w:pos="-720"/>
      </w:tabs>
    </w:pPr>
    <w:rPr>
      <w:rFonts w:ascii="Courier New" w:hAnsi="Courier New"/>
    </w:rPr>
  </w:style>
  <w:style w:type="paragraph" w:customStyle="1" w:styleId="ColorfulList-Accent11">
    <w:name w:val="Colorful List - Accent 11"/>
    <w:basedOn w:val="Normal"/>
    <w:pPr>
      <w:ind w:left="720"/>
    </w:pPr>
    <w:rPr>
      <w:rFonts w:ascii="Cambria" w:eastAsia="Cambria" w:hAnsi="Cambria"/>
    </w:rPr>
  </w:style>
  <w:style w:type="paragraph" w:customStyle="1" w:styleId="reference">
    <w:name w:val="reference"/>
    <w:basedOn w:val="Heading9"/>
    <w:rPr>
      <w:i w:val="0"/>
      <w:sz w:val="18"/>
    </w:rPr>
  </w:style>
  <w:style w:type="paragraph" w:customStyle="1" w:styleId="Heading1longmultiline">
    <w:name w:val="Heading 1 (long multiline)"/>
    <w:basedOn w:val="Heading1"/>
    <w:pPr>
      <w:ind w:left="1843" w:hanging="1134"/>
      <w:jc w:val="left"/>
    </w:pPr>
  </w:style>
  <w:style w:type="paragraph" w:customStyle="1" w:styleId="Heading1multiline">
    <w:name w:val="Heading 1 (multiline)"/>
    <w:basedOn w:val="Heading1"/>
    <w:pPr>
      <w:ind w:left="1843" w:right="996" w:hanging="567"/>
      <w:jc w:val="left"/>
    </w:pPr>
  </w:style>
  <w:style w:type="paragraph" w:customStyle="1" w:styleId="Heading2multiline">
    <w:name w:val="Heading 2 (multiline)"/>
    <w:basedOn w:val="Heading1"/>
    <w:next w:val="Para1"/>
    <w:pPr>
      <w:spacing w:before="120"/>
      <w:ind w:left="1843" w:right="998" w:hanging="567"/>
      <w:jc w:val="left"/>
    </w:pPr>
    <w:rPr>
      <w:i/>
      <w:iCs/>
      <w:caps w:val="0"/>
    </w:rPr>
  </w:style>
  <w:style w:type="paragraph" w:customStyle="1" w:styleId="Heading2longmultiline">
    <w:name w:val="Heading 2 (long multiline)"/>
    <w:basedOn w:val="Heading2multiline"/>
    <w:pPr>
      <w:ind w:left="2127" w:hanging="1276"/>
    </w:pPr>
    <w:rPr>
      <w:i w:val="0"/>
    </w:rPr>
  </w:style>
  <w:style w:type="paragraph" w:customStyle="1" w:styleId="heading2notforTOC">
    <w:name w:val="heading 2 not for TOC"/>
    <w:basedOn w:val="Heading3"/>
  </w:style>
  <w:style w:type="paragraph" w:customStyle="1" w:styleId="Heading3multiline">
    <w:name w:val="Heading 3 (multiline)"/>
    <w:basedOn w:val="Heading3"/>
    <w:next w:val="Para1"/>
    <w:pPr>
      <w:ind w:left="1418" w:hanging="425"/>
      <w:jc w:val="left"/>
    </w:pPr>
  </w:style>
  <w:style w:type="paragraph" w:customStyle="1" w:styleId="Heading4indent">
    <w:name w:val="Heading 4 indent"/>
    <w:basedOn w:val="Heading4"/>
    <w:pPr>
      <w:ind w:left="720"/>
    </w:pPr>
    <w:rPr>
      <w:rFonts w:ascii="Times New Roman" w:hAnsi="Times New Roman"/>
    </w:rPr>
  </w:style>
  <w:style w:type="paragraph" w:customStyle="1" w:styleId="Para2">
    <w:name w:val="Para2"/>
    <w:basedOn w:val="Para1"/>
    <w:pPr>
      <w:numPr>
        <w:numId w:val="0"/>
      </w:numPr>
      <w:autoSpaceDE w:val="0"/>
    </w:pPr>
  </w:style>
  <w:style w:type="paragraph" w:customStyle="1" w:styleId="Para3">
    <w:name w:val="Para3"/>
    <w:basedOn w:val="Normal"/>
    <w:pPr>
      <w:numPr>
        <w:numId w:val="7"/>
      </w:numPr>
      <w:tabs>
        <w:tab w:val="left" w:pos="1980"/>
      </w:tabs>
      <w:spacing w:before="80" w:after="80"/>
    </w:pPr>
    <w:rPr>
      <w:szCs w:val="20"/>
    </w:rPr>
  </w:style>
  <w:style w:type="paragraph" w:customStyle="1" w:styleId="para4">
    <w:name w:val="para4"/>
    <w:basedOn w:val="Normal"/>
    <w:pPr>
      <w:overflowPunct w:val="0"/>
      <w:autoSpaceDE w:val="0"/>
      <w:spacing w:after="120" w:line="240" w:lineRule="atLeast"/>
      <w:textAlignment w:val="baseline"/>
    </w:pPr>
    <w:rPr>
      <w:rFonts w:ascii="Courier" w:hAnsi="Courier"/>
      <w:color w:val="000000"/>
      <w:sz w:val="20"/>
      <w:szCs w:val="20"/>
    </w:rPr>
  </w:style>
  <w:style w:type="paragraph" w:customStyle="1" w:styleId="Para-decision">
    <w:name w:val="Para-decision"/>
    <w:basedOn w:val="Normal"/>
    <w:pPr>
      <w:tabs>
        <w:tab w:val="left" w:pos="-1440"/>
        <w:tab w:val="left" w:pos="-720"/>
        <w:tab w:val="left" w:pos="0"/>
        <w:tab w:val="left" w:pos="720"/>
        <w:tab w:val="left" w:pos="1440"/>
      </w:tabs>
      <w:overflowPunct w:val="0"/>
      <w:autoSpaceDE w:val="0"/>
      <w:spacing w:before="120" w:after="120"/>
      <w:ind w:firstLine="720"/>
      <w:jc w:val="left"/>
      <w:textAlignment w:val="baseline"/>
    </w:pPr>
    <w:rPr>
      <w:color w:val="000000"/>
    </w:rPr>
  </w:style>
  <w:style w:type="paragraph" w:customStyle="1" w:styleId="Quotationtextindented">
    <w:name w:val="Quotation text (indented)"/>
    <w:basedOn w:val="Normal"/>
    <w:pPr>
      <w:spacing w:before="120" w:after="120"/>
      <w:ind w:left="720" w:right="720"/>
    </w:pPr>
    <w:rPr>
      <w:bCs/>
    </w:rPr>
  </w:style>
  <w:style w:type="paragraph" w:customStyle="1" w:styleId="recommendationheader">
    <w:name w:val="recommendation header"/>
    <w:basedOn w:val="Heading2"/>
  </w:style>
  <w:style w:type="paragraph" w:customStyle="1" w:styleId="recommendationheaderlong">
    <w:name w:val="recommendation header long"/>
    <w:basedOn w:val="Heading2longmultiline"/>
    <w:qFormat/>
  </w:style>
  <w:style w:type="paragraph" w:customStyle="1" w:styleId="tabletitle">
    <w:name w:val="table title"/>
    <w:basedOn w:val="Heading2"/>
    <w:pPr>
      <w:jc w:val="left"/>
    </w:pPr>
  </w:style>
  <w:style w:type="paragraph" w:styleId="TOAHeading">
    <w:name w:val="toa heading"/>
    <w:basedOn w:val="Normal"/>
    <w:next w:val="Normal"/>
    <w:pPr>
      <w:spacing w:before="120"/>
    </w:pPr>
    <w:rPr>
      <w:rFonts w:cs="Arial"/>
      <w:b/>
      <w:bCs/>
      <w:sz w:val="24"/>
    </w:rPr>
  </w:style>
  <w:style w:type="paragraph" w:styleId="TOC1">
    <w:name w:val="toc 1"/>
    <w:basedOn w:val="Normal"/>
    <w:next w:val="Normal"/>
    <w:pPr>
      <w:ind w:left="720" w:hanging="720"/>
    </w:pPr>
    <w:rPr>
      <w:caps/>
    </w:rPr>
  </w:style>
  <w:style w:type="paragraph" w:styleId="TOC3">
    <w:name w:val="toc 3"/>
    <w:basedOn w:val="Normal"/>
    <w:next w:val="Normal"/>
    <w:pPr>
      <w:ind w:left="2160" w:hanging="720"/>
    </w:pPr>
  </w:style>
  <w:style w:type="paragraph" w:styleId="TOC4">
    <w:name w:val="toc 4"/>
    <w:basedOn w:val="Normal"/>
    <w:next w:val="Normal"/>
    <w:pPr>
      <w:spacing w:before="120" w:after="120"/>
      <w:ind w:left="660"/>
      <w:jc w:val="left"/>
    </w:pPr>
  </w:style>
  <w:style w:type="paragraph" w:styleId="TOC5">
    <w:name w:val="toc 5"/>
    <w:basedOn w:val="Normal"/>
    <w:next w:val="Normal"/>
    <w:pPr>
      <w:spacing w:before="120" w:after="120"/>
      <w:ind w:left="880"/>
      <w:jc w:val="left"/>
    </w:pPr>
  </w:style>
  <w:style w:type="paragraph" w:styleId="TOC6">
    <w:name w:val="toc 6"/>
    <w:basedOn w:val="Normal"/>
    <w:next w:val="Normal"/>
    <w:pPr>
      <w:spacing w:before="120" w:after="120"/>
      <w:ind w:left="1100"/>
      <w:jc w:val="left"/>
    </w:pPr>
  </w:style>
  <w:style w:type="paragraph" w:styleId="TOC7">
    <w:name w:val="toc 7"/>
    <w:basedOn w:val="Normal"/>
    <w:next w:val="Normal"/>
    <w:pPr>
      <w:spacing w:before="120" w:after="120"/>
      <w:ind w:left="1320"/>
      <w:jc w:val="left"/>
    </w:pPr>
  </w:style>
  <w:style w:type="paragraph" w:styleId="TOC8">
    <w:name w:val="toc 8"/>
    <w:basedOn w:val="Normal"/>
    <w:next w:val="Normal"/>
    <w:pPr>
      <w:spacing w:before="120" w:after="120"/>
      <w:ind w:left="1540"/>
      <w:jc w:val="left"/>
    </w:pPr>
  </w:style>
  <w:style w:type="paragraph" w:styleId="TOC9">
    <w:name w:val="toc 9"/>
    <w:basedOn w:val="Normal"/>
    <w:next w:val="Normal"/>
    <w:pPr>
      <w:spacing w:before="120" w:after="120"/>
      <w:ind w:left="1760"/>
      <w:jc w:val="left"/>
    </w:pPr>
  </w:style>
  <w:style w:type="paragraph" w:styleId="NormalWeb">
    <w:name w:val="Normal (Web)"/>
    <w:basedOn w:val="Normal"/>
    <w:pPr>
      <w:jc w:val="left"/>
    </w:pPr>
    <w:rPr>
      <w:rFonts w:eastAsia="Calibri"/>
      <w:sz w:val="24"/>
      <w:lang w:val="en-US"/>
    </w:rPr>
  </w:style>
  <w:style w:type="paragraph" w:customStyle="1" w:styleId="Para10">
    <w:name w:val="Para 1"/>
    <w:basedOn w:val="BodyText"/>
    <w:pPr>
      <w:numPr>
        <w:numId w:val="5"/>
      </w:numPr>
      <w:tabs>
        <w:tab w:val="left" w:pos="360"/>
      </w:tabs>
      <w:ind w:left="0" w:firstLine="0"/>
    </w:pPr>
    <w:rPr>
      <w:rFonts w:eastAsia="MS Mincho" w:cs="Angsana New"/>
      <w:bCs/>
      <w:iCs w:val="0"/>
      <w:szCs w:val="22"/>
    </w:rPr>
  </w:style>
  <w:style w:type="paragraph" w:customStyle="1" w:styleId="para20">
    <w:name w:val="para2"/>
    <w:basedOn w:val="Normal"/>
    <w:pPr>
      <w:spacing w:after="120"/>
    </w:pPr>
    <w:rPr>
      <w:rFonts w:eastAsia="MS Mincho" w:cs="Angsana New"/>
      <w:szCs w:val="18"/>
    </w:rPr>
  </w:style>
  <w:style w:type="paragraph" w:customStyle="1" w:styleId="ColorfulList-Accent12">
    <w:name w:val="Colorful List - Accent 12"/>
    <w:basedOn w:val="Normal"/>
    <w:pPr>
      <w:numPr>
        <w:numId w:val="6"/>
      </w:numPr>
      <w:spacing w:after="200" w:line="276" w:lineRule="auto"/>
      <w:jc w:val="left"/>
    </w:pPr>
    <w:rPr>
      <w:rFonts w:ascii="Calibri" w:eastAsia="Calibri" w:hAnsi="Calibri"/>
      <w:szCs w:val="22"/>
      <w:lang w:val="en-AU"/>
    </w:rPr>
  </w:style>
  <w:style w:type="paragraph" w:customStyle="1" w:styleId="a4">
    <w:name w:val="表の内容"/>
    <w:basedOn w:val="Normal"/>
    <w:pPr>
      <w:suppressLineNumbers/>
    </w:pPr>
  </w:style>
  <w:style w:type="paragraph" w:customStyle="1" w:styleId="a5">
    <w:name w:val="表の見出し"/>
    <w:basedOn w:val="a4"/>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_rels/footnotes.xml.rels><?xml version="1.0" encoding="UTF-8" standalone="yes"?>
<Relationships xmlns="http://schemas.openxmlformats.org/package/2006/relationships"><Relationship Id="rId2" Type="http://schemas.openxmlformats.org/officeDocument/2006/relationships/hyperlink" Target="http://www.imo.org/en/About/Conventions/ListOfConventions/Pages/International-Convention-for-the-Control-and-Management-of-Ships'-Ballast-Water-and-Sediments-(BWM).aspx" TargetMode="External"/><Relationship Id="rId1" Type="http://schemas.openxmlformats.org/officeDocument/2006/relationships/hyperlink" Target="https://www.cbd.int/doc/meetings/cop/cop-06/official/cop-06-20-en.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3808</Words>
  <Characters>21706</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Invasive alien species: addressing risks associated with trade, experiences in the use of biological control agents, and decision support tools</vt:lpstr>
    </vt:vector>
  </TitlesOfParts>
  <Company>SCBD</Company>
  <LinksUpToDate>false</LinksUpToDate>
  <CharactersWithSpaces>25464</CharactersWithSpaces>
  <SharedDoc>false</SharedDoc>
  <HLinks>
    <vt:vector size="12" baseType="variant">
      <vt:variant>
        <vt:i4>1900558</vt:i4>
      </vt:variant>
      <vt:variant>
        <vt:i4>3</vt:i4>
      </vt:variant>
      <vt:variant>
        <vt:i4>0</vt:i4>
      </vt:variant>
      <vt:variant>
        <vt:i4>5</vt:i4>
      </vt:variant>
      <vt:variant>
        <vt:lpwstr>http://www.imo.org/en/About/Conventions/ListOfConventions/Pages/International-Convention-for-the-Control-and-Management-of-Ships'-Ballast-Water-and-Sediments-(BWM).aspx</vt:lpwstr>
      </vt:variant>
      <vt:variant>
        <vt:lpwstr/>
      </vt:variant>
      <vt:variant>
        <vt:i4>851985</vt:i4>
      </vt:variant>
      <vt:variant>
        <vt:i4>0</vt:i4>
      </vt:variant>
      <vt:variant>
        <vt:i4>0</vt:i4>
      </vt:variant>
      <vt:variant>
        <vt:i4>5</vt:i4>
      </vt:variant>
      <vt:variant>
        <vt:lpwstr>https://www.cbd.int/doc/meetings/cop/cop-06/official/cop-06-20-en.pdf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Invasive alien species: addressing risks associated with trade, experiences in the use of biological control agents, and decision support tools</dc:title>
  <dc:subject>CONFERENCE OF THE PARTIES</dc:subject>
  <dc:creator>COP 13</dc:creator>
  <cp:keywords>CONFERENCE OF THE PARTIES</cp:keywords>
  <cp:lastModifiedBy>Rodrigo Elias</cp:lastModifiedBy>
  <cp:revision>2</cp:revision>
  <cp:lastPrinted>2016-12-07T16:03:00Z</cp:lastPrinted>
  <dcterms:created xsi:type="dcterms:W3CDTF">2025-11-03T15:14:00Z</dcterms:created>
  <dcterms:modified xsi:type="dcterms:W3CDTF">2025-11-03T15:14:00Z</dcterms:modified>
</cp:coreProperties>
</file>