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D04AB4" w14:paraId="008913B1" w14:textId="77777777" w:rsidTr="00D04AB4">
        <w:tblPrEx>
          <w:tblCellMar>
            <w:top w:w="0" w:type="dxa"/>
            <w:bottom w:w="0" w:type="dxa"/>
          </w:tblCellMar>
        </w:tblPrEx>
        <w:trPr>
          <w:gridAfter w:val="1"/>
          <w:wAfter w:w="250" w:type="dxa"/>
        </w:trPr>
        <w:tc>
          <w:tcPr>
            <w:tcW w:w="1366" w:type="dxa"/>
            <w:tcBorders>
              <w:top w:val="nil"/>
              <w:bottom w:val="single" w:sz="12" w:space="0" w:color="000000"/>
            </w:tcBorders>
          </w:tcPr>
          <w:p w14:paraId="70ADB042" w14:textId="77777777" w:rsidR="00D04AB4" w:rsidRDefault="000E2067" w:rsidP="00515043">
            <w:pPr>
              <w:pStyle w:val="BodyText2"/>
            </w:pPr>
            <w:r>
              <w:rPr>
                <w:noProof/>
              </w:rPr>
              <w:drawing>
                <wp:inline distT="0" distB="0" distL="0" distR="0" wp14:anchorId="76B6095E" wp14:editId="3F63F353">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24FC39E" w14:textId="77777777" w:rsidR="00D04AB4" w:rsidRDefault="000E2067" w:rsidP="00515043">
            <w:r>
              <w:rPr>
                <w:b/>
                <w:noProof/>
              </w:rPr>
              <w:drawing>
                <wp:inline distT="0" distB="0" distL="0" distR="0" wp14:anchorId="474EF9E5" wp14:editId="6DD27F20">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591076F6" w14:textId="77777777" w:rsidR="00D04AB4" w:rsidRDefault="00D04AB4" w:rsidP="00515043">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67B0B127" w14:textId="77777777" w:rsidR="00D04AB4" w:rsidRDefault="00D04AB4" w:rsidP="00515043">
            <w:pPr>
              <w:jc w:val="right"/>
              <w:rPr>
                <w:b/>
                <w:sz w:val="28"/>
              </w:rPr>
            </w:pPr>
          </w:p>
        </w:tc>
      </w:tr>
      <w:tr w:rsidR="00D04AB4" w14:paraId="3F785D11" w14:textId="77777777" w:rsidTr="00D04AB4">
        <w:tblPrEx>
          <w:tblCellMar>
            <w:top w:w="0" w:type="dxa"/>
            <w:bottom w:w="0" w:type="dxa"/>
          </w:tblCellMar>
        </w:tblPrEx>
        <w:trPr>
          <w:trHeight w:val="1693"/>
        </w:trPr>
        <w:tc>
          <w:tcPr>
            <w:tcW w:w="5230" w:type="dxa"/>
            <w:gridSpan w:val="3"/>
            <w:tcBorders>
              <w:top w:val="nil"/>
              <w:bottom w:val="single" w:sz="36" w:space="0" w:color="000000"/>
            </w:tcBorders>
          </w:tcPr>
          <w:p w14:paraId="25C51DB5" w14:textId="77777777" w:rsidR="00D04AB4" w:rsidRDefault="00D04AB4" w:rsidP="00515043"/>
          <w:p w14:paraId="16116945" w14:textId="77777777" w:rsidR="00D04AB4" w:rsidRPr="00A36C97" w:rsidRDefault="000E2067" w:rsidP="00515043">
            <w:r w:rsidRPr="00A36C97">
              <w:rPr>
                <w:noProof/>
              </w:rPr>
              <w:drawing>
                <wp:inline distT="0" distB="0" distL="0" distR="0" wp14:anchorId="0C46D1A5" wp14:editId="13E55433">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5004A1B" w14:textId="77777777" w:rsidR="00D04AB4" w:rsidRDefault="00D04AB4" w:rsidP="00515043">
            <w:pPr>
              <w:rPr>
                <w:rFonts w:ascii="Univers" w:hAnsi="Univers"/>
                <w:sz w:val="32"/>
              </w:rPr>
            </w:pPr>
          </w:p>
        </w:tc>
        <w:tc>
          <w:tcPr>
            <w:tcW w:w="1540" w:type="dxa"/>
            <w:tcBorders>
              <w:top w:val="nil"/>
              <w:bottom w:val="single" w:sz="36" w:space="0" w:color="000000"/>
            </w:tcBorders>
          </w:tcPr>
          <w:p w14:paraId="6727BB52" w14:textId="77777777" w:rsidR="00D04AB4" w:rsidRDefault="00D04AB4" w:rsidP="00515043">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7A4A223F" w14:textId="77777777" w:rsidR="00D04AB4" w:rsidRDefault="00D04AB4" w:rsidP="00D04AB4">
            <w:pPr>
              <w:ind w:left="502"/>
            </w:pPr>
            <w:r>
              <w:t>Distr.</w:t>
            </w:r>
          </w:p>
          <w:p w14:paraId="0910D13D" w14:textId="77777777" w:rsidR="00D04AB4" w:rsidRDefault="00495A9A" w:rsidP="00D04AB4">
            <w:pPr>
              <w:ind w:left="502"/>
            </w:pPr>
            <w:r>
              <w:t>GENERAL</w:t>
            </w:r>
          </w:p>
          <w:p w14:paraId="6537B87F" w14:textId="77777777" w:rsidR="00D04AB4" w:rsidRDefault="00D04AB4" w:rsidP="00D04AB4">
            <w:pPr>
              <w:ind w:left="502"/>
            </w:pPr>
          </w:p>
          <w:p w14:paraId="25ADC7D7" w14:textId="77777777" w:rsidR="00D04AB4" w:rsidRDefault="00D04AB4" w:rsidP="006B3A37">
            <w:pPr>
              <w:ind w:left="502"/>
            </w:pPr>
            <w:r>
              <w:t>UNEP/CBD/COP/</w:t>
            </w:r>
            <w:r w:rsidR="006B3A37">
              <w:t>DEC/X/7</w:t>
            </w:r>
          </w:p>
          <w:p w14:paraId="16D84592" w14:textId="77777777" w:rsidR="00D04AB4" w:rsidRDefault="00D04AB4" w:rsidP="00D04AB4">
            <w:pPr>
              <w:ind w:left="502"/>
            </w:pPr>
            <w:r>
              <w:t>29 October 2010</w:t>
            </w:r>
          </w:p>
          <w:p w14:paraId="01F1A9F1" w14:textId="77777777" w:rsidR="00D04AB4" w:rsidRDefault="00D04AB4" w:rsidP="00D04AB4">
            <w:pPr>
              <w:ind w:left="502"/>
            </w:pPr>
          </w:p>
          <w:p w14:paraId="2F1122FF" w14:textId="77777777" w:rsidR="00D04AB4" w:rsidRDefault="00D04AB4" w:rsidP="00D04AB4">
            <w:pPr>
              <w:ind w:left="502"/>
              <w:rPr>
                <w:b/>
                <w:bCs/>
                <w:color w:val="FF0000"/>
                <w:sz w:val="40"/>
                <w:u w:val="single"/>
              </w:rPr>
            </w:pPr>
            <w:r>
              <w:t>ORIGINAL:  ENGLISH</w:t>
            </w:r>
          </w:p>
        </w:tc>
      </w:tr>
    </w:tbl>
    <w:p w14:paraId="07972A26" w14:textId="77777777" w:rsidR="00D04AB4" w:rsidRDefault="00D04AB4" w:rsidP="00D04AB4">
      <w:pPr>
        <w:pStyle w:val="Cornernotation"/>
        <w:ind w:right="4630"/>
      </w:pPr>
      <w:r>
        <w:rPr>
          <w:szCs w:val="22"/>
        </w:rPr>
        <w:t>CONFERENCE OF THE PARTIES TO THE</w:t>
      </w:r>
      <w:r w:rsidRPr="00B33484">
        <w:rPr>
          <w:szCs w:val="22"/>
        </w:rPr>
        <w:t xml:space="preserve"> CONVENTION ON BIOLOGICAL DIVERSITY</w:t>
      </w:r>
    </w:p>
    <w:p w14:paraId="4D38A688" w14:textId="77777777" w:rsidR="00D04AB4" w:rsidRDefault="00D04AB4" w:rsidP="00D04AB4">
      <w:pPr>
        <w:pStyle w:val="Cornernotation"/>
      </w:pPr>
      <w:r>
        <w:t>Tenth meeting</w:t>
      </w:r>
    </w:p>
    <w:p w14:paraId="11598820" w14:textId="77777777" w:rsidR="00D04AB4" w:rsidRDefault="00D04AB4" w:rsidP="00D04AB4">
      <w:pPr>
        <w:pStyle w:val="Cornernotation"/>
      </w:pPr>
      <w:r>
        <w:t>Nagoya, Japan, 18-29 October 2010</w:t>
      </w:r>
    </w:p>
    <w:p w14:paraId="32C7E980" w14:textId="77777777" w:rsidR="008C082A" w:rsidRDefault="008C082A" w:rsidP="008C082A">
      <w:pPr>
        <w:pStyle w:val="Para1"/>
        <w:numPr>
          <w:ilvl w:val="0"/>
          <w:numId w:val="0"/>
        </w:numPr>
        <w:jc w:val="left"/>
        <w:sectPr w:rsidR="008C082A" w:rsidSect="008C082A">
          <w:headerReference w:type="even" r:id="rId10"/>
          <w:headerReference w:type="default" r:id="rId11"/>
          <w:footerReference w:type="even" r:id="rId12"/>
          <w:footerReference w:type="first" r:id="rId13"/>
          <w:pgSz w:w="12240" w:h="15840" w:code="1"/>
          <w:pgMar w:top="1134" w:right="1440" w:bottom="1134" w:left="1440" w:header="720" w:footer="720" w:gutter="0"/>
          <w:cols w:space="720"/>
          <w:titlePg/>
          <w:docGrid w:linePitch="360"/>
        </w:sectPr>
      </w:pPr>
      <w:r>
        <w:t>Agenda item 4.2</w:t>
      </w:r>
    </w:p>
    <w:p w14:paraId="3A559DFB" w14:textId="77777777" w:rsidR="008C082A" w:rsidRDefault="00495A9A" w:rsidP="00495A9A">
      <w:pPr>
        <w:pStyle w:val="Heading1"/>
      </w:pPr>
      <w:r>
        <w:t>DECISION ADOPTED BY THE CONFERENCE OF THE PARTIES TO THE CONVENTION ON BIOLOGICAL DIVERSITY AT ITS TENTH MEETING</w:t>
      </w:r>
    </w:p>
    <w:p w14:paraId="019A6ECB" w14:textId="77777777" w:rsidR="00FC4344" w:rsidRPr="00517A3B" w:rsidRDefault="00FC4344" w:rsidP="00FC4344">
      <w:pPr>
        <w:pStyle w:val="Decheadmuliline"/>
        <w:ind w:right="571" w:hanging="993"/>
      </w:pPr>
      <w:bookmarkStart w:id="0" w:name="_Ref41991441"/>
      <w:bookmarkStart w:id="1" w:name="_Toc278461448"/>
      <w:r w:rsidRPr="00517A3B">
        <w:rPr>
          <w:lang w:eastAsia="en-CA"/>
        </w:rPr>
        <w:t>X/7.</w:t>
      </w:r>
      <w:r w:rsidRPr="00517A3B">
        <w:rPr>
          <w:lang w:eastAsia="en-CA"/>
        </w:rPr>
        <w:tab/>
      </w:r>
      <w:r w:rsidRPr="00517A3B">
        <w:t>Examination of the outcome-oriented goals and targets and associated indicators and consideration of their possible adjustment for the period beyond 2010</w:t>
      </w:r>
      <w:bookmarkEnd w:id="1"/>
    </w:p>
    <w:p w14:paraId="1C991599" w14:textId="77777777" w:rsidR="00FC4344" w:rsidRPr="00517A3B" w:rsidRDefault="00FC4344" w:rsidP="00FC4344">
      <w:pPr>
        <w:pStyle w:val="Para1"/>
        <w:numPr>
          <w:ilvl w:val="0"/>
          <w:numId w:val="0"/>
        </w:numPr>
        <w:rPr>
          <w:i/>
          <w:iCs/>
          <w:szCs w:val="22"/>
        </w:rPr>
      </w:pPr>
      <w:r w:rsidRPr="00517A3B">
        <w:rPr>
          <w:szCs w:val="22"/>
        </w:rPr>
        <w:tab/>
      </w:r>
      <w:r w:rsidRPr="00517A3B">
        <w:rPr>
          <w:i/>
          <w:iCs/>
          <w:szCs w:val="22"/>
        </w:rPr>
        <w:t>The Conference of the Parties</w:t>
      </w:r>
    </w:p>
    <w:p w14:paraId="37DE5CBC" w14:textId="77777777" w:rsidR="00FC4344" w:rsidRPr="00517A3B" w:rsidRDefault="00FC4344" w:rsidP="00FC4344">
      <w:pPr>
        <w:pStyle w:val="BodyText"/>
        <w:rPr>
          <w:i/>
          <w:szCs w:val="22"/>
        </w:rPr>
      </w:pPr>
      <w:r w:rsidRPr="00517A3B">
        <w:rPr>
          <w:szCs w:val="22"/>
        </w:rPr>
        <w:t>1.</w:t>
      </w:r>
      <w:r w:rsidRPr="00517A3B">
        <w:rPr>
          <w:szCs w:val="22"/>
        </w:rPr>
        <w:tab/>
      </w:r>
      <w:r w:rsidRPr="00517A3B">
        <w:rPr>
          <w:i/>
          <w:szCs w:val="22"/>
        </w:rPr>
        <w:t>Welcomes</w:t>
      </w:r>
      <w:r w:rsidRPr="00517A3B">
        <w:rPr>
          <w:szCs w:val="22"/>
        </w:rPr>
        <w:t xml:space="preserve"> the progress made in biodiversity monitoring since the adoption of the framework to enhance the evaluation of achievements and progress in the implementation of the Strategic Plan (decision VII/30);</w:t>
      </w:r>
    </w:p>
    <w:p w14:paraId="68986895" w14:textId="77777777" w:rsidR="00FC4344" w:rsidRPr="00517A3B" w:rsidRDefault="00FC4344" w:rsidP="00FC4344">
      <w:pPr>
        <w:pStyle w:val="BodyText"/>
        <w:rPr>
          <w:szCs w:val="22"/>
        </w:rPr>
      </w:pPr>
      <w:r w:rsidRPr="00517A3B">
        <w:rPr>
          <w:szCs w:val="22"/>
        </w:rPr>
        <w:t>2.</w:t>
      </w:r>
      <w:r w:rsidRPr="00517A3B">
        <w:rPr>
          <w:szCs w:val="22"/>
        </w:rPr>
        <w:tab/>
      </w:r>
      <w:r w:rsidRPr="00517A3B">
        <w:rPr>
          <w:i/>
          <w:szCs w:val="22"/>
        </w:rPr>
        <w:t>Recognizes</w:t>
      </w:r>
      <w:r w:rsidRPr="00517A3B">
        <w:rPr>
          <w:szCs w:val="22"/>
        </w:rPr>
        <w:t xml:space="preserve"> the need to continue strengthening the ability to monitor biodiversity at all levels including through, </w:t>
      </w:r>
      <w:r w:rsidRPr="00517A3B">
        <w:rPr>
          <w:i/>
          <w:szCs w:val="22"/>
        </w:rPr>
        <w:t>inter alia</w:t>
      </w:r>
      <w:r w:rsidRPr="00517A3B">
        <w:rPr>
          <w:szCs w:val="22"/>
        </w:rPr>
        <w:t>:</w:t>
      </w:r>
    </w:p>
    <w:p w14:paraId="39F0FAEA" w14:textId="77777777" w:rsidR="00FC4344" w:rsidRPr="00517A3B" w:rsidRDefault="00FC4344" w:rsidP="00FC4344">
      <w:pPr>
        <w:pStyle w:val="Para1"/>
        <w:numPr>
          <w:ilvl w:val="0"/>
          <w:numId w:val="13"/>
        </w:numPr>
        <w:tabs>
          <w:tab w:val="clear" w:pos="720"/>
          <w:tab w:val="clear" w:pos="1460"/>
          <w:tab w:val="left" w:pos="1540"/>
        </w:tabs>
        <w:spacing w:before="120"/>
        <w:ind w:left="0" w:firstLine="770"/>
        <w:rPr>
          <w:szCs w:val="22"/>
        </w:rPr>
      </w:pPr>
      <w:r w:rsidRPr="00517A3B">
        <w:rPr>
          <w:szCs w:val="22"/>
        </w:rPr>
        <w:t>Building on and continuing the work of the 2010 Biodiversity Indicators Partnership in delivering global indicators for the post-2010 period;</w:t>
      </w:r>
    </w:p>
    <w:p w14:paraId="6CD6B43A" w14:textId="77777777" w:rsidR="00FC4344" w:rsidRPr="00517A3B" w:rsidRDefault="00FC4344" w:rsidP="00FC4344">
      <w:pPr>
        <w:pStyle w:val="Para1"/>
        <w:numPr>
          <w:ilvl w:val="0"/>
          <w:numId w:val="13"/>
        </w:numPr>
        <w:tabs>
          <w:tab w:val="clear" w:pos="720"/>
          <w:tab w:val="clear" w:pos="1460"/>
          <w:tab w:val="left" w:pos="1540"/>
        </w:tabs>
        <w:spacing w:before="120"/>
        <w:ind w:left="0" w:firstLine="770"/>
        <w:rPr>
          <w:szCs w:val="22"/>
        </w:rPr>
      </w:pPr>
      <w:r w:rsidRPr="00517A3B">
        <w:rPr>
          <w:szCs w:val="22"/>
        </w:rPr>
        <w:t>Inviting scientific networks, including national academies of science, to contribute to the development and refinement of indicators suitable for monitoring biodiversity at the global, regional, national and local levels and encouraging science funding bodies to support such endeavours;</w:t>
      </w:r>
    </w:p>
    <w:p w14:paraId="03CD1161" w14:textId="77777777" w:rsidR="00FC4344" w:rsidRPr="00517A3B" w:rsidRDefault="00FC4344" w:rsidP="00FC4344">
      <w:pPr>
        <w:pStyle w:val="Para1"/>
        <w:numPr>
          <w:ilvl w:val="0"/>
          <w:numId w:val="13"/>
        </w:numPr>
        <w:tabs>
          <w:tab w:val="clear" w:pos="720"/>
          <w:tab w:val="clear" w:pos="1460"/>
          <w:tab w:val="left" w:pos="1540"/>
        </w:tabs>
        <w:spacing w:before="120"/>
        <w:ind w:left="0" w:firstLine="770"/>
        <w:rPr>
          <w:szCs w:val="22"/>
        </w:rPr>
      </w:pPr>
      <w:r w:rsidRPr="00517A3B">
        <w:rPr>
          <w:szCs w:val="22"/>
        </w:rPr>
        <w:t xml:space="preserve">Taking note of paragraphs 14 to 19 of decision X/43 on progress in the identification of indicators on traditional knowledge, practices and innovation and supporting the ongoing efforts of the  Working Group on Indicators of the International Indigenous Forum on Biodiversity and its contribution to the ongoing refinement and use of the proposed indicators relevant to the Strategic Plan </w:t>
      </w:r>
      <w:r w:rsidRPr="00517A3B">
        <w:rPr>
          <w:szCs w:val="22"/>
          <w:lang w:bidi="th-TH"/>
        </w:rPr>
        <w:t>for Biodiversity 2011-2020</w:t>
      </w:r>
      <w:r w:rsidRPr="00517A3B">
        <w:rPr>
          <w:szCs w:val="22"/>
        </w:rPr>
        <w:t xml:space="preserve">;   </w:t>
      </w:r>
    </w:p>
    <w:p w14:paraId="6D2076E6" w14:textId="77777777" w:rsidR="00FC4344" w:rsidRPr="00517A3B" w:rsidRDefault="00FC4344" w:rsidP="00FC4344">
      <w:pPr>
        <w:pStyle w:val="Para1"/>
        <w:numPr>
          <w:ilvl w:val="0"/>
          <w:numId w:val="13"/>
        </w:numPr>
        <w:tabs>
          <w:tab w:val="clear" w:pos="720"/>
          <w:tab w:val="clear" w:pos="1460"/>
          <w:tab w:val="left" w:pos="1540"/>
        </w:tabs>
        <w:spacing w:before="120"/>
        <w:ind w:left="0" w:firstLine="770"/>
        <w:rPr>
          <w:szCs w:val="22"/>
        </w:rPr>
      </w:pPr>
      <w:r w:rsidRPr="00517A3B">
        <w:rPr>
          <w:szCs w:val="22"/>
        </w:rPr>
        <w:t xml:space="preserve">Supporting national and regional efforts to establish or strengthen biodiversity monitoring and reporting systems to enable Parties to set their own targets and assess progress towards biodiversity targets established at national and/or regional level;  </w:t>
      </w:r>
    </w:p>
    <w:p w14:paraId="117E4C65" w14:textId="77777777" w:rsidR="00FC4344" w:rsidRPr="00517A3B" w:rsidRDefault="00FC4344" w:rsidP="00FC4344">
      <w:pPr>
        <w:pStyle w:val="Para1"/>
        <w:numPr>
          <w:ilvl w:val="0"/>
          <w:numId w:val="13"/>
        </w:numPr>
        <w:tabs>
          <w:tab w:val="clear" w:pos="720"/>
          <w:tab w:val="clear" w:pos="1460"/>
          <w:tab w:val="left" w:pos="1540"/>
        </w:tabs>
        <w:spacing w:before="120"/>
        <w:ind w:left="0" w:firstLine="770"/>
        <w:rPr>
          <w:szCs w:val="22"/>
        </w:rPr>
      </w:pPr>
      <w:r w:rsidRPr="00517A3B">
        <w:rPr>
          <w:szCs w:val="22"/>
        </w:rPr>
        <w:t xml:space="preserve">Strengthening the capacity to mobilize and use biodiversity data, information and forecasts so that they are readily accessible to policymakers, managers, experts and other users, </w:t>
      </w:r>
      <w:r w:rsidRPr="00517A3B">
        <w:rPr>
          <w:i/>
          <w:szCs w:val="22"/>
        </w:rPr>
        <w:t>inter alia,</w:t>
      </w:r>
      <w:r w:rsidRPr="00517A3B">
        <w:rPr>
          <w:szCs w:val="22"/>
        </w:rPr>
        <w:t xml:space="preserve"> through participation in, and support to, the Group on Earth Observations Biodiversity Observation Network (GEO-BON); </w:t>
      </w:r>
    </w:p>
    <w:p w14:paraId="35457551" w14:textId="77777777" w:rsidR="00FC4344" w:rsidRPr="00517A3B" w:rsidRDefault="00FC4344" w:rsidP="00FC4344">
      <w:pPr>
        <w:pStyle w:val="Para1"/>
        <w:numPr>
          <w:ilvl w:val="0"/>
          <w:numId w:val="13"/>
        </w:numPr>
        <w:tabs>
          <w:tab w:val="clear" w:pos="720"/>
          <w:tab w:val="clear" w:pos="1460"/>
          <w:tab w:val="left" w:pos="1540"/>
        </w:tabs>
        <w:spacing w:before="120"/>
        <w:ind w:left="0" w:firstLine="770"/>
        <w:rPr>
          <w:szCs w:val="22"/>
        </w:rPr>
      </w:pPr>
      <w:r w:rsidRPr="00517A3B">
        <w:rPr>
          <w:szCs w:val="22"/>
        </w:rPr>
        <w:lastRenderedPageBreak/>
        <w:t xml:space="preserve">Identifying and addressing barriers that limit the availability of data, including through the work of the Conservation Commons; </w:t>
      </w:r>
    </w:p>
    <w:p w14:paraId="44B267DC" w14:textId="77777777" w:rsidR="00FC4344" w:rsidRPr="00517A3B" w:rsidRDefault="00FC4344" w:rsidP="00FC4344">
      <w:pPr>
        <w:pStyle w:val="BodyText"/>
        <w:rPr>
          <w:szCs w:val="22"/>
        </w:rPr>
      </w:pPr>
      <w:r w:rsidRPr="00517A3B">
        <w:rPr>
          <w:szCs w:val="22"/>
        </w:rPr>
        <w:t>3.</w:t>
      </w:r>
      <w:r w:rsidRPr="00517A3B">
        <w:rPr>
          <w:szCs w:val="22"/>
        </w:rPr>
        <w:tab/>
      </w:r>
      <w:r w:rsidRPr="00517A3B">
        <w:rPr>
          <w:i/>
          <w:szCs w:val="22"/>
        </w:rPr>
        <w:t xml:space="preserve">Agrees </w:t>
      </w:r>
      <w:r w:rsidRPr="00517A3B">
        <w:rPr>
          <w:szCs w:val="22"/>
        </w:rPr>
        <w:t xml:space="preserve">to: </w:t>
      </w:r>
    </w:p>
    <w:p w14:paraId="0B474F0C" w14:textId="77777777" w:rsidR="00FC4344" w:rsidRPr="00517A3B" w:rsidRDefault="00FC4344" w:rsidP="00FC4344">
      <w:pPr>
        <w:pStyle w:val="BodyText"/>
        <w:rPr>
          <w:highlight w:val="yellow"/>
        </w:rPr>
      </w:pPr>
      <w:r w:rsidRPr="00517A3B">
        <w:t>(a)</w:t>
      </w:r>
      <w:r w:rsidRPr="00517A3B">
        <w:tab/>
        <w:t>Pursue the use of the global headlines indicators contained in decision VIII/15 and the further development of measures (or specific indicators) in monitoring progress towards selected targets as indicated in annex III to the note by the Executive Secretary on examination of the outcome-oriented goals and targets (and associated indicators) and consideration of their possible adjustment for the period beyond 2010</w:t>
      </w:r>
      <w:r w:rsidRPr="00517A3B">
        <w:rPr>
          <w:rStyle w:val="FootnoteReference"/>
        </w:rPr>
        <w:footnoteReference w:id="1"/>
      </w:r>
      <w:r w:rsidRPr="00517A3B">
        <w:t xml:space="preserve"> and summarized in the table in the note by the Executive Secretary on the Strategic Plan for Biodiversity: provisional technical rationale, possible indicators and suggested milestones for the Aichi Biodiversity Targets (UNEP/CBD/COP/10/9);</w:t>
      </w:r>
      <w:r w:rsidRPr="00716EAD">
        <w:rPr>
          <w:rStyle w:val="StyleFootnoteReferenceComplex11ptComplexItalic"/>
        </w:rPr>
        <w:footnoteReference w:id="2"/>
      </w:r>
    </w:p>
    <w:p w14:paraId="49B036F5" w14:textId="77777777" w:rsidR="00FC4344" w:rsidRPr="00517A3B" w:rsidRDefault="00FC4344" w:rsidP="00FC4344">
      <w:pPr>
        <w:pStyle w:val="BodyText"/>
        <w:rPr>
          <w:szCs w:val="22"/>
        </w:rPr>
      </w:pPr>
      <w:r w:rsidRPr="00517A3B">
        <w:rPr>
          <w:szCs w:val="22"/>
        </w:rPr>
        <w:t>(b)</w:t>
      </w:r>
      <w:r w:rsidRPr="00517A3B">
        <w:rPr>
          <w:szCs w:val="22"/>
        </w:rPr>
        <w:tab/>
        <w:t>Complement these global headline indicators with additional indicators which are suitable for monitoring progress towards those targets for which suitable indicators have not yet been identified, in particular in relation to the economics of biodiversity and ecosystem services and the benefits to people derived from these services; and</w:t>
      </w:r>
    </w:p>
    <w:p w14:paraId="0839264E" w14:textId="77777777" w:rsidR="00FC4344" w:rsidRPr="00517A3B" w:rsidRDefault="00FC4344" w:rsidP="00FC4344">
      <w:pPr>
        <w:pStyle w:val="BodyText"/>
        <w:rPr>
          <w:szCs w:val="22"/>
        </w:rPr>
      </w:pPr>
      <w:r w:rsidRPr="00517A3B">
        <w:rPr>
          <w:szCs w:val="22"/>
        </w:rPr>
        <w:t>(c)</w:t>
      </w:r>
      <w:r w:rsidRPr="00517A3B">
        <w:rPr>
          <w:szCs w:val="22"/>
        </w:rPr>
        <w:tab/>
        <w:t>Develop measures (or specific indicators), in cooperation with the scientific community, that could complement or substitute the existing indicators, taking into account indicators developed under other multilateral environmental agreements and international organizations and sector-based processes, and to bring these to the attention of the Executive Secretary;</w:t>
      </w:r>
    </w:p>
    <w:p w14:paraId="137F34E3" w14:textId="77777777" w:rsidR="00FC4344" w:rsidRPr="00517A3B" w:rsidRDefault="00FC4344" w:rsidP="00FC4344">
      <w:pPr>
        <w:pStyle w:val="BodyText"/>
        <w:rPr>
          <w:szCs w:val="22"/>
        </w:rPr>
      </w:pPr>
      <w:r w:rsidRPr="00517A3B">
        <w:rPr>
          <w:szCs w:val="22"/>
        </w:rPr>
        <w:t>4.</w:t>
      </w:r>
      <w:r w:rsidRPr="00517A3B">
        <w:rPr>
          <w:szCs w:val="22"/>
        </w:rPr>
        <w:tab/>
      </w:r>
      <w:r w:rsidRPr="00517A3B">
        <w:rPr>
          <w:i/>
          <w:szCs w:val="22"/>
        </w:rPr>
        <w:t>Further recognizes</w:t>
      </w:r>
      <w:r w:rsidRPr="00517A3B">
        <w:rPr>
          <w:szCs w:val="22"/>
        </w:rPr>
        <w:t xml:space="preserve"> the need to draw on the conclusions of the third edition of the Global Biodiversity Outlook and other relevant assessments, to explore quantitative policy options, including assessments of the financial resources required to address the causes of biodiversity loss, to support the achievement of the post-2010 goals and targets;</w:t>
      </w:r>
    </w:p>
    <w:p w14:paraId="121CA4EF" w14:textId="77777777" w:rsidR="00FC4344" w:rsidRPr="00517A3B" w:rsidRDefault="00FC4344" w:rsidP="00FC4344">
      <w:pPr>
        <w:pStyle w:val="BodyText"/>
        <w:rPr>
          <w:szCs w:val="22"/>
        </w:rPr>
      </w:pPr>
      <w:r w:rsidRPr="00517A3B">
        <w:rPr>
          <w:szCs w:val="22"/>
        </w:rPr>
        <w:t>5.</w:t>
      </w:r>
      <w:r w:rsidRPr="00517A3B">
        <w:rPr>
          <w:szCs w:val="22"/>
        </w:rPr>
        <w:tab/>
      </w:r>
      <w:r w:rsidRPr="00517A3B">
        <w:rPr>
          <w:i/>
          <w:szCs w:val="22"/>
        </w:rPr>
        <w:t>Requests</w:t>
      </w:r>
      <w:r w:rsidRPr="00517A3B">
        <w:rPr>
          <w:szCs w:val="22"/>
        </w:rPr>
        <w:t xml:space="preserve"> the Executive Secretary, subject to the availability of the necessary financial resources, to convene a meeting, at the earliest opportunity, of an Ad Hoc Technical Expert Group on Indicators for the Strategic Plan </w:t>
      </w:r>
      <w:r w:rsidRPr="00517A3B">
        <w:rPr>
          <w:szCs w:val="22"/>
          <w:lang w:bidi="th-TH"/>
        </w:rPr>
        <w:t>for Biodiversity 2011-2020</w:t>
      </w:r>
      <w:r w:rsidRPr="00517A3B">
        <w:rPr>
          <w:szCs w:val="22"/>
        </w:rPr>
        <w:t xml:space="preserve">, which shall be established in accordance with the procedures outlined in the consolidated </w:t>
      </w:r>
      <w:r w:rsidRPr="00517A3B">
        <w:rPr>
          <w:i/>
          <w:szCs w:val="22"/>
        </w:rPr>
        <w:t>modus operandi</w:t>
      </w:r>
      <w:r w:rsidRPr="00517A3B">
        <w:rPr>
          <w:szCs w:val="22"/>
        </w:rPr>
        <w:t xml:space="preserve"> of the Subsidiary Body on Scientific, Technical and Technological Advice,</w:t>
      </w:r>
      <w:r w:rsidRPr="00716EAD">
        <w:rPr>
          <w:rStyle w:val="StyleFootnoteReferenceComplex11ptComplexItalic"/>
        </w:rPr>
        <w:footnoteReference w:id="3"/>
      </w:r>
      <w:r w:rsidRPr="00716EAD">
        <w:rPr>
          <w:rStyle w:val="FootnoteReference"/>
          <w:iCs w:val="0"/>
        </w:rPr>
        <w:t xml:space="preserve"> </w:t>
      </w:r>
      <w:r w:rsidRPr="00517A3B">
        <w:rPr>
          <w:szCs w:val="22"/>
        </w:rPr>
        <w:t>with full participation by developing countries, in particular the least developed and small island developing States, as well as countries with economies in transition, taking into account the need to draw upon the experience of the members of the 2010 Biodiversity Indicators Partnership and relevant international organizations,  also building on the outcomes of the Reading workshop,</w:t>
      </w:r>
      <w:r w:rsidRPr="00517A3B">
        <w:rPr>
          <w:rStyle w:val="StyleFootnoteReferenceComplex11ptComplexItalic1"/>
        </w:rPr>
        <w:footnoteReference w:id="4"/>
      </w:r>
      <w:r w:rsidRPr="00517A3B">
        <w:rPr>
          <w:szCs w:val="22"/>
        </w:rPr>
        <w:t xml:space="preserve"> and to report to the Subsidiary Body on Scientific, Technical and Technological Advice at its fifteenth meeting, as most appropriate to contribute to the functions of this body and in particular to the timely implementation, monitoring and review of the Strategic Plan </w:t>
      </w:r>
      <w:r w:rsidRPr="00517A3B">
        <w:rPr>
          <w:szCs w:val="22"/>
          <w:lang w:bidi="th-TH"/>
        </w:rPr>
        <w:t xml:space="preserve">for Biodiversity 2011-2020 </w:t>
      </w:r>
      <w:r w:rsidRPr="00517A3B">
        <w:rPr>
          <w:szCs w:val="22"/>
        </w:rPr>
        <w:t>and the multi-year programme of work of the Conference of the Parties. The Ad Hoc Technical Expert Group has the following terms of reference:</w:t>
      </w:r>
    </w:p>
    <w:p w14:paraId="6FF02EB3" w14:textId="77777777" w:rsidR="00FC4344" w:rsidRPr="00517A3B" w:rsidRDefault="00FC4344" w:rsidP="00FC4344">
      <w:pPr>
        <w:pStyle w:val="Para1"/>
        <w:numPr>
          <w:ilvl w:val="0"/>
          <w:numId w:val="15"/>
        </w:numPr>
        <w:tabs>
          <w:tab w:val="clear" w:pos="720"/>
          <w:tab w:val="clear" w:pos="1778"/>
        </w:tabs>
        <w:spacing w:before="120"/>
        <w:ind w:left="0" w:firstLine="752"/>
      </w:pPr>
      <w:r w:rsidRPr="00517A3B">
        <w:t xml:space="preserve">Provide advice on the further development of indicators agreed through decisions VII/30 and VIII/15 and the information contained in annex III of document </w:t>
      </w:r>
      <w:r w:rsidRPr="00517A3B">
        <w:rPr>
          <w:szCs w:val="22"/>
        </w:rPr>
        <w:t>note by the Executive Secretary on examination of the outcome-oriented goals and targets (and associated indicators)  and consideration of their possible adjustment for the period beyond 2010 (</w:t>
      </w:r>
      <w:r w:rsidRPr="00517A3B">
        <w:t xml:space="preserve">UNEP/CBD/SBSTTA/14/10) as well as in the </w:t>
      </w:r>
      <w:r w:rsidRPr="00517A3B">
        <w:rPr>
          <w:szCs w:val="22"/>
        </w:rPr>
        <w:t xml:space="preserve">table provided in </w:t>
      </w:r>
      <w:r w:rsidRPr="00517A3B">
        <w:t xml:space="preserve">the note by </w:t>
      </w:r>
      <w:r w:rsidRPr="00517A3B">
        <w:rPr>
          <w:szCs w:val="22"/>
        </w:rPr>
        <w:t>the</w:t>
      </w:r>
      <w:r w:rsidRPr="00517A3B">
        <w:t xml:space="preserve"> Executive Secretary on the Strategic Plan for Biodiversity: provisional </w:t>
      </w:r>
      <w:r w:rsidRPr="00517A3B">
        <w:lastRenderedPageBreak/>
        <w:t>technical rationale, possible indicators and suggested milestones for the Aichi Biodiversity Targets,</w:t>
      </w:r>
      <w:r w:rsidRPr="00517A3B">
        <w:rPr>
          <w:rStyle w:val="FootnoteReference"/>
        </w:rPr>
        <w:footnoteReference w:id="5"/>
      </w:r>
      <w:r w:rsidRPr="00517A3B">
        <w:t xml:space="preserve"> where necessary in the context of the updated Strategic Plan for Biodiversity 2011-2020;</w:t>
      </w:r>
    </w:p>
    <w:p w14:paraId="6C3C8CF9" w14:textId="77777777" w:rsidR="00FC4344" w:rsidRPr="00517A3B" w:rsidRDefault="00FC4344" w:rsidP="00FC4344">
      <w:pPr>
        <w:pStyle w:val="Para1"/>
        <w:numPr>
          <w:ilvl w:val="0"/>
          <w:numId w:val="15"/>
        </w:numPr>
        <w:tabs>
          <w:tab w:val="clear" w:pos="720"/>
          <w:tab w:val="clear" w:pos="1778"/>
        </w:tabs>
        <w:spacing w:before="120"/>
        <w:ind w:left="0" w:firstLine="752"/>
        <w:rPr>
          <w:szCs w:val="22"/>
        </w:rPr>
      </w:pPr>
      <w:r w:rsidRPr="00517A3B">
        <w:rPr>
          <w:szCs w:val="22"/>
        </w:rPr>
        <w:t xml:space="preserve">Suggest additional indicators that have been, or could be, developed, where necessary, to constitute a coherent framework designed to assess progress towards targets of the Strategic Plan </w:t>
      </w:r>
      <w:r w:rsidRPr="00517A3B">
        <w:rPr>
          <w:szCs w:val="22"/>
          <w:lang w:bidi="th-TH"/>
        </w:rPr>
        <w:t>for Biodiversity 2011-2020,</w:t>
      </w:r>
      <w:r w:rsidRPr="00517A3B">
        <w:rPr>
          <w:szCs w:val="22"/>
        </w:rPr>
        <w:t xml:space="preserve"> for which the current suite of indicators is not adequate, noting the lack of agreed indicators for ecosystem services, making use, where appropriate, of the indicators developed by other multilateral environmental agreements, organizations, or processes;</w:t>
      </w:r>
    </w:p>
    <w:p w14:paraId="69F927B6" w14:textId="77777777" w:rsidR="00FC4344" w:rsidRPr="00517A3B" w:rsidRDefault="00FC4344" w:rsidP="00FC4344">
      <w:pPr>
        <w:pStyle w:val="Para1"/>
        <w:numPr>
          <w:ilvl w:val="0"/>
          <w:numId w:val="15"/>
        </w:numPr>
        <w:tabs>
          <w:tab w:val="clear" w:pos="720"/>
          <w:tab w:val="clear" w:pos="1778"/>
        </w:tabs>
        <w:spacing w:before="120"/>
        <w:ind w:left="0" w:firstLine="752"/>
        <w:rPr>
          <w:szCs w:val="22"/>
        </w:rPr>
      </w:pPr>
      <w:r w:rsidRPr="00517A3B">
        <w:rPr>
          <w:szCs w:val="22"/>
        </w:rPr>
        <w:t>Develop further guidance and propose options for the establishment of mechanisms to support Parties in their efforts to develop national indicators and associated biodiversity monitoring and reporting systems, in support of setting of targets, according to national priorities and capacities, and in the monitoring of progress towards them;</w:t>
      </w:r>
    </w:p>
    <w:p w14:paraId="167569AE" w14:textId="77777777" w:rsidR="00FC4344" w:rsidRPr="00517A3B" w:rsidRDefault="00FC4344" w:rsidP="00FC4344">
      <w:pPr>
        <w:pStyle w:val="Para1"/>
        <w:numPr>
          <w:ilvl w:val="0"/>
          <w:numId w:val="15"/>
        </w:numPr>
        <w:tabs>
          <w:tab w:val="clear" w:pos="720"/>
          <w:tab w:val="clear" w:pos="1778"/>
        </w:tabs>
        <w:spacing w:before="120"/>
        <w:ind w:left="0" w:firstLine="752"/>
        <w:rPr>
          <w:szCs w:val="22"/>
        </w:rPr>
      </w:pPr>
      <w:r w:rsidRPr="00517A3B">
        <w:rPr>
          <w:szCs w:val="22"/>
        </w:rPr>
        <w:t>Provide advice on the strengthening of linkages between global and national indicator development and reporting;</w:t>
      </w:r>
    </w:p>
    <w:p w14:paraId="3163F5A7" w14:textId="77777777" w:rsidR="00FC4344" w:rsidRPr="00517A3B" w:rsidRDefault="00FC4344" w:rsidP="00FC4344">
      <w:pPr>
        <w:pStyle w:val="BodyText"/>
        <w:rPr>
          <w:szCs w:val="22"/>
        </w:rPr>
      </w:pPr>
      <w:r w:rsidRPr="00517A3B">
        <w:rPr>
          <w:szCs w:val="22"/>
        </w:rPr>
        <w:t xml:space="preserve">6. </w:t>
      </w:r>
      <w:r w:rsidRPr="00517A3B">
        <w:rPr>
          <w:szCs w:val="22"/>
        </w:rPr>
        <w:tab/>
      </w:r>
      <w:r w:rsidRPr="00517A3B">
        <w:rPr>
          <w:i/>
          <w:szCs w:val="22"/>
        </w:rPr>
        <w:t>Requests</w:t>
      </w:r>
      <w:r w:rsidRPr="00517A3B">
        <w:rPr>
          <w:szCs w:val="22"/>
        </w:rPr>
        <w:t xml:space="preserve"> the Executive Secretary to invite the Group on Earth Observation Biodiversity Observation Network (GEO-BON), working through organizations conducting biodiversity relevant observations, including, </w:t>
      </w:r>
      <w:r w:rsidRPr="00517A3B">
        <w:rPr>
          <w:i/>
          <w:szCs w:val="22"/>
        </w:rPr>
        <w:t>inter alia</w:t>
      </w:r>
      <w:r w:rsidRPr="00517A3B">
        <w:rPr>
          <w:szCs w:val="22"/>
        </w:rPr>
        <w:t xml:space="preserve">, the UNEP World Conservation Monitoring Centre and the International Union for Conservation of Nature (IUCN), to prepare an evaluation of existing observation capabilities relevant to the targets contained in the Strategic Plan for Biodiversity 2011-2020 and to provide a report in time for the Ad Hoc Technical Expert Group on Indicators for the Strategic Plan </w:t>
      </w:r>
      <w:r w:rsidRPr="00517A3B">
        <w:rPr>
          <w:szCs w:val="22"/>
          <w:lang w:bidi="th-TH"/>
        </w:rPr>
        <w:t xml:space="preserve">for Biodiversity 2011-2020 </w:t>
      </w:r>
      <w:r w:rsidRPr="00517A3B">
        <w:rPr>
          <w:szCs w:val="22"/>
        </w:rPr>
        <w:t>and to a meeting of the Subsidiary Body on Scientific, Technical and Technological Advice prior to the eleventh meeting of the Conference of the Parties;</w:t>
      </w:r>
    </w:p>
    <w:p w14:paraId="62D3DF68" w14:textId="77777777" w:rsidR="00FC4344" w:rsidRPr="00517A3B" w:rsidRDefault="00FC4344" w:rsidP="00FC4344">
      <w:pPr>
        <w:pStyle w:val="Para1"/>
        <w:numPr>
          <w:ilvl w:val="0"/>
          <w:numId w:val="0"/>
        </w:numPr>
        <w:ind w:firstLine="720"/>
        <w:rPr>
          <w:szCs w:val="22"/>
        </w:rPr>
      </w:pPr>
      <w:r w:rsidRPr="00517A3B">
        <w:rPr>
          <w:szCs w:val="22"/>
        </w:rPr>
        <w:t>7.</w:t>
      </w:r>
      <w:r w:rsidRPr="00517A3B">
        <w:rPr>
          <w:szCs w:val="22"/>
        </w:rPr>
        <w:tab/>
      </w:r>
      <w:r w:rsidRPr="00517A3B">
        <w:rPr>
          <w:i/>
          <w:szCs w:val="22"/>
        </w:rPr>
        <w:t>Requests</w:t>
      </w:r>
      <w:r w:rsidRPr="00517A3B">
        <w:rPr>
          <w:szCs w:val="22"/>
        </w:rPr>
        <w:t xml:space="preserve"> the Global Environment Facility to provide support to respond to the capacity needs of eligible Parties in developing national targets and monitoring frameworks and to enable the Biodiversity Indicators Partnership to pursue the further development of global headline indicators.</w:t>
      </w:r>
    </w:p>
    <w:p w14:paraId="752E8D84" w14:textId="77777777" w:rsidR="008C082A" w:rsidRPr="00915C05" w:rsidRDefault="008C082A" w:rsidP="008C082A">
      <w:pPr>
        <w:pStyle w:val="BodyText"/>
      </w:pPr>
    </w:p>
    <w:p w14:paraId="15F80102" w14:textId="77777777" w:rsidR="008C082A" w:rsidRDefault="008C082A" w:rsidP="008C082A">
      <w:pPr>
        <w:pStyle w:val="Para1"/>
        <w:numPr>
          <w:ilvl w:val="0"/>
          <w:numId w:val="0"/>
        </w:numPr>
        <w:ind w:firstLine="720"/>
      </w:pPr>
    </w:p>
    <w:bookmarkEnd w:id="0"/>
    <w:p w14:paraId="664B6D89" w14:textId="77777777" w:rsidR="008C082A" w:rsidRDefault="008C082A" w:rsidP="008C082A">
      <w:pPr>
        <w:jc w:val="center"/>
      </w:pPr>
      <w:r>
        <w:t>-----</w:t>
      </w:r>
    </w:p>
    <w:sectPr w:rsidR="008C082A" w:rsidSect="00A64215">
      <w:footerReference w:type="even" r:id="rId14"/>
      <w:footerReference w:type="first" r:id="rId15"/>
      <w:type w:val="continuous"/>
      <w:pgSz w:w="12240" w:h="15840" w:code="1"/>
      <w:pgMar w:top="1138" w:right="1440" w:bottom="113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D0D86" w14:textId="77777777" w:rsidR="00513DFC" w:rsidRDefault="00513DFC">
      <w:r>
        <w:separator/>
      </w:r>
    </w:p>
  </w:endnote>
  <w:endnote w:type="continuationSeparator" w:id="0">
    <w:p w14:paraId="466D7B7C" w14:textId="77777777" w:rsidR="00513DFC" w:rsidRDefault="00513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41C0A" w14:textId="77777777" w:rsidR="00A64215" w:rsidRPr="00A64215" w:rsidRDefault="00A6421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A512" w14:textId="77777777" w:rsidR="00AE0B9F" w:rsidRDefault="00AE0B9F">
    <w:pPr>
      <w:pStyle w:val="Footer"/>
    </w:pPr>
    <w:r>
      <w:t>/…</w:t>
    </w:r>
  </w:p>
  <w:p w14:paraId="34AF9B33" w14:textId="77777777" w:rsidR="00AE0B9F" w:rsidRDefault="000E2067">
    <w:pPr>
      <w:pStyle w:val="Footer"/>
    </w:pPr>
    <w:r>
      <w:rPr>
        <w:noProof/>
        <w:lang w:val="en-US"/>
      </w:rPr>
      <mc:AlternateContent>
        <mc:Choice Requires="wps">
          <w:drawing>
            <wp:anchor distT="0" distB="0" distL="114300" distR="114300" simplePos="0" relativeHeight="251657728" behindDoc="0" locked="0" layoutInCell="1" allowOverlap="1" wp14:anchorId="35AE742A" wp14:editId="00AB4C06">
              <wp:simplePos x="0" y="0"/>
              <wp:positionH relativeFrom="column">
                <wp:posOffset>0</wp:posOffset>
              </wp:positionH>
              <wp:positionV relativeFrom="paragraph">
                <wp:posOffset>12700</wp:posOffset>
              </wp:positionV>
              <wp:extent cx="5943600" cy="365760"/>
              <wp:effectExtent l="12700" t="12700" r="12700" b="15240"/>
              <wp:wrapNone/>
              <wp:docPr id="14438404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B66D3F3" w14:textId="77777777" w:rsidR="00AE0B9F" w:rsidRPr="006015AE" w:rsidRDefault="00AE0B9F" w:rsidP="008C082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2DDDC0E" w14:textId="77777777" w:rsidR="00AE0B9F" w:rsidRPr="006015AE" w:rsidRDefault="00AE0B9F" w:rsidP="008C082A">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E742A" id="Rectangle 2" o:spid="_x0000_s1026" style="position:absolute;left:0;text-align:left;margin-left:0;margin-top:1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AuJl1y4gAAAAoBAAAPAAAA&#13;&#10;AAAAAAAAAAAAAFcEAABkcnMvZG93bnJldi54bWxQSwUGAAAAAAQABADzAAAAZgUAAAAA&#13;&#10;" strokeweight="3pt">
              <v:path arrowok="t"/>
              <v:textbox inset="0,0,0,0">
                <w:txbxContent>
                  <w:p w14:paraId="4B66D3F3" w14:textId="77777777" w:rsidR="00AE0B9F" w:rsidRPr="006015AE" w:rsidRDefault="00AE0B9F" w:rsidP="008C082A">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2DDDC0E" w14:textId="77777777" w:rsidR="00AE0B9F" w:rsidRPr="006015AE" w:rsidRDefault="00AE0B9F" w:rsidP="008C082A">
                    <w:pPr>
                      <w:rPr>
                        <w:color w:val="000000"/>
                        <w:sz w:val="16"/>
                        <w:szCs w:val="16"/>
                      </w:rPr>
                    </w:pPr>
                  </w:p>
                </w:txbxContent>
              </v:textbox>
            </v:rect>
          </w:pict>
        </mc:Fallback>
      </mc:AlternateContent>
    </w:r>
  </w:p>
  <w:p w14:paraId="4FE1D070" w14:textId="77777777" w:rsidR="00AE0B9F" w:rsidRDefault="00AE0B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2731" w14:textId="77777777" w:rsidR="000B5CCC" w:rsidRPr="000B5CCC" w:rsidRDefault="000B5CCC" w:rsidP="000B5C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48A4" w14:textId="77777777" w:rsidR="00A64215" w:rsidRDefault="00A64215">
    <w:pPr>
      <w:pStyle w:val="Footer"/>
    </w:pPr>
  </w:p>
  <w:p w14:paraId="307FB411" w14:textId="77777777" w:rsidR="00A64215" w:rsidRDefault="00A642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D552" w14:textId="77777777" w:rsidR="00513DFC" w:rsidRDefault="00513DFC">
      <w:r>
        <w:separator/>
      </w:r>
    </w:p>
  </w:footnote>
  <w:footnote w:type="continuationSeparator" w:id="0">
    <w:p w14:paraId="63FC44D9" w14:textId="77777777" w:rsidR="00513DFC" w:rsidRDefault="00513DFC">
      <w:r>
        <w:continuationSeparator/>
      </w:r>
    </w:p>
  </w:footnote>
  <w:footnote w:id="1">
    <w:p w14:paraId="469030B6" w14:textId="77777777" w:rsidR="00FC4344" w:rsidRPr="0028762A" w:rsidRDefault="00FC4344" w:rsidP="00FC4344">
      <w:pPr>
        <w:pStyle w:val="FootnoteText"/>
        <w:ind w:firstLine="0"/>
        <w:rPr>
          <w:lang w:val="en-US"/>
        </w:rPr>
      </w:pPr>
      <w:r w:rsidRPr="00716EAD">
        <w:rPr>
          <w:rStyle w:val="FootnoteReference"/>
          <w:szCs w:val="22"/>
        </w:rPr>
        <w:footnoteRef/>
      </w:r>
      <w:r>
        <w:t xml:space="preserve">  </w:t>
      </w:r>
      <w:r>
        <w:rPr>
          <w:lang w:val="en-US"/>
        </w:rPr>
        <w:t>UNEP/CBD/SBSTTA/14/10.</w:t>
      </w:r>
    </w:p>
  </w:footnote>
  <w:footnote w:id="2">
    <w:p w14:paraId="24A9883E" w14:textId="77777777" w:rsidR="00FC4344" w:rsidRPr="000B24E0" w:rsidRDefault="00FC4344" w:rsidP="00FC4344">
      <w:pPr>
        <w:pStyle w:val="FootnoteText"/>
        <w:ind w:firstLine="0"/>
      </w:pPr>
      <w:r w:rsidRPr="00716EAD">
        <w:rPr>
          <w:rStyle w:val="FootnoteReference"/>
          <w:szCs w:val="22"/>
        </w:rPr>
        <w:footnoteRef/>
      </w:r>
      <w:r w:rsidRPr="00716EAD">
        <w:rPr>
          <w:rStyle w:val="FootnoteReference"/>
          <w:szCs w:val="22"/>
        </w:rPr>
        <w:t xml:space="preserve"> </w:t>
      </w:r>
      <w:r>
        <w:t>This note, updated in line with decision X/2, is available as UNEP/CBD/COP/10/27/Add.1.</w:t>
      </w:r>
    </w:p>
  </w:footnote>
  <w:footnote w:id="3">
    <w:p w14:paraId="16DC7477" w14:textId="77777777" w:rsidR="00FC4344" w:rsidRPr="0028762A" w:rsidRDefault="00FC4344" w:rsidP="00FC4344">
      <w:pPr>
        <w:pStyle w:val="FootnoteText"/>
        <w:ind w:firstLine="0"/>
        <w:rPr>
          <w:lang w:val="en-US"/>
        </w:rPr>
      </w:pPr>
      <w:r w:rsidRPr="00716EAD">
        <w:rPr>
          <w:rStyle w:val="FootnoteReference"/>
          <w:szCs w:val="22"/>
        </w:rPr>
        <w:footnoteRef/>
      </w:r>
      <w:r>
        <w:t xml:space="preserve">  </w:t>
      </w:r>
      <w:r w:rsidRPr="00915C05">
        <w:rPr>
          <w:szCs w:val="22"/>
        </w:rPr>
        <w:t>Decision VIII/10, annex III</w:t>
      </w:r>
      <w:r>
        <w:rPr>
          <w:szCs w:val="22"/>
        </w:rPr>
        <w:t>.</w:t>
      </w:r>
    </w:p>
  </w:footnote>
  <w:footnote w:id="4">
    <w:p w14:paraId="226CA6B7" w14:textId="77777777" w:rsidR="00FC4344" w:rsidRDefault="00FC4344" w:rsidP="00FC4344">
      <w:pPr>
        <w:pStyle w:val="FootnoteText"/>
        <w:ind w:firstLine="0"/>
      </w:pPr>
      <w:r w:rsidRPr="00716EAD">
        <w:rPr>
          <w:rStyle w:val="FootnoteReference"/>
          <w:szCs w:val="22"/>
        </w:rPr>
        <w:footnoteRef/>
      </w:r>
      <w:r>
        <w:t xml:space="preserve"> </w:t>
      </w:r>
      <w:r w:rsidRPr="00CE304C">
        <w:t>http://www.cbd.int/doc/meetings/ind/emind-02/official/emind-02-0709-10-workshop-report-en.pdf</w:t>
      </w:r>
    </w:p>
  </w:footnote>
  <w:footnote w:id="5">
    <w:p w14:paraId="3D4477C6" w14:textId="77777777" w:rsidR="00FC4344" w:rsidRDefault="00FC4344" w:rsidP="00FC4344">
      <w:pPr>
        <w:pStyle w:val="FootnoteText"/>
        <w:ind w:firstLine="0"/>
      </w:pPr>
      <w:r>
        <w:rPr>
          <w:rStyle w:val="FootnoteReference"/>
        </w:rPr>
        <w:footnoteRef/>
      </w:r>
      <w:r>
        <w:t xml:space="preserve"> The updated note on </w:t>
      </w:r>
      <w:r w:rsidRPr="003D2F1B">
        <w:t xml:space="preserve">provisional technical rationale, possible indicators and suggested milestones for the Aichi Biodiversity Targets </w:t>
      </w:r>
      <w:r>
        <w:t>is available as UNEP/CBD/COP/10/27/Add.1.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B164A" w14:textId="77777777" w:rsidR="00A64215" w:rsidRDefault="00AE0B9F">
    <w:pPr>
      <w:pStyle w:val="Header"/>
    </w:pPr>
    <w:r w:rsidRPr="00A64215">
      <w:t>UNEP/CBD/COP</w:t>
    </w:r>
    <w:r>
      <w:t>/10/</w:t>
    </w:r>
    <w:r w:rsidR="00D04AB4">
      <w:t>L.4</w:t>
    </w:r>
  </w:p>
  <w:p w14:paraId="7442E86D" w14:textId="77777777" w:rsidR="00A64215" w:rsidRDefault="00A64215">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FE4549">
      <w:rPr>
        <w:rStyle w:val="PageNumber"/>
        <w:noProof/>
      </w:rPr>
      <w:t>2</w:t>
    </w:r>
    <w:r>
      <w:rPr>
        <w:rStyle w:val="PageNumber"/>
      </w:rPr>
      <w:fldChar w:fldCharType="end"/>
    </w:r>
  </w:p>
  <w:p w14:paraId="45DB8BBE" w14:textId="77777777" w:rsidR="00AE0B9F" w:rsidRDefault="00AE0B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1C2E" w14:textId="77777777" w:rsidR="00495A9A" w:rsidRDefault="00495A9A" w:rsidP="00495A9A">
    <w:pPr>
      <w:pStyle w:val="Header"/>
      <w:ind w:left="6660"/>
    </w:pPr>
    <w:r w:rsidRPr="00A64215">
      <w:t>UNEP/CBD/COP</w:t>
    </w:r>
    <w:r>
      <w:t>/DEC/X/7</w:t>
    </w:r>
  </w:p>
  <w:p w14:paraId="57DEF7BC" w14:textId="77777777" w:rsidR="00A64215" w:rsidRDefault="00A64215" w:rsidP="00495A9A">
    <w:pPr>
      <w:pStyle w:val="Header"/>
      <w:ind w:left="66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FE4549">
      <w:rPr>
        <w:rStyle w:val="PageNumber"/>
        <w:noProof/>
      </w:rPr>
      <w:t>3</w:t>
    </w:r>
    <w:r>
      <w:rPr>
        <w:rStyle w:val="PageNumber"/>
      </w:rPr>
      <w:fldChar w:fldCharType="end"/>
    </w:r>
  </w:p>
  <w:p w14:paraId="1FD2DE23" w14:textId="77777777" w:rsidR="00AE0B9F" w:rsidRDefault="00AE0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278D"/>
    <w:multiLevelType w:val="multilevel"/>
    <w:tmpl w:val="E2DE03B6"/>
    <w:lvl w:ilvl="0">
      <w:start w:val="1"/>
      <w:numFmt w:val="lowerLetter"/>
      <w:lvlText w:val="(%1)"/>
      <w:lvlJc w:val="left"/>
      <w:pPr>
        <w:tabs>
          <w:tab w:val="num" w:pos="360"/>
        </w:tabs>
        <w:ind w:left="360" w:hanging="360"/>
      </w:pPr>
      <w:rPr>
        <w:rFonts w:hint="default"/>
        <w:b w:val="0"/>
        <w:i w:val="0"/>
        <w:sz w:val="22"/>
      </w:rPr>
    </w:lvl>
    <w:lvl w:ilvl="1">
      <w:start w:val="1"/>
      <w:numFmt w:val="lowerLetter"/>
      <w:lvlText w:val="(%2)"/>
      <w:lvlJc w:val="left"/>
      <w:pPr>
        <w:tabs>
          <w:tab w:val="num" w:pos="22"/>
        </w:tabs>
        <w:ind w:left="-1418" w:firstLine="720"/>
      </w:pPr>
      <w:rPr>
        <w:rFonts w:hint="default"/>
        <w:b w:val="0"/>
        <w:i w:val="0"/>
      </w:rPr>
    </w:lvl>
    <w:lvl w:ilvl="2">
      <w:start w:val="1"/>
      <w:numFmt w:val="lowerRoman"/>
      <w:lvlText w:val="(%3)"/>
      <w:lvlJc w:val="right"/>
      <w:pPr>
        <w:tabs>
          <w:tab w:val="num" w:pos="22"/>
        </w:tabs>
        <w:ind w:left="22" w:hanging="360"/>
      </w:pPr>
      <w:rPr>
        <w:rFonts w:hint="default"/>
      </w:rPr>
    </w:lvl>
    <w:lvl w:ilvl="3">
      <w:start w:val="1"/>
      <w:numFmt w:val="bullet"/>
      <w:lvlText w:val=""/>
      <w:lvlJc w:val="left"/>
      <w:pPr>
        <w:tabs>
          <w:tab w:val="num" w:pos="742"/>
        </w:tabs>
        <w:ind w:left="742" w:hanging="720"/>
      </w:pPr>
      <w:rPr>
        <w:rFonts w:ascii="Symbol" w:hAnsi="Symbol" w:hint="default"/>
        <w:color w:val="auto"/>
        <w:sz w:val="28"/>
      </w:rPr>
    </w:lvl>
    <w:lvl w:ilvl="4">
      <w:start w:val="1"/>
      <w:numFmt w:val="lowerLetter"/>
      <w:lvlText w:val="(%5)"/>
      <w:lvlJc w:val="left"/>
      <w:pPr>
        <w:tabs>
          <w:tab w:val="num" w:pos="382"/>
        </w:tabs>
        <w:ind w:left="382" w:hanging="360"/>
      </w:pPr>
      <w:rPr>
        <w:rFonts w:hint="default"/>
      </w:rPr>
    </w:lvl>
    <w:lvl w:ilvl="5">
      <w:start w:val="1"/>
      <w:numFmt w:val="lowerRoman"/>
      <w:lvlText w:val="(%6)"/>
      <w:lvlJc w:val="left"/>
      <w:pPr>
        <w:tabs>
          <w:tab w:val="num" w:pos="742"/>
        </w:tabs>
        <w:ind w:left="742" w:hanging="360"/>
      </w:pPr>
      <w:rPr>
        <w:rFonts w:hint="default"/>
      </w:rPr>
    </w:lvl>
    <w:lvl w:ilvl="6">
      <w:start w:val="1"/>
      <w:numFmt w:val="decimal"/>
      <w:lvlText w:val="%7."/>
      <w:lvlJc w:val="left"/>
      <w:pPr>
        <w:tabs>
          <w:tab w:val="num" w:pos="1102"/>
        </w:tabs>
        <w:ind w:left="1102" w:hanging="360"/>
      </w:pPr>
      <w:rPr>
        <w:rFonts w:hint="default"/>
      </w:rPr>
    </w:lvl>
    <w:lvl w:ilvl="7">
      <w:start w:val="1"/>
      <w:numFmt w:val="lowerLetter"/>
      <w:lvlText w:val="%8."/>
      <w:lvlJc w:val="left"/>
      <w:pPr>
        <w:tabs>
          <w:tab w:val="num" w:pos="1462"/>
        </w:tabs>
        <w:ind w:left="1462" w:hanging="360"/>
      </w:pPr>
      <w:rPr>
        <w:rFonts w:hint="default"/>
      </w:rPr>
    </w:lvl>
    <w:lvl w:ilvl="8">
      <w:start w:val="1"/>
      <w:numFmt w:val="lowerRoman"/>
      <w:lvlText w:val="%9."/>
      <w:lvlJc w:val="left"/>
      <w:pPr>
        <w:tabs>
          <w:tab w:val="num" w:pos="1822"/>
        </w:tabs>
        <w:ind w:left="1822" w:hanging="360"/>
      </w:pPr>
      <w:rPr>
        <w:rFonts w:hint="default"/>
      </w:rPr>
    </w:lvl>
  </w:abstractNum>
  <w:abstractNum w:abstractNumId="1"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B549D8"/>
    <w:multiLevelType w:val="multilevel"/>
    <w:tmpl w:val="4DCE6BDA"/>
    <w:lvl w:ilvl="0">
      <w:start w:val="1"/>
      <w:numFmt w:val="lowerLetter"/>
      <w:lvlText w:val="(%1)"/>
      <w:lvlJc w:val="left"/>
      <w:pPr>
        <w:tabs>
          <w:tab w:val="num" w:pos="1778"/>
        </w:tabs>
        <w:ind w:left="1778" w:hanging="36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7"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8"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9"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2C752DB"/>
    <w:multiLevelType w:val="multilevel"/>
    <w:tmpl w:val="E2DE03B6"/>
    <w:lvl w:ilvl="0">
      <w:start w:val="1"/>
      <w:numFmt w:val="lowerLetter"/>
      <w:lvlText w:val="(%1)"/>
      <w:lvlJc w:val="left"/>
      <w:pPr>
        <w:tabs>
          <w:tab w:val="num" w:pos="1778"/>
        </w:tabs>
        <w:ind w:left="1778" w:hanging="36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B90658E"/>
    <w:multiLevelType w:val="multilevel"/>
    <w:tmpl w:val="EB328AF0"/>
    <w:lvl w:ilvl="0">
      <w:start w:val="1"/>
      <w:numFmt w:val="lowerLetter"/>
      <w:lvlText w:val="(%1)"/>
      <w:lvlJc w:val="left"/>
      <w:pPr>
        <w:tabs>
          <w:tab w:val="num" w:pos="1460"/>
        </w:tabs>
        <w:ind w:left="1460" w:hanging="360"/>
      </w:pPr>
      <w:rPr>
        <w:rFonts w:hint="default"/>
        <w:b w:val="0"/>
        <w:i w:val="0"/>
        <w:sz w:val="22"/>
      </w:rPr>
    </w:lvl>
    <w:lvl w:ilvl="1">
      <w:start w:val="1"/>
      <w:numFmt w:val="lowerLetter"/>
      <w:lvlText w:val="(%2)"/>
      <w:lvlJc w:val="left"/>
      <w:pPr>
        <w:tabs>
          <w:tab w:val="num" w:pos="1122"/>
        </w:tabs>
        <w:ind w:left="-318" w:firstLine="720"/>
      </w:pPr>
      <w:rPr>
        <w:rFonts w:hint="default"/>
        <w:b w:val="0"/>
        <w:i w:val="0"/>
      </w:rPr>
    </w:lvl>
    <w:lvl w:ilvl="2">
      <w:start w:val="1"/>
      <w:numFmt w:val="lowerRoman"/>
      <w:lvlText w:val="(%3)"/>
      <w:lvlJc w:val="right"/>
      <w:pPr>
        <w:tabs>
          <w:tab w:val="num" w:pos="1122"/>
        </w:tabs>
        <w:ind w:left="1122" w:hanging="360"/>
      </w:pPr>
      <w:rPr>
        <w:rFonts w:hint="default"/>
      </w:rPr>
    </w:lvl>
    <w:lvl w:ilvl="3">
      <w:start w:val="1"/>
      <w:numFmt w:val="bullet"/>
      <w:lvlText w:val=""/>
      <w:lvlJc w:val="left"/>
      <w:pPr>
        <w:tabs>
          <w:tab w:val="num" w:pos="1842"/>
        </w:tabs>
        <w:ind w:left="1842" w:hanging="720"/>
      </w:pPr>
      <w:rPr>
        <w:rFonts w:ascii="Symbol" w:hAnsi="Symbol" w:hint="default"/>
        <w:color w:val="auto"/>
        <w:sz w:val="28"/>
      </w:rPr>
    </w:lvl>
    <w:lvl w:ilvl="4">
      <w:start w:val="1"/>
      <w:numFmt w:val="lowerLetter"/>
      <w:lvlText w:val="(%5)"/>
      <w:lvlJc w:val="left"/>
      <w:pPr>
        <w:tabs>
          <w:tab w:val="num" w:pos="1482"/>
        </w:tabs>
        <w:ind w:left="1482" w:hanging="360"/>
      </w:pPr>
      <w:rPr>
        <w:rFonts w:hint="default"/>
      </w:rPr>
    </w:lvl>
    <w:lvl w:ilvl="5">
      <w:start w:val="1"/>
      <w:numFmt w:val="lowerRoman"/>
      <w:lvlText w:val="(%6)"/>
      <w:lvlJc w:val="left"/>
      <w:pPr>
        <w:tabs>
          <w:tab w:val="num" w:pos="1842"/>
        </w:tabs>
        <w:ind w:left="1842" w:hanging="360"/>
      </w:pPr>
      <w:rPr>
        <w:rFonts w:hint="default"/>
      </w:rPr>
    </w:lvl>
    <w:lvl w:ilvl="6">
      <w:start w:val="1"/>
      <w:numFmt w:val="decimal"/>
      <w:lvlText w:val="%7."/>
      <w:lvlJc w:val="left"/>
      <w:pPr>
        <w:tabs>
          <w:tab w:val="num" w:pos="2202"/>
        </w:tabs>
        <w:ind w:left="2202" w:hanging="360"/>
      </w:pPr>
      <w:rPr>
        <w:rFonts w:hint="default"/>
      </w:rPr>
    </w:lvl>
    <w:lvl w:ilvl="7">
      <w:start w:val="1"/>
      <w:numFmt w:val="lowerLetter"/>
      <w:lvlText w:val="%8."/>
      <w:lvlJc w:val="left"/>
      <w:pPr>
        <w:tabs>
          <w:tab w:val="num" w:pos="2562"/>
        </w:tabs>
        <w:ind w:left="2562" w:hanging="360"/>
      </w:pPr>
      <w:rPr>
        <w:rFonts w:hint="default"/>
      </w:rPr>
    </w:lvl>
    <w:lvl w:ilvl="8">
      <w:start w:val="1"/>
      <w:numFmt w:val="lowerRoman"/>
      <w:lvlText w:val="%9."/>
      <w:lvlJc w:val="left"/>
      <w:pPr>
        <w:tabs>
          <w:tab w:val="num" w:pos="2922"/>
        </w:tabs>
        <w:ind w:left="2922" w:hanging="360"/>
      </w:pPr>
      <w:rPr>
        <w:rFonts w:hint="default"/>
      </w:rPr>
    </w:lvl>
  </w:abstractNum>
  <w:num w:numId="1" w16cid:durableId="1558083218">
    <w:abstractNumId w:val="10"/>
  </w:num>
  <w:num w:numId="2" w16cid:durableId="489904303">
    <w:abstractNumId w:val="7"/>
  </w:num>
  <w:num w:numId="3" w16cid:durableId="1954096568">
    <w:abstractNumId w:val="12"/>
  </w:num>
  <w:num w:numId="4" w16cid:durableId="851837611">
    <w:abstractNumId w:val="3"/>
  </w:num>
  <w:num w:numId="5" w16cid:durableId="286156776">
    <w:abstractNumId w:val="1"/>
  </w:num>
  <w:num w:numId="6" w16cid:durableId="2972058">
    <w:abstractNumId w:val="4"/>
  </w:num>
  <w:num w:numId="7" w16cid:durableId="780877894">
    <w:abstractNumId w:val="10"/>
  </w:num>
  <w:num w:numId="8" w16cid:durableId="173959817">
    <w:abstractNumId w:val="8"/>
  </w:num>
  <w:num w:numId="9" w16cid:durableId="1262373989">
    <w:abstractNumId w:val="5"/>
  </w:num>
  <w:num w:numId="10" w16cid:durableId="2024475094">
    <w:abstractNumId w:val="10"/>
  </w:num>
  <w:num w:numId="11" w16cid:durableId="452483813">
    <w:abstractNumId w:val="9"/>
  </w:num>
  <w:num w:numId="12" w16cid:durableId="1496921409">
    <w:abstractNumId w:val="6"/>
  </w:num>
  <w:num w:numId="13" w16cid:durableId="1188450681">
    <w:abstractNumId w:val="13"/>
  </w:num>
  <w:num w:numId="14" w16cid:durableId="1665469634">
    <w:abstractNumId w:val="11"/>
  </w:num>
  <w:num w:numId="15" w16cid:durableId="252515395">
    <w:abstractNumId w:val="2"/>
  </w:num>
  <w:num w:numId="16" w16cid:durableId="204394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04152"/>
    <w:rsid w:val="000B5CCC"/>
    <w:rsid w:val="000B7121"/>
    <w:rsid w:val="000E2067"/>
    <w:rsid w:val="000F66E7"/>
    <w:rsid w:val="001948FB"/>
    <w:rsid w:val="00495A9A"/>
    <w:rsid w:val="004B1F2F"/>
    <w:rsid w:val="00513DFC"/>
    <w:rsid w:val="00515043"/>
    <w:rsid w:val="00552397"/>
    <w:rsid w:val="005D6752"/>
    <w:rsid w:val="006B3A37"/>
    <w:rsid w:val="00716EAD"/>
    <w:rsid w:val="00771D24"/>
    <w:rsid w:val="00875D05"/>
    <w:rsid w:val="008C082A"/>
    <w:rsid w:val="00937448"/>
    <w:rsid w:val="009C3994"/>
    <w:rsid w:val="009D5301"/>
    <w:rsid w:val="009F03C2"/>
    <w:rsid w:val="00A64215"/>
    <w:rsid w:val="00AC2192"/>
    <w:rsid w:val="00AE0B9F"/>
    <w:rsid w:val="00BD49BA"/>
    <w:rsid w:val="00C65142"/>
    <w:rsid w:val="00D04AB4"/>
    <w:rsid w:val="00DF5C4E"/>
    <w:rsid w:val="00E037C9"/>
    <w:rsid w:val="00E120A6"/>
    <w:rsid w:val="00E74BFB"/>
    <w:rsid w:val="00E916C6"/>
    <w:rsid w:val="00EA34C3"/>
    <w:rsid w:val="00FC4344"/>
    <w:rsid w:val="00FD106F"/>
    <w:rsid w:val="00FE45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921F95"/>
  <w15:chartTrackingRefBased/>
  <w15:docId w15:val="{080EB39A-FBD7-1E4D-BFA3-22DD9337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716EAD"/>
    <w:rPr>
      <w:sz w:val="22"/>
      <w:u w:val="none"/>
      <w:vertAlign w:val="superscript"/>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link w:val="HeaderChar"/>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Para1Char">
    <w:name w:val="Para1 Char"/>
    <w:basedOn w:val="DefaultParagraphFont"/>
    <w:link w:val="Para1"/>
    <w:rsid w:val="00CF24D1"/>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CF24D1"/>
    <w:rPr>
      <w:sz w:val="18"/>
      <w:szCs w:val="24"/>
      <w:lang w:val="en-GB" w:eastAsia="en-US" w:bidi="ar-SA"/>
    </w:rPr>
  </w:style>
  <w:style w:type="paragraph" w:customStyle="1" w:styleId="Recommendation">
    <w:name w:val="Recommendation"/>
    <w:basedOn w:val="Heading2multiline"/>
    <w:rsid w:val="00CF24D1"/>
    <w:pPr>
      <w:ind w:hanging="943"/>
    </w:pPr>
  </w:style>
  <w:style w:type="character" w:customStyle="1" w:styleId="CarCharChar">
    <w:name w:val=" Car Char Char"/>
    <w:basedOn w:val="DefaultParagraphFont"/>
    <w:rsid w:val="00FC4344"/>
    <w:rPr>
      <w:iCs/>
      <w:sz w:val="22"/>
      <w:szCs w:val="24"/>
      <w:lang w:val="en-GB" w:eastAsia="en-US" w:bidi="ar-SA"/>
    </w:rPr>
  </w:style>
  <w:style w:type="character" w:customStyle="1" w:styleId="FooterChar">
    <w:name w:val="Footer Char"/>
    <w:basedOn w:val="DefaultParagraphFont"/>
    <w:link w:val="Footer"/>
    <w:rsid w:val="00FC4344"/>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FC4344"/>
    <w:rPr>
      <w:sz w:val="18"/>
      <w:szCs w:val="24"/>
      <w:lang w:val="en-GB" w:eastAsia="en-US" w:bidi="ar-SA"/>
    </w:rPr>
  </w:style>
  <w:style w:type="character" w:customStyle="1" w:styleId="HeaderChar">
    <w:name w:val="Header Char"/>
    <w:basedOn w:val="DefaultParagraphFont"/>
    <w:link w:val="Header"/>
    <w:rsid w:val="00FC4344"/>
    <w:rPr>
      <w:sz w:val="22"/>
      <w:szCs w:val="24"/>
      <w:lang w:val="en-GB" w:eastAsia="en-US" w:bidi="ar-SA"/>
    </w:rPr>
  </w:style>
  <w:style w:type="paragraph" w:customStyle="1" w:styleId="Decheadmuliline">
    <w:name w:val="Dec_head muliline"/>
    <w:basedOn w:val="BodyText"/>
    <w:next w:val="BodyText"/>
    <w:rsid w:val="00FC4344"/>
    <w:pPr>
      <w:ind w:left="2127" w:hanging="1276"/>
    </w:pPr>
    <w:rPr>
      <w:b/>
      <w:i/>
    </w:rPr>
  </w:style>
  <w:style w:type="character" w:customStyle="1" w:styleId="StyleFootnoteReferenceComplex11ptComplexItalic1">
    <w:name w:val="Style Footnote Reference + (Complex) 11 pt (Complex) Italic1"/>
    <w:basedOn w:val="FootnoteReference"/>
    <w:rsid w:val="00FC4344"/>
    <w:rPr>
      <w:iCs/>
      <w:sz w:val="22"/>
      <w:szCs w:val="22"/>
      <w:u w:val="none"/>
      <w:vertAlign w:val="superscript"/>
    </w:rPr>
  </w:style>
  <w:style w:type="character" w:customStyle="1" w:styleId="StyleFootnoteReferenceComplex11ptComplexItalic">
    <w:name w:val="Style Footnote Reference + (Complex) 11 pt (Complex) Italic"/>
    <w:basedOn w:val="FootnoteReference"/>
    <w:rsid w:val="00716EAD"/>
    <w:rPr>
      <w:iCs/>
      <w:sz w:val="22"/>
      <w:szCs w:val="22"/>
      <w:u w:val="non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1</TotalTime>
  <Pages>3</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Decision</vt:lpstr>
    </vt:vector>
  </TitlesOfParts>
  <Company>CBD</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Examination of the outcome-oriented goals and targets and associated indicators and consideration of their possible adjustment for the period beyond 2010</dc:subject>
  <dc:creator>CBD</dc:creator>
  <cp:keywords/>
  <dc:description/>
  <cp:lastModifiedBy>Rodrigo Elias</cp:lastModifiedBy>
  <cp:revision>2</cp:revision>
  <cp:lastPrinted>2010-10-28T14:39:00Z</cp:lastPrinted>
  <dcterms:created xsi:type="dcterms:W3CDTF">2025-11-13T18:52:00Z</dcterms:created>
  <dcterms:modified xsi:type="dcterms:W3CDTF">2025-11-13T18:52:00Z</dcterms:modified>
</cp:coreProperties>
</file>