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87413E" w14:paraId="118CE251" w14:textId="77777777" w:rsidTr="0087413E">
        <w:tblPrEx>
          <w:tblCellMar>
            <w:top w:w="0" w:type="dxa"/>
            <w:bottom w:w="0" w:type="dxa"/>
          </w:tblCellMar>
        </w:tblPrEx>
        <w:trPr>
          <w:gridAfter w:val="1"/>
          <w:wAfter w:w="250" w:type="dxa"/>
        </w:trPr>
        <w:tc>
          <w:tcPr>
            <w:tcW w:w="1366" w:type="dxa"/>
            <w:tcBorders>
              <w:top w:val="nil"/>
              <w:bottom w:val="single" w:sz="12" w:space="0" w:color="000000"/>
            </w:tcBorders>
          </w:tcPr>
          <w:p w14:paraId="04D89C6A" w14:textId="77777777" w:rsidR="0087413E" w:rsidRDefault="00010831" w:rsidP="00BB2691">
            <w:pPr>
              <w:pStyle w:val="BodyText2"/>
            </w:pPr>
            <w:r>
              <w:rPr>
                <w:noProof/>
              </w:rPr>
              <w:drawing>
                <wp:inline distT="0" distB="0" distL="0" distR="0" wp14:anchorId="0AC40A6E" wp14:editId="46596936">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04F54CA1" w14:textId="77777777" w:rsidR="0087413E" w:rsidRDefault="00010831" w:rsidP="00BB2691">
            <w:r>
              <w:rPr>
                <w:b/>
                <w:noProof/>
              </w:rPr>
              <w:drawing>
                <wp:inline distT="0" distB="0" distL="0" distR="0" wp14:anchorId="701EFA6D" wp14:editId="63EAEB80">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51895FDB" w14:textId="77777777" w:rsidR="0087413E" w:rsidRDefault="0087413E" w:rsidP="00BB2691">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1E2F2436" w14:textId="77777777" w:rsidR="0087413E" w:rsidRDefault="0087413E" w:rsidP="00BB2691">
            <w:pPr>
              <w:jc w:val="right"/>
              <w:rPr>
                <w:b/>
                <w:sz w:val="28"/>
              </w:rPr>
            </w:pPr>
          </w:p>
        </w:tc>
      </w:tr>
      <w:tr w:rsidR="0087413E" w14:paraId="59BB0FE2" w14:textId="77777777" w:rsidTr="0087413E">
        <w:tblPrEx>
          <w:tblCellMar>
            <w:top w:w="0" w:type="dxa"/>
            <w:bottom w:w="0" w:type="dxa"/>
          </w:tblCellMar>
        </w:tblPrEx>
        <w:trPr>
          <w:trHeight w:val="1693"/>
        </w:trPr>
        <w:tc>
          <w:tcPr>
            <w:tcW w:w="5230" w:type="dxa"/>
            <w:gridSpan w:val="3"/>
            <w:tcBorders>
              <w:top w:val="nil"/>
              <w:bottom w:val="single" w:sz="36" w:space="0" w:color="000000"/>
            </w:tcBorders>
          </w:tcPr>
          <w:p w14:paraId="64D307D4" w14:textId="77777777" w:rsidR="0087413E" w:rsidRDefault="0087413E" w:rsidP="00BB2691"/>
          <w:p w14:paraId="0EE03805" w14:textId="77777777" w:rsidR="0087413E" w:rsidRPr="00A36C97" w:rsidRDefault="00010831" w:rsidP="00BB2691">
            <w:r w:rsidRPr="00A36C97">
              <w:rPr>
                <w:noProof/>
              </w:rPr>
              <w:drawing>
                <wp:inline distT="0" distB="0" distL="0" distR="0" wp14:anchorId="38002724" wp14:editId="78EA5BFA">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AD1CFCA" w14:textId="77777777" w:rsidR="0087413E" w:rsidRDefault="0087413E" w:rsidP="00BB2691">
            <w:pPr>
              <w:rPr>
                <w:rFonts w:ascii="Univers" w:hAnsi="Univers"/>
                <w:sz w:val="32"/>
              </w:rPr>
            </w:pPr>
          </w:p>
        </w:tc>
        <w:tc>
          <w:tcPr>
            <w:tcW w:w="1540" w:type="dxa"/>
            <w:tcBorders>
              <w:top w:val="nil"/>
              <w:bottom w:val="single" w:sz="36" w:space="0" w:color="000000"/>
            </w:tcBorders>
          </w:tcPr>
          <w:p w14:paraId="6E1D4628" w14:textId="77777777" w:rsidR="0087413E" w:rsidRDefault="0087413E" w:rsidP="00BB2691">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74195B33" w14:textId="77777777" w:rsidR="0087413E" w:rsidRDefault="0087413E" w:rsidP="0087413E">
            <w:pPr>
              <w:ind w:left="682"/>
            </w:pPr>
            <w:r>
              <w:t>Distr.</w:t>
            </w:r>
          </w:p>
          <w:p w14:paraId="0BCC984F" w14:textId="77777777" w:rsidR="0087413E" w:rsidRDefault="002641E2" w:rsidP="0087413E">
            <w:pPr>
              <w:ind w:left="682"/>
            </w:pPr>
            <w:r>
              <w:t>GENERAL</w:t>
            </w:r>
          </w:p>
          <w:p w14:paraId="42FBCE04" w14:textId="77777777" w:rsidR="0087413E" w:rsidRDefault="0087413E" w:rsidP="0087413E">
            <w:pPr>
              <w:ind w:left="682"/>
            </w:pPr>
          </w:p>
          <w:p w14:paraId="511B3596" w14:textId="77777777" w:rsidR="0087413E" w:rsidRDefault="002641E2" w:rsidP="0087413E">
            <w:pPr>
              <w:ind w:left="682"/>
            </w:pPr>
            <w:r>
              <w:t>UNEP/CBD/COP/DEC/X/9</w:t>
            </w:r>
          </w:p>
          <w:p w14:paraId="1BE395EF" w14:textId="77777777" w:rsidR="0087413E" w:rsidRDefault="0087413E" w:rsidP="0087413E">
            <w:pPr>
              <w:ind w:left="682"/>
            </w:pPr>
            <w:r>
              <w:t>29 October 2010</w:t>
            </w:r>
          </w:p>
          <w:p w14:paraId="04FBAE85" w14:textId="77777777" w:rsidR="0087413E" w:rsidRDefault="0087413E" w:rsidP="0087413E">
            <w:pPr>
              <w:ind w:left="682"/>
            </w:pPr>
          </w:p>
          <w:p w14:paraId="4662DCBD" w14:textId="77777777" w:rsidR="0087413E" w:rsidRDefault="0087413E" w:rsidP="0087413E">
            <w:pPr>
              <w:ind w:left="682"/>
              <w:rPr>
                <w:b/>
                <w:bCs/>
                <w:color w:val="FF0000"/>
                <w:sz w:val="40"/>
                <w:u w:val="single"/>
              </w:rPr>
            </w:pPr>
            <w:r>
              <w:t>ORIGINAL:  ENGLISH</w:t>
            </w:r>
          </w:p>
        </w:tc>
      </w:tr>
    </w:tbl>
    <w:p w14:paraId="785D270B" w14:textId="77777777" w:rsidR="0087413E" w:rsidRDefault="0087413E" w:rsidP="0087413E">
      <w:pPr>
        <w:pStyle w:val="Cornernotation"/>
        <w:ind w:right="4630"/>
      </w:pPr>
      <w:r>
        <w:rPr>
          <w:szCs w:val="22"/>
        </w:rPr>
        <w:t>CONFERENCE OF THE PARTIES TO THE</w:t>
      </w:r>
      <w:r w:rsidRPr="00B33484">
        <w:rPr>
          <w:szCs w:val="22"/>
        </w:rPr>
        <w:t xml:space="preserve"> CONVENTION ON BIOLOGICAL DIVERSITY</w:t>
      </w:r>
    </w:p>
    <w:p w14:paraId="28AFB7F3" w14:textId="77777777" w:rsidR="0087413E" w:rsidRDefault="0087413E" w:rsidP="0087413E">
      <w:pPr>
        <w:pStyle w:val="Cornernotation"/>
      </w:pPr>
      <w:r>
        <w:t>Tenth meeting</w:t>
      </w:r>
    </w:p>
    <w:p w14:paraId="7830AEC7" w14:textId="77777777" w:rsidR="0087413E" w:rsidRDefault="0087413E" w:rsidP="0087413E">
      <w:pPr>
        <w:pStyle w:val="Cornernotation"/>
      </w:pPr>
      <w:r>
        <w:t>Nagoya, Japan, 18-29 October 2010</w:t>
      </w:r>
    </w:p>
    <w:p w14:paraId="7EAE0FC3" w14:textId="77777777" w:rsidR="0095026D" w:rsidRDefault="0069760C" w:rsidP="0069760C">
      <w:pPr>
        <w:pStyle w:val="Para1"/>
        <w:numPr>
          <w:ilvl w:val="0"/>
          <w:numId w:val="0"/>
        </w:numPr>
        <w:jc w:val="left"/>
        <w:sectPr w:rsidR="0095026D" w:rsidSect="0087413E">
          <w:headerReference w:type="even" r:id="rId10"/>
          <w:footerReference w:type="even" r:id="rId11"/>
          <w:footerReference w:type="default" r:id="rId12"/>
          <w:footerReference w:type="first" r:id="rId13"/>
          <w:pgSz w:w="12240" w:h="15840" w:code="1"/>
          <w:pgMar w:top="288" w:right="1440" w:bottom="1138" w:left="1440" w:header="0" w:footer="720" w:gutter="0"/>
          <w:cols w:space="720"/>
          <w:docGrid w:linePitch="360"/>
        </w:sectPr>
      </w:pPr>
      <w:r>
        <w:t xml:space="preserve">Agenda item </w:t>
      </w:r>
      <w:r w:rsidR="00DF6F85">
        <w:t>4.3</w:t>
      </w:r>
      <w:r w:rsidR="003D72FC">
        <w:t xml:space="preserve"> (a)</w:t>
      </w:r>
    </w:p>
    <w:p w14:paraId="769F9543" w14:textId="77777777" w:rsidR="002641E2" w:rsidRDefault="002641E2" w:rsidP="002641E2">
      <w:pPr>
        <w:pStyle w:val="Heading1"/>
      </w:pPr>
      <w:bookmarkStart w:id="0" w:name="_Toc278461450"/>
      <w:r>
        <w:t>DECISION ADOPTED BY THE CONFERENCE OF THE PARTIES TO THE CONVENTION ON BIOLOGICAL DIVERSITY AT ITS TENTH MEETING</w:t>
      </w:r>
    </w:p>
    <w:p w14:paraId="632E1B0E" w14:textId="77777777" w:rsidR="002641E2" w:rsidRPr="00517A3B" w:rsidRDefault="002641E2" w:rsidP="002641E2">
      <w:pPr>
        <w:pStyle w:val="Decheadmuliline"/>
      </w:pPr>
      <w:r w:rsidRPr="00517A3B">
        <w:rPr>
          <w:lang w:eastAsia="en-CA"/>
        </w:rPr>
        <w:t>X/9.</w:t>
      </w:r>
      <w:r w:rsidRPr="00517A3B">
        <w:rPr>
          <w:lang w:eastAsia="en-CA"/>
        </w:rPr>
        <w:tab/>
      </w:r>
      <w:r w:rsidRPr="00517A3B">
        <w:t xml:space="preserve">The multi-year programme of work for the Conference of the Parties for the period 2011-2020 and periodicity of meetings </w:t>
      </w:r>
      <w:bookmarkEnd w:id="0"/>
    </w:p>
    <w:p w14:paraId="7AD0E1B1" w14:textId="77777777" w:rsidR="002641E2" w:rsidRPr="00517A3B" w:rsidRDefault="002641E2" w:rsidP="002641E2">
      <w:pPr>
        <w:pStyle w:val="Para1"/>
        <w:numPr>
          <w:ilvl w:val="0"/>
          <w:numId w:val="0"/>
        </w:numPr>
        <w:rPr>
          <w:rFonts w:ascii="Arial" w:hAnsi="Arial"/>
          <w:i/>
          <w:iCs/>
          <w:color w:val="000000"/>
          <w:sz w:val="20"/>
        </w:rPr>
      </w:pPr>
      <w:r w:rsidRPr="00517A3B">
        <w:tab/>
      </w:r>
      <w:r w:rsidRPr="00517A3B">
        <w:rPr>
          <w:i/>
          <w:iCs/>
        </w:rPr>
        <w:t>The Conference of the Parties,</w:t>
      </w:r>
    </w:p>
    <w:p w14:paraId="3A6F3BF0" w14:textId="77777777" w:rsidR="002641E2" w:rsidRPr="00517A3B" w:rsidRDefault="002641E2" w:rsidP="002641E2">
      <w:pPr>
        <w:pStyle w:val="Para1"/>
        <w:numPr>
          <w:ilvl w:val="0"/>
          <w:numId w:val="0"/>
        </w:numPr>
        <w:ind w:firstLine="720"/>
      </w:pPr>
      <w:r w:rsidRPr="00517A3B">
        <w:rPr>
          <w:i/>
        </w:rPr>
        <w:t>Taking into account</w:t>
      </w:r>
      <w:r w:rsidRPr="00517A3B">
        <w:t xml:space="preserve"> the priorities defined in the Strategic Plan </w:t>
      </w:r>
      <w:r w:rsidRPr="00517A3B">
        <w:rPr>
          <w:iCs/>
          <w:szCs w:val="22"/>
        </w:rPr>
        <w:t>for Biodiversity 2011-2020</w:t>
      </w:r>
      <w:r w:rsidRPr="00517A3B">
        <w:t xml:space="preserve">, </w:t>
      </w:r>
    </w:p>
    <w:p w14:paraId="585B2A99" w14:textId="77777777" w:rsidR="002641E2" w:rsidRPr="00517A3B" w:rsidRDefault="002641E2" w:rsidP="002641E2">
      <w:pPr>
        <w:pStyle w:val="Para1"/>
        <w:numPr>
          <w:ilvl w:val="0"/>
          <w:numId w:val="0"/>
        </w:numPr>
        <w:ind w:firstLine="720"/>
      </w:pPr>
      <w:r w:rsidRPr="00517A3B">
        <w:rPr>
          <w:i/>
        </w:rPr>
        <w:t>Adopts</w:t>
      </w:r>
      <w:r w:rsidRPr="00517A3B">
        <w:t xml:space="preserve"> the following multi-year programme of work for the Conference of the Parties: </w:t>
      </w:r>
    </w:p>
    <w:p w14:paraId="3C7E0334" w14:textId="77777777" w:rsidR="002641E2" w:rsidRPr="00517A3B" w:rsidRDefault="002641E2" w:rsidP="002641E2">
      <w:pPr>
        <w:pStyle w:val="Para1"/>
        <w:numPr>
          <w:ilvl w:val="0"/>
          <w:numId w:val="0"/>
        </w:numPr>
        <w:ind w:firstLine="720"/>
      </w:pPr>
      <w:r w:rsidRPr="00517A3B">
        <w:t>(a)</w:t>
      </w:r>
      <w:r w:rsidRPr="00517A3B">
        <w:tab/>
        <w:t xml:space="preserve">The eleventh meeting of the Conference of the Parties will take place in 2012 and address, </w:t>
      </w:r>
      <w:r w:rsidRPr="00517A3B">
        <w:rPr>
          <w:i/>
        </w:rPr>
        <w:t>inter alia,</w:t>
      </w:r>
      <w:r w:rsidRPr="00517A3B">
        <w:t xml:space="preserve"> the following issues: </w:t>
      </w:r>
    </w:p>
    <w:p w14:paraId="494DB0A4" w14:textId="77777777" w:rsidR="002641E2" w:rsidRPr="00517A3B" w:rsidRDefault="002641E2" w:rsidP="002641E2">
      <w:pPr>
        <w:pStyle w:val="Para1"/>
        <w:numPr>
          <w:ilvl w:val="0"/>
          <w:numId w:val="0"/>
        </w:numPr>
        <w:ind w:left="2127" w:hanging="709"/>
      </w:pPr>
      <w:r w:rsidRPr="00517A3B">
        <w:t>(i)</w:t>
      </w:r>
      <w:r w:rsidRPr="00517A3B">
        <w:tab/>
        <w:t xml:space="preserve">A review of progress by Parties in the implementation of the Strategic Plan </w:t>
      </w:r>
      <w:r w:rsidRPr="00517A3B">
        <w:rPr>
          <w:iCs/>
          <w:szCs w:val="22"/>
        </w:rPr>
        <w:t xml:space="preserve">for Biodiversity 2011-2020, </w:t>
      </w:r>
      <w:r w:rsidRPr="00517A3B">
        <w:t xml:space="preserve">its corresponding goals and the Aichi Biodiversity Targets, including experience in setting or adapting national targets and the corresponding updating of national biodiversity strategies and action plans; </w:t>
      </w:r>
    </w:p>
    <w:p w14:paraId="447E59BF" w14:textId="77777777" w:rsidR="002641E2" w:rsidRPr="00517A3B" w:rsidRDefault="002641E2" w:rsidP="002641E2">
      <w:pPr>
        <w:pStyle w:val="Para1"/>
        <w:numPr>
          <w:ilvl w:val="0"/>
          <w:numId w:val="0"/>
        </w:numPr>
        <w:ind w:left="2127" w:hanging="709"/>
      </w:pPr>
      <w:r w:rsidRPr="00517A3B">
        <w:t>(ii)</w:t>
      </w:r>
      <w:r w:rsidRPr="00517A3B">
        <w:tab/>
        <w:t>A review of progress in providing support to assist Parties, especially developing countries, in particular the least developed countries and the small island developing States, as well as countries with economies in transition,</w:t>
      </w:r>
      <w:r w:rsidRPr="00517A3B" w:rsidDel="00C2665D">
        <w:t xml:space="preserve"> </w:t>
      </w:r>
      <w:r w:rsidRPr="00517A3B">
        <w:t xml:space="preserve">in implementing the Convention and the Strategic Plan </w:t>
      </w:r>
      <w:r w:rsidRPr="00517A3B">
        <w:rPr>
          <w:iCs/>
          <w:szCs w:val="22"/>
        </w:rPr>
        <w:t>for Biodiversity 2011-2020</w:t>
      </w:r>
      <w:r w:rsidRPr="00517A3B">
        <w:t xml:space="preserve">, including, </w:t>
      </w:r>
      <w:r w:rsidRPr="00517A3B">
        <w:rPr>
          <w:i/>
          <w:iCs/>
        </w:rPr>
        <w:t>inter alia</w:t>
      </w:r>
      <w:r w:rsidRPr="00517A3B">
        <w:t>, resource mobilization, capacity</w:t>
      </w:r>
      <w:r w:rsidRPr="00517A3B">
        <w:noBreakHyphen/>
        <w:t>building, stakeholder engagement, communication, education and public awareness and strengthening of the clearing</w:t>
      </w:r>
      <w:r w:rsidRPr="00517A3B">
        <w:noBreakHyphen/>
        <w:t>house mechanism;</w:t>
      </w:r>
    </w:p>
    <w:p w14:paraId="3E45C9E1" w14:textId="77777777" w:rsidR="002641E2" w:rsidRPr="00517A3B" w:rsidRDefault="002641E2" w:rsidP="002641E2">
      <w:pPr>
        <w:pStyle w:val="Para1"/>
        <w:numPr>
          <w:ilvl w:val="0"/>
          <w:numId w:val="0"/>
        </w:numPr>
        <w:ind w:left="2127" w:hanging="709"/>
      </w:pPr>
      <w:r w:rsidRPr="00517A3B">
        <w:t>(iii)</w:t>
      </w:r>
      <w:r w:rsidRPr="00517A3B">
        <w:tab/>
        <w:t xml:space="preserve">The further development of tools and guidance for monitoring implementation of the Strategic Plan </w:t>
      </w:r>
      <w:r w:rsidRPr="00517A3B">
        <w:rPr>
          <w:iCs/>
          <w:szCs w:val="22"/>
        </w:rPr>
        <w:t>for Biodiversity 2011-2020</w:t>
      </w:r>
      <w:r w:rsidRPr="00517A3B">
        <w:t>, including the use of indicators and milestones at national, regional and global levels;</w:t>
      </w:r>
    </w:p>
    <w:p w14:paraId="165EA03F" w14:textId="77777777" w:rsidR="002641E2" w:rsidRPr="00517A3B" w:rsidRDefault="002641E2" w:rsidP="002641E2">
      <w:pPr>
        <w:pStyle w:val="Para1"/>
        <w:numPr>
          <w:ilvl w:val="0"/>
          <w:numId w:val="0"/>
        </w:numPr>
        <w:ind w:left="2127" w:hanging="709"/>
      </w:pPr>
      <w:r w:rsidRPr="00517A3B">
        <w:t>(iv)</w:t>
      </w:r>
      <w:r w:rsidRPr="00517A3B">
        <w:tab/>
        <w:t>A review of the implementation of the strategy for resource mobilization in support of the achievement of the three objectives of the Convention,</w:t>
      </w:r>
      <w:r w:rsidRPr="00517A3B">
        <w:rPr>
          <w:rStyle w:val="FootnoteReference"/>
        </w:rPr>
        <w:footnoteReference w:id="1"/>
      </w:r>
      <w:r w:rsidRPr="00517A3B">
        <w:t xml:space="preserve"> focusing on goals 2, 5, 6, 7 and 8;</w:t>
      </w:r>
    </w:p>
    <w:p w14:paraId="47364CC1" w14:textId="77777777" w:rsidR="002641E2" w:rsidRPr="00517A3B" w:rsidRDefault="002641E2" w:rsidP="002641E2">
      <w:pPr>
        <w:pStyle w:val="Para1"/>
        <w:numPr>
          <w:ilvl w:val="0"/>
          <w:numId w:val="14"/>
        </w:numPr>
      </w:pPr>
      <w:r w:rsidRPr="00517A3B">
        <w:t xml:space="preserve">Cooperation among international biodiversity-related organizations taking into account, </w:t>
      </w:r>
      <w:r w:rsidRPr="00517A3B">
        <w:rPr>
          <w:i/>
          <w:iCs/>
        </w:rPr>
        <w:t>inter alia</w:t>
      </w:r>
      <w:r w:rsidRPr="00517A3B">
        <w:t xml:space="preserve">, proposals for: a United Nations Decade on Biodiversity; </w:t>
      </w:r>
      <w:r w:rsidRPr="00517A3B">
        <w:lastRenderedPageBreak/>
        <w:t xml:space="preserve">possible options for cooperation among the Rio conventions, including the preparation of possible joint activities; </w:t>
      </w:r>
    </w:p>
    <w:p w14:paraId="092B66FA" w14:textId="77777777" w:rsidR="002641E2" w:rsidRPr="00517A3B" w:rsidRDefault="002641E2" w:rsidP="002641E2">
      <w:pPr>
        <w:pStyle w:val="Para1"/>
        <w:numPr>
          <w:ilvl w:val="0"/>
          <w:numId w:val="0"/>
        </w:numPr>
        <w:ind w:left="2127" w:hanging="709"/>
      </w:pPr>
      <w:r w:rsidRPr="00517A3B">
        <w:t>(vi)</w:t>
      </w:r>
      <w:r w:rsidRPr="00517A3B">
        <w:tab/>
        <w:t>The need for and possible development of additional mechanisms, ways and means, to enhance existing mechanisms such as the Subsidiary Body on Scientific, Technical and Technological Advice and the Ad Hoc Open-ended Working Group on the Review of Implementation of the Convention, to strengthen the ability of Parties to meet their commitments under the Convention;</w:t>
      </w:r>
    </w:p>
    <w:p w14:paraId="611A36A5" w14:textId="77777777" w:rsidR="002641E2" w:rsidRPr="00517A3B" w:rsidRDefault="002641E2" w:rsidP="002641E2">
      <w:pPr>
        <w:pStyle w:val="Para1"/>
        <w:numPr>
          <w:ilvl w:val="0"/>
          <w:numId w:val="0"/>
        </w:numPr>
        <w:ind w:left="2127" w:hanging="709"/>
      </w:pPr>
      <w:r w:rsidRPr="00517A3B">
        <w:t>(vii)</w:t>
      </w:r>
      <w:r w:rsidRPr="00517A3B">
        <w:tab/>
        <w:t>The implications of the possible establishment of an intergovernmental science- policy platform on biodiversity and ecosystem services on the work of the Subsidiary Body on Scientific, Technical and Technological Advice;</w:t>
      </w:r>
    </w:p>
    <w:p w14:paraId="45AF5020" w14:textId="77777777" w:rsidR="002641E2" w:rsidRPr="00517A3B" w:rsidRDefault="002641E2" w:rsidP="002641E2">
      <w:pPr>
        <w:pStyle w:val="Para1"/>
        <w:numPr>
          <w:ilvl w:val="0"/>
          <w:numId w:val="0"/>
        </w:numPr>
        <w:ind w:left="2127" w:hanging="709"/>
      </w:pPr>
      <w:r w:rsidRPr="00517A3B">
        <w:t>(viii)</w:t>
      </w:r>
      <w:r w:rsidRPr="00517A3B">
        <w:tab/>
        <w:t>The in-depth review of the programme of work on island biodiversity;</w:t>
      </w:r>
    </w:p>
    <w:p w14:paraId="71A1C2F3" w14:textId="77777777" w:rsidR="002641E2" w:rsidRPr="00517A3B" w:rsidRDefault="002641E2" w:rsidP="002641E2">
      <w:pPr>
        <w:pStyle w:val="Para1"/>
        <w:numPr>
          <w:ilvl w:val="0"/>
          <w:numId w:val="15"/>
        </w:numPr>
        <w:tabs>
          <w:tab w:val="clear" w:pos="720"/>
        </w:tabs>
        <w:spacing w:before="120"/>
      </w:pPr>
      <w:r w:rsidRPr="00517A3B">
        <w:t>The identification of ways and means to support ecosystem restoration, including the possible development of practical guidance on ecosystem restoration and related issues;</w:t>
      </w:r>
    </w:p>
    <w:p w14:paraId="65C0D09F" w14:textId="77777777" w:rsidR="002641E2" w:rsidRPr="00517A3B" w:rsidRDefault="002641E2" w:rsidP="002641E2">
      <w:pPr>
        <w:pStyle w:val="Para1"/>
        <w:numPr>
          <w:ilvl w:val="0"/>
          <w:numId w:val="15"/>
        </w:numPr>
        <w:tabs>
          <w:tab w:val="clear" w:pos="720"/>
        </w:tabs>
        <w:spacing w:before="120"/>
      </w:pPr>
      <w:r w:rsidRPr="00517A3B">
        <w:t>Review the status and implementation of the Nagoya Protocol on Access to Genetic Resources and the Fair and Equitable Sharing of Benefits Arising from their Utilization</w:t>
      </w:r>
      <w:r w:rsidR="00EC62A0">
        <w:t>;</w:t>
      </w:r>
      <w:r w:rsidRPr="00EC62A0">
        <w:rPr>
          <w:rStyle w:val="FootnoteReference"/>
          <w:sz w:val="22"/>
          <w:szCs w:val="22"/>
          <w:u w:val="none"/>
          <w:vertAlign w:val="superscript"/>
        </w:rPr>
        <w:footnoteReference w:id="2"/>
      </w:r>
    </w:p>
    <w:p w14:paraId="311056A1" w14:textId="77777777" w:rsidR="002641E2" w:rsidRPr="00517A3B" w:rsidRDefault="002641E2" w:rsidP="002641E2">
      <w:pPr>
        <w:pStyle w:val="Para1"/>
        <w:numPr>
          <w:ilvl w:val="0"/>
          <w:numId w:val="15"/>
        </w:numPr>
      </w:pPr>
      <w:r w:rsidRPr="00517A3B">
        <w:t>Other matters arising from the recommendations of the Subsidiary Body on Scientific, Technical and Technological Advice</w:t>
      </w:r>
      <w:r w:rsidRPr="00517A3B" w:rsidDel="00CA3526">
        <w:t xml:space="preserve"> </w:t>
      </w:r>
      <w:r w:rsidRPr="00517A3B">
        <w:t>and the Ad Hoc Open-ended Working Group on Review of Implementation of the Convention and the Ad Hoc Open</w:t>
      </w:r>
      <w:r w:rsidRPr="00517A3B">
        <w:noBreakHyphen/>
        <w:t>ended Working Group on Article 8(j) and Related Provisions, including technical issues arising from the implementation of the programmes of work and cross-cutting issues;</w:t>
      </w:r>
    </w:p>
    <w:p w14:paraId="5AD8236C" w14:textId="77777777" w:rsidR="002641E2" w:rsidRPr="00517A3B" w:rsidRDefault="002641E2" w:rsidP="002641E2">
      <w:pPr>
        <w:pStyle w:val="Para1"/>
        <w:numPr>
          <w:ilvl w:val="0"/>
          <w:numId w:val="0"/>
        </w:numPr>
        <w:ind w:firstLine="720"/>
      </w:pPr>
      <w:r w:rsidRPr="00517A3B" w:rsidDel="00D66BF7">
        <w:t xml:space="preserve"> </w:t>
      </w:r>
      <w:r w:rsidRPr="00517A3B">
        <w:t>(b)</w:t>
      </w:r>
      <w:r w:rsidRPr="00517A3B">
        <w:tab/>
        <w:t xml:space="preserve">The twelfth meeting of the Conference of the Parties in 2014 or early 2015 could address, </w:t>
      </w:r>
      <w:r w:rsidRPr="00517A3B">
        <w:rPr>
          <w:i/>
        </w:rPr>
        <w:t>inter alia</w:t>
      </w:r>
      <w:r w:rsidRPr="00517A3B">
        <w:t>, the following issues:</w:t>
      </w:r>
    </w:p>
    <w:p w14:paraId="30D3C445" w14:textId="77777777" w:rsidR="002641E2" w:rsidRPr="00517A3B" w:rsidRDefault="002641E2" w:rsidP="002641E2">
      <w:pPr>
        <w:pStyle w:val="Para1"/>
        <w:numPr>
          <w:ilvl w:val="0"/>
          <w:numId w:val="0"/>
        </w:numPr>
        <w:ind w:left="2127" w:hanging="709"/>
      </w:pPr>
      <w:r w:rsidRPr="00517A3B">
        <w:t>(i)</w:t>
      </w:r>
      <w:r w:rsidRPr="00517A3B">
        <w:tab/>
        <w:t>A review of the updated national biodiversity strategies and action plans;</w:t>
      </w:r>
      <w:r w:rsidRPr="00517A3B" w:rsidDel="00F17B09">
        <w:t xml:space="preserve"> </w:t>
      </w:r>
    </w:p>
    <w:p w14:paraId="471D6355" w14:textId="77777777" w:rsidR="002641E2" w:rsidRPr="00517A3B" w:rsidRDefault="002641E2" w:rsidP="002641E2">
      <w:pPr>
        <w:pStyle w:val="Para1"/>
        <w:numPr>
          <w:ilvl w:val="0"/>
          <w:numId w:val="0"/>
        </w:numPr>
        <w:ind w:left="2127" w:hanging="709"/>
      </w:pPr>
      <w:r w:rsidRPr="00517A3B">
        <w:t>(ii)</w:t>
      </w:r>
      <w:r w:rsidRPr="00517A3B">
        <w:tab/>
        <w:t xml:space="preserve">A mid-term review of the implementation of the Strategic Plan </w:t>
      </w:r>
      <w:r w:rsidRPr="00517A3B">
        <w:rPr>
          <w:iCs/>
          <w:szCs w:val="22"/>
        </w:rPr>
        <w:t>for Biodiversity 2011-2020</w:t>
      </w:r>
      <w:r w:rsidRPr="00517A3B">
        <w:t xml:space="preserve">, including the programmes of work and progress towards the Aichi Biodiversity Targets and specific elements of the programmes of work, as well as contributions to the achievement of relevant 2015 targets of the Millennium Development Goals based, </w:t>
      </w:r>
      <w:r w:rsidRPr="00517A3B">
        <w:rPr>
          <w:i/>
        </w:rPr>
        <w:t>inter alia,</w:t>
      </w:r>
      <w:r w:rsidRPr="00517A3B">
        <w:t xml:space="preserve"> on the fifth national reports, and the fourth edition of the Global Biodiversity Outlook;</w:t>
      </w:r>
    </w:p>
    <w:p w14:paraId="4D788CAB" w14:textId="77777777" w:rsidR="002641E2" w:rsidRPr="00517A3B" w:rsidRDefault="002641E2" w:rsidP="002641E2">
      <w:pPr>
        <w:pStyle w:val="Para1"/>
        <w:numPr>
          <w:ilvl w:val="0"/>
          <w:numId w:val="0"/>
        </w:numPr>
        <w:ind w:left="2127" w:hanging="709"/>
      </w:pPr>
      <w:r w:rsidRPr="00517A3B">
        <w:t>(iii)</w:t>
      </w:r>
      <w:r w:rsidRPr="00517A3B">
        <w:tab/>
        <w:t xml:space="preserve">A comprehensive review of implementation of its strategy for resource mobilization, including its targets and indicators; </w:t>
      </w:r>
    </w:p>
    <w:p w14:paraId="24B95F54" w14:textId="77777777" w:rsidR="002641E2" w:rsidRPr="00517A3B" w:rsidRDefault="002641E2" w:rsidP="002641E2">
      <w:pPr>
        <w:pStyle w:val="Para1"/>
        <w:numPr>
          <w:ilvl w:val="0"/>
          <w:numId w:val="0"/>
        </w:numPr>
        <w:ind w:left="2127" w:hanging="709"/>
      </w:pPr>
      <w:r w:rsidRPr="00517A3B">
        <w:t>(iv)</w:t>
      </w:r>
      <w:r w:rsidRPr="00517A3B">
        <w:tab/>
        <w:t xml:space="preserve">A review of progress in providing support to developing countries, in particular the least developed countries and the small island developing States, as well as countries with economies in transition, pursuant to Article 20, paragraph 2, of the Convention, in implementing the objectives of the Convention and its Strategic Plan </w:t>
      </w:r>
      <w:r w:rsidRPr="00517A3B">
        <w:rPr>
          <w:iCs/>
          <w:szCs w:val="22"/>
        </w:rPr>
        <w:t>for Biodiversity 2011-2020</w:t>
      </w:r>
      <w:r w:rsidRPr="00517A3B">
        <w:t>, including capacity</w:t>
      </w:r>
      <w:r w:rsidRPr="00517A3B">
        <w:noBreakHyphen/>
        <w:t>building and strengthening of the clearing</w:t>
      </w:r>
      <w:r w:rsidRPr="00517A3B">
        <w:noBreakHyphen/>
        <w:t xml:space="preserve">house mechanism; </w:t>
      </w:r>
    </w:p>
    <w:p w14:paraId="768ADFDF" w14:textId="77777777" w:rsidR="002641E2" w:rsidRPr="00517A3B" w:rsidRDefault="002641E2" w:rsidP="002641E2">
      <w:pPr>
        <w:pStyle w:val="Para1"/>
        <w:numPr>
          <w:ilvl w:val="0"/>
          <w:numId w:val="0"/>
        </w:numPr>
        <w:ind w:left="2127" w:hanging="709"/>
        <w:sectPr w:rsidR="002641E2" w:rsidRPr="00517A3B" w:rsidSect="00F10010">
          <w:headerReference w:type="default" r:id="rId14"/>
          <w:footerReference w:type="default" r:id="rId15"/>
          <w:type w:val="continuous"/>
          <w:pgSz w:w="12240" w:h="15840" w:code="1"/>
          <w:pgMar w:top="1020" w:right="1440" w:bottom="1134" w:left="1440" w:header="454" w:footer="720" w:gutter="0"/>
          <w:pgNumType w:chapStyle="1"/>
          <w:cols w:space="720"/>
          <w:docGrid w:linePitch="360"/>
        </w:sectPr>
      </w:pPr>
    </w:p>
    <w:p w14:paraId="48BB5D5B" w14:textId="77777777" w:rsidR="002641E2" w:rsidRPr="00517A3B" w:rsidRDefault="002641E2" w:rsidP="002641E2">
      <w:pPr>
        <w:pStyle w:val="Para1"/>
        <w:numPr>
          <w:ilvl w:val="0"/>
          <w:numId w:val="0"/>
        </w:numPr>
        <w:ind w:left="2127" w:hanging="709"/>
      </w:pPr>
      <w:r w:rsidRPr="00517A3B">
        <w:lastRenderedPageBreak/>
        <w:t>(v)</w:t>
      </w:r>
      <w:r w:rsidRPr="00517A3B">
        <w:tab/>
        <w:t xml:space="preserve">The further development of tools and guidance to assist implementation of the Convention and the Strategic Plan </w:t>
      </w:r>
      <w:r w:rsidRPr="00517A3B">
        <w:rPr>
          <w:szCs w:val="22"/>
          <w:lang w:bidi="th-TH"/>
        </w:rPr>
        <w:t>for Biodiversity 2011-2020</w:t>
      </w:r>
      <w:r w:rsidRPr="00517A3B">
        <w:t>;</w:t>
      </w:r>
    </w:p>
    <w:p w14:paraId="56F942C0" w14:textId="77777777" w:rsidR="002641E2" w:rsidRPr="00517A3B" w:rsidRDefault="002641E2" w:rsidP="002641E2">
      <w:pPr>
        <w:pStyle w:val="Para1"/>
        <w:numPr>
          <w:ilvl w:val="0"/>
          <w:numId w:val="0"/>
        </w:numPr>
        <w:ind w:left="2127" w:hanging="709"/>
      </w:pPr>
      <w:r w:rsidRPr="00517A3B">
        <w:t>(vi)</w:t>
      </w:r>
      <w:r w:rsidRPr="00517A3B">
        <w:tab/>
        <w:t>Further consideration of how the implementation of the Convention has supported and has contributed to, and will continue to contribute to, the achievement of the Millennium Development Goals;</w:t>
      </w:r>
    </w:p>
    <w:p w14:paraId="33829FA9" w14:textId="77777777" w:rsidR="002641E2" w:rsidRPr="00517A3B" w:rsidRDefault="002641E2" w:rsidP="002641E2">
      <w:pPr>
        <w:pStyle w:val="Para1"/>
        <w:numPr>
          <w:ilvl w:val="0"/>
          <w:numId w:val="0"/>
        </w:numPr>
        <w:ind w:left="2127" w:hanging="709"/>
      </w:pPr>
      <w:r w:rsidRPr="00517A3B">
        <w:t>(vii)</w:t>
      </w:r>
      <w:r w:rsidRPr="00517A3B">
        <w:tab/>
        <w:t>Liability and redress (decision IX/23, paragraph 4);</w:t>
      </w:r>
    </w:p>
    <w:p w14:paraId="3533DD0E" w14:textId="77777777" w:rsidR="002641E2" w:rsidRPr="00517A3B" w:rsidRDefault="002641E2" w:rsidP="002641E2">
      <w:pPr>
        <w:pStyle w:val="Para1"/>
        <w:numPr>
          <w:ilvl w:val="0"/>
          <w:numId w:val="16"/>
        </w:numPr>
        <w:tabs>
          <w:tab w:val="clear" w:pos="720"/>
        </w:tabs>
        <w:spacing w:before="120"/>
        <w:ind w:hanging="709"/>
      </w:pPr>
      <w:r w:rsidRPr="00517A3B">
        <w:t xml:space="preserve">Review the status and implementation of the Nagoya Protocol on Access to Genetic Resources and </w:t>
      </w:r>
      <w:r>
        <w:t xml:space="preserve">the Fair and </w:t>
      </w:r>
      <w:r w:rsidRPr="00517A3B">
        <w:t>Equitable Sharing of Benefits Arising from their Utilization;</w:t>
      </w:r>
    </w:p>
    <w:p w14:paraId="21B42094" w14:textId="77777777" w:rsidR="002641E2" w:rsidRPr="00517A3B" w:rsidRDefault="002641E2" w:rsidP="002641E2">
      <w:pPr>
        <w:pStyle w:val="Para1"/>
        <w:numPr>
          <w:ilvl w:val="0"/>
          <w:numId w:val="0"/>
        </w:numPr>
        <w:ind w:left="2127" w:hanging="709"/>
      </w:pPr>
      <w:r w:rsidRPr="00517A3B">
        <w:t>(ix)</w:t>
      </w:r>
      <w:r w:rsidRPr="00517A3B">
        <w:tab/>
        <w:t>Other matters arising from the recommendations of the Subsidiary Body on Scientific, Technical and Technological Advice, the Ad Hoc Open-ended Working Group on Review of Implementation of the Convention and the Open</w:t>
      </w:r>
      <w:r w:rsidRPr="00517A3B">
        <w:noBreakHyphen/>
        <w:t>ended Ad Hoc Working Group on Article 8(j) and Related Provisions,</w:t>
      </w:r>
      <w:r w:rsidRPr="00517A3B">
        <w:rPr>
          <w:vertAlign w:val="superscript"/>
        </w:rPr>
        <w:t xml:space="preserve"> </w:t>
      </w:r>
      <w:r w:rsidRPr="00517A3B">
        <w:t xml:space="preserve">including technical issues arising from the implementation of the programmes of work and cross-cutting issues; </w:t>
      </w:r>
    </w:p>
    <w:p w14:paraId="165293FA" w14:textId="77777777" w:rsidR="002641E2" w:rsidRPr="00517A3B" w:rsidRDefault="002641E2" w:rsidP="002641E2">
      <w:pPr>
        <w:pStyle w:val="Para1"/>
        <w:numPr>
          <w:ilvl w:val="0"/>
          <w:numId w:val="0"/>
        </w:numPr>
        <w:ind w:left="2127" w:hanging="709"/>
      </w:pPr>
      <w:r w:rsidRPr="00517A3B">
        <w:t>(x)</w:t>
      </w:r>
      <w:r w:rsidRPr="00517A3B">
        <w:tab/>
        <w:t>Update of this multi-year programme of work to 2020;</w:t>
      </w:r>
    </w:p>
    <w:p w14:paraId="790398DC" w14:textId="77777777" w:rsidR="002641E2" w:rsidRPr="00517A3B" w:rsidRDefault="002641E2" w:rsidP="002641E2">
      <w:pPr>
        <w:pStyle w:val="Footer"/>
        <w:tabs>
          <w:tab w:val="clear" w:pos="4320"/>
          <w:tab w:val="clear" w:pos="8640"/>
        </w:tabs>
        <w:spacing w:before="240"/>
        <w:ind w:firstLine="706"/>
        <w:jc w:val="both"/>
      </w:pPr>
      <w:r w:rsidRPr="00517A3B">
        <w:rPr>
          <w:iCs/>
        </w:rPr>
        <w:t>(c)</w:t>
      </w:r>
      <w:r w:rsidRPr="00517A3B">
        <w:rPr>
          <w:i/>
          <w:iCs/>
        </w:rPr>
        <w:tab/>
      </w:r>
      <w:r w:rsidRPr="00517A3B">
        <w:rPr>
          <w:iCs/>
        </w:rPr>
        <w:t xml:space="preserve">The Conference of the Parties </w:t>
      </w:r>
      <w:r w:rsidRPr="00517A3B">
        <w:t>will keep under review the periodicity of its meetings beyond the twelfth meeting of the Conference of the Parties and will decide the timing of its meetings until 2020 at its eleventh meeting, taking into account:</w:t>
      </w:r>
    </w:p>
    <w:p w14:paraId="1A0C3539" w14:textId="77777777" w:rsidR="002641E2" w:rsidRPr="00517A3B" w:rsidRDefault="002641E2" w:rsidP="002641E2">
      <w:pPr>
        <w:numPr>
          <w:ilvl w:val="0"/>
          <w:numId w:val="13"/>
        </w:numPr>
        <w:spacing w:before="120" w:after="120"/>
        <w:ind w:hanging="720"/>
      </w:pPr>
      <w:r w:rsidRPr="00517A3B">
        <w:t xml:space="preserve">The Strategic Plan </w:t>
      </w:r>
      <w:r w:rsidRPr="00517A3B">
        <w:rPr>
          <w:szCs w:val="22"/>
          <w:lang w:bidi="th-TH"/>
        </w:rPr>
        <w:t xml:space="preserve">for Biodiversity 2011-2020 </w:t>
      </w:r>
      <w:r w:rsidRPr="00517A3B">
        <w:t>and the multi-year programme of work for the period 2011-2020, and other relevant meetings and processes;</w:t>
      </w:r>
    </w:p>
    <w:p w14:paraId="61628493" w14:textId="77777777" w:rsidR="002641E2" w:rsidRPr="00517A3B" w:rsidRDefault="002641E2" w:rsidP="002641E2">
      <w:pPr>
        <w:numPr>
          <w:ilvl w:val="0"/>
          <w:numId w:val="13"/>
        </w:numPr>
        <w:spacing w:before="120" w:after="120"/>
        <w:ind w:hanging="720"/>
      </w:pPr>
      <w:r w:rsidRPr="00517A3B">
        <w:t>The relationship between the periodicity of the meetings of the Conference of the Parties, and the operations of its subsidiary and other inter-sessional bodies, including the ad hoc open ended working groups;</w:t>
      </w:r>
    </w:p>
    <w:p w14:paraId="1B84F670" w14:textId="77777777" w:rsidR="002641E2" w:rsidRPr="00517A3B" w:rsidRDefault="002641E2" w:rsidP="002641E2">
      <w:pPr>
        <w:numPr>
          <w:ilvl w:val="0"/>
          <w:numId w:val="13"/>
        </w:numPr>
        <w:spacing w:before="120" w:after="120"/>
        <w:ind w:hanging="720"/>
      </w:pPr>
      <w:r w:rsidRPr="00517A3B">
        <w:t>That the periodicity of the meetings of the Conference of the Parties also has implications for the meetings of the protocols to the Convention on Biological Diversity and their decision</w:t>
      </w:r>
      <w:r w:rsidRPr="00517A3B">
        <w:noBreakHyphen/>
        <w:t>making processes;</w:t>
      </w:r>
    </w:p>
    <w:p w14:paraId="56EEE3E7" w14:textId="77777777" w:rsidR="002641E2" w:rsidRPr="00517A3B" w:rsidRDefault="002641E2" w:rsidP="002641E2">
      <w:pPr>
        <w:numPr>
          <w:ilvl w:val="0"/>
          <w:numId w:val="13"/>
        </w:numPr>
        <w:spacing w:before="120" w:after="120"/>
        <w:ind w:hanging="720"/>
      </w:pPr>
      <w:r w:rsidRPr="00517A3B">
        <w:t>That financial considerations, while relevant, should not be the predominant factor driving decisions related to the multi-year programme of work and periodicity of meetings of the Conference of the Parties and its subsidiary bodies;</w:t>
      </w:r>
    </w:p>
    <w:p w14:paraId="25A9FE1F" w14:textId="77777777" w:rsidR="002641E2" w:rsidRPr="00517A3B" w:rsidRDefault="002641E2" w:rsidP="002641E2">
      <w:pPr>
        <w:numPr>
          <w:ilvl w:val="0"/>
          <w:numId w:val="13"/>
        </w:numPr>
        <w:spacing w:before="120" w:after="120"/>
        <w:ind w:hanging="720"/>
      </w:pPr>
      <w:r w:rsidRPr="00517A3B">
        <w:t>The periodicity of national reports;</w:t>
      </w:r>
    </w:p>
    <w:p w14:paraId="05869FA4" w14:textId="77777777" w:rsidR="002641E2" w:rsidRPr="00517A3B" w:rsidRDefault="002641E2" w:rsidP="002641E2">
      <w:pPr>
        <w:pStyle w:val="Para1"/>
        <w:numPr>
          <w:ilvl w:val="0"/>
          <w:numId w:val="0"/>
        </w:numPr>
        <w:ind w:firstLine="709"/>
      </w:pPr>
      <w:r w:rsidRPr="00517A3B">
        <w:t>(d)</w:t>
      </w:r>
      <w:r w:rsidRPr="00517A3B">
        <w:tab/>
        <w:t>Two meetings of the Subsidiary Body on Scientific, Technical and Technological Advice will be held in each intersessional period between the tenth and eleventh and between the eleventh and twelfth meeting of the Conference of the Parties;</w:t>
      </w:r>
    </w:p>
    <w:p w14:paraId="18A708C8" w14:textId="77777777" w:rsidR="002641E2" w:rsidRPr="00517A3B" w:rsidRDefault="002641E2" w:rsidP="002641E2">
      <w:pPr>
        <w:pStyle w:val="Para1"/>
        <w:numPr>
          <w:ilvl w:val="0"/>
          <w:numId w:val="0"/>
        </w:numPr>
        <w:ind w:firstLine="709"/>
      </w:pPr>
      <w:r w:rsidRPr="00517A3B">
        <w:t>(e)</w:t>
      </w:r>
      <w:r w:rsidRPr="00517A3B">
        <w:tab/>
        <w:t xml:space="preserve">At its fourth meeting, the Ad Hoc Open-ended Working Group on Review of Implementation will prepare a message for submission to the 2012 United Nations Conference on Sustainable Development (“Rio+20”) on the role of biodiversity for sustainable development; </w:t>
      </w:r>
    </w:p>
    <w:p w14:paraId="5B08AEF4" w14:textId="77777777" w:rsidR="002641E2" w:rsidRPr="00517A3B" w:rsidRDefault="002641E2" w:rsidP="002641E2">
      <w:pPr>
        <w:pStyle w:val="Para1"/>
        <w:numPr>
          <w:ilvl w:val="0"/>
          <w:numId w:val="0"/>
        </w:numPr>
        <w:ind w:firstLine="709"/>
      </w:pPr>
      <w:r w:rsidRPr="00517A3B">
        <w:t>(f)</w:t>
      </w:r>
      <w:r w:rsidRPr="00517A3B">
        <w:tab/>
        <w:t xml:space="preserve">At its meeting in 2020, the Conference of the Parties will conduct a review of the implementation of the Convention and the Strategic Plan for Biodiversity 2011-2020, including the programmes of work of the Convention as identified by the Conference of the Parties, and make an assessment of progress in the achievement of the </w:t>
      </w:r>
      <w:r w:rsidRPr="00517A3B">
        <w:rPr>
          <w:szCs w:val="22"/>
        </w:rPr>
        <w:t>Aichi Biodiversity Targets</w:t>
      </w:r>
      <w:r w:rsidRPr="00517A3B">
        <w:t xml:space="preserve">, based, </w:t>
      </w:r>
      <w:r w:rsidRPr="00517A3B">
        <w:rPr>
          <w:i/>
        </w:rPr>
        <w:t>inter alia</w:t>
      </w:r>
      <w:r w:rsidRPr="00517A3B">
        <w:t>, on the sixth national reports;</w:t>
      </w:r>
    </w:p>
    <w:p w14:paraId="772CBFB9" w14:textId="77777777" w:rsidR="004867BE" w:rsidRDefault="002641E2" w:rsidP="00EC62A0">
      <w:pPr>
        <w:pStyle w:val="Para1"/>
        <w:numPr>
          <w:ilvl w:val="0"/>
          <w:numId w:val="0"/>
        </w:numPr>
        <w:ind w:firstLine="709"/>
      </w:pPr>
      <w:r w:rsidRPr="00517A3B">
        <w:t>(g)</w:t>
      </w:r>
      <w:r w:rsidRPr="00517A3B">
        <w:tab/>
        <w:t>At its meetings, the Conference of the Parties will continue to address standing items consistent with earlier decisions. In addition, some flexibility in the multi-year programme of work is retained in order to accommodate urgent emerging issues.</w:t>
      </w:r>
    </w:p>
    <w:sectPr w:rsidR="004867BE" w:rsidSect="0087413E">
      <w:footerReference w:type="even" r:id="rId16"/>
      <w:footerReference w:type="default" r:id="rId17"/>
      <w:type w:val="continuous"/>
      <w:pgSz w:w="12240" w:h="15840" w:code="1"/>
      <w:pgMar w:top="864"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A0C03" w14:textId="77777777" w:rsidR="00975AB6" w:rsidRDefault="00975AB6">
      <w:r>
        <w:separator/>
      </w:r>
    </w:p>
  </w:endnote>
  <w:endnote w:type="continuationSeparator" w:id="0">
    <w:p w14:paraId="4FFA2B0B" w14:textId="77777777" w:rsidR="00975AB6" w:rsidRDefault="00975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7C26" w14:textId="77777777" w:rsidR="00192CA4" w:rsidRDefault="00192CA4">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8C0B" w14:textId="77777777" w:rsidR="00161015" w:rsidRDefault="0095026D" w:rsidP="00161015">
    <w:pPr>
      <w:pStyle w:val="Footer"/>
    </w:pPr>
    <w:r>
      <w:t>/…</w:t>
    </w:r>
  </w:p>
  <w:p w14:paraId="5CCE83D8" w14:textId="77777777" w:rsidR="00192CA4" w:rsidRDefault="00010831" w:rsidP="00192CA4">
    <w:pPr>
      <w:pStyle w:val="Footer"/>
      <w:jc w:val="center"/>
    </w:pPr>
    <w:r>
      <w:rPr>
        <w:noProof/>
      </w:rPr>
      <mc:AlternateContent>
        <mc:Choice Requires="wps">
          <w:drawing>
            <wp:anchor distT="0" distB="0" distL="114300" distR="114300" simplePos="0" relativeHeight="251658240" behindDoc="0" locked="0" layoutInCell="1" allowOverlap="1" wp14:anchorId="5018DEB4" wp14:editId="65246D8A">
              <wp:simplePos x="0" y="0"/>
              <wp:positionH relativeFrom="column">
                <wp:posOffset>0</wp:posOffset>
              </wp:positionH>
              <wp:positionV relativeFrom="paragraph">
                <wp:posOffset>12700</wp:posOffset>
              </wp:positionV>
              <wp:extent cx="5943600" cy="510540"/>
              <wp:effectExtent l="12700" t="12700" r="12700" b="10160"/>
              <wp:wrapNone/>
              <wp:docPr id="15433614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1054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E796C9" w14:textId="77777777" w:rsidR="00192CA4" w:rsidRDefault="00192CA4" w:rsidP="00192CA4">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8DEB4" id="Rectangle 3" o:spid="_x0000_s1026" style="position:absolute;left:0;text-align:left;margin-left:0;margin-top:1pt;width:468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hUk/gEAAAkEAAAOAAAAZHJzL2Uyb0RvYy54bWysU8tu2zAQvBfoPxC815KTOHAFy0GR1EWB&#13;&#10;9AGk/QCKoiyiJJdd0pbcr++StpygLXIIqgOxFHeHs7PD1c1oDdsrDBpczeezkjPlJLTabWv+/dvm&#13;&#10;zZKzEIVrhQGnan5Qgd+sX79aDb5SF9CDaRUyAnGhGnzN+xh9VRRB9sqKMAOvHB12gFZE2uK2aFEM&#13;&#10;hG5NcVGW18UA2HoEqUKgv3fHQ77O+F2nZPzSdUFFZmpO3GJeMa9NWov1SlRbFL7X8kRDvICFFdrR&#13;&#10;pWeoOxEF26H+C8pqiRCgizMJtoCu01LlHqibeflHNw+98Cr3QuIEf5Yp/D9Y+Xn/4L9ioh78Pcgf&#13;&#10;gRQpBh+q80naBMphzfAJWpqh2EXIzY4d2lRJbbAxa3o4a6rGyCT9XLy9urwuSXpJZ4t5ubjKohei&#13;&#10;mqo9hvhBgWUpqDnSzDK62N+HmNiIakrJNMHodqONyRvcNrcG2V7QfDf5SyOlkvA0zTg21PxyOSci&#13;&#10;z2OU+fsXhtWRnGq0rfnynCSqXon2vWuzj6LQ5hgTAePSTSp78NTIpGRyZ6ji2IxUlsIG2gMJjHD0&#13;&#10;J70nCnrAX5wN5M2ah587gYoz89HR8JORpwCnoJkC4SSV1jxydgxv49HwO4962xPyPIvg4B0NstNZ&#13;&#10;40cWp/GT37KOp7eRDP10n7MeX/D6NwAAAP//AwBQSwMEFAAGAAgAAAAhAPQ1SpziAAAACgEAAA8A&#13;&#10;AABkcnMvZG93bnJldi54bWxMj09PwkAQxe8mfofNmHgxsLUawNIpMRhjQtRI8eJtaYe22p2t3QXK&#13;&#10;t3c86WX+5GXevF+6GGyrDtT7xjHC9TgCRVy4suEK4X3zOJqB8sFwaVrHhHAiD4vs/Cw1SemOvKZD&#13;&#10;HiolJuwTg1CH0CVa+6Ima/zYdcSi7VxvTZC1r3TZm6OY21bHUTTR1jQsH2rT0bKm4ivfW4TX1XKq&#13;&#10;d9PPNxetvvnp+SX/WF+dEC8vhoe5lPs5qEBD+LuAXwbJD5kE27o9l161CEITEGJpIt7dTGTYIszi&#13;&#10;W9BZqv8jZD8AAAD//wMAUEsBAi0AFAAGAAgAAAAhALaDOJL+AAAA4QEAABMAAAAAAAAAAAAAAAAA&#13;&#10;AAAAAFtDb250ZW50X1R5cGVzXS54bWxQSwECLQAUAAYACAAAACEAOP0h/9YAAACUAQAACwAAAAAA&#13;&#10;AAAAAAAAAAAvAQAAX3JlbHMvLnJlbHNQSwECLQAUAAYACAAAACEAEQIVJP4BAAAJBAAADgAAAAAA&#13;&#10;AAAAAAAAAAAuAgAAZHJzL2Uyb0RvYy54bWxQSwECLQAUAAYACAAAACEA9DVKnOIAAAAKAQAADwAA&#13;&#10;AAAAAAAAAAAAAABYBAAAZHJzL2Rvd25yZXYueG1sUEsFBgAAAAAEAAQA8wAAAGcFAAAAAA==&#13;&#10;" strokeweight="3pt">
              <v:path arrowok="t"/>
              <v:textbox inset="0,0,0,0">
                <w:txbxContent>
                  <w:p w14:paraId="2DE796C9" w14:textId="77777777" w:rsidR="00192CA4" w:rsidRDefault="00192CA4" w:rsidP="00192CA4">
                    <w:pPr>
                      <w:rPr>
                        <w:sz w:val="18"/>
                      </w:rPr>
                    </w:pPr>
                    <w:r>
                      <w:rPr>
                        <w:sz w:val="18"/>
                      </w:rPr>
                      <w:t>In order to minimize the environmental impacts of the Secretariat’s processes, and to contribute to the Secretary-General’s initiative for a C-Neutral UN, this document is printed in limited numbers.  Delegates are kindly requested to bring their copies to meetings and not to request additional copies.</w:t>
                    </w:r>
                  </w:p>
                </w:txbxContent>
              </v:textbox>
            </v:rect>
          </w:pict>
        </mc:Fallback>
      </mc:AlternateContent>
    </w:r>
  </w:p>
  <w:p w14:paraId="79A4ED5A" w14:textId="77777777" w:rsidR="0095026D" w:rsidRPr="00112C4C" w:rsidRDefault="0095026D" w:rsidP="00192C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8321" w14:textId="77777777" w:rsidR="0095026D" w:rsidRDefault="0095026D">
    <w:pPr>
      <w:pStyle w:val="Footer"/>
    </w:pPr>
    <w:r>
      <w:t>/…</w:t>
    </w:r>
  </w:p>
  <w:p w14:paraId="35048153" w14:textId="77777777" w:rsidR="00541D21" w:rsidRDefault="00010831">
    <w:pPr>
      <w:pStyle w:val="Footer"/>
    </w:pPr>
    <w:r>
      <w:rPr>
        <w:noProof/>
        <w:lang w:val="en-US"/>
      </w:rPr>
      <mc:AlternateContent>
        <mc:Choice Requires="wps">
          <w:drawing>
            <wp:anchor distT="0" distB="0" distL="114300" distR="114300" simplePos="0" relativeHeight="251657216" behindDoc="0" locked="0" layoutInCell="1" allowOverlap="1" wp14:anchorId="418B3248" wp14:editId="1414C442">
              <wp:simplePos x="0" y="0"/>
              <wp:positionH relativeFrom="column">
                <wp:posOffset>0</wp:posOffset>
              </wp:positionH>
              <wp:positionV relativeFrom="paragraph">
                <wp:posOffset>12700</wp:posOffset>
              </wp:positionV>
              <wp:extent cx="5943600" cy="365760"/>
              <wp:effectExtent l="12700" t="12700" r="12700" b="15240"/>
              <wp:wrapNone/>
              <wp:docPr id="19828143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781245"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A61CBB1" w14:textId="77777777" w:rsidR="00541D21" w:rsidRPr="006015AE" w:rsidRDefault="00541D21"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B3248" id="Rectangle 2" o:spid="_x0000_s1027"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45781245" w14:textId="77777777" w:rsidR="00541D21" w:rsidRPr="006015AE" w:rsidRDefault="00541D21"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A61CBB1" w14:textId="77777777" w:rsidR="00541D21" w:rsidRPr="006015AE" w:rsidRDefault="00541D21" w:rsidP="00541D21">
                    <w:pPr>
                      <w:rPr>
                        <w:color w:val="000000"/>
                        <w:sz w:val="16"/>
                        <w:szCs w:val="16"/>
                      </w:rPr>
                    </w:pPr>
                  </w:p>
                </w:txbxContent>
              </v:textbox>
            </v:rect>
          </w:pict>
        </mc:Fallback>
      </mc:AlternateContent>
    </w:r>
  </w:p>
  <w:p w14:paraId="08E21C0E" w14:textId="77777777" w:rsidR="0095026D" w:rsidRDefault="00950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A080" w14:textId="77777777" w:rsidR="002641E2" w:rsidRDefault="002641E2" w:rsidP="00F10010">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8BAF" w14:textId="77777777" w:rsidR="00E72FBF" w:rsidRDefault="00E72F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A020" w14:textId="77777777" w:rsidR="0087413E" w:rsidRDefault="00F61A3D" w:rsidP="00F61A3D">
    <w:pPr>
      <w:pStyle w:val="Footer"/>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49F7D" w14:textId="77777777" w:rsidR="00975AB6" w:rsidRDefault="00975AB6">
      <w:r>
        <w:separator/>
      </w:r>
    </w:p>
  </w:footnote>
  <w:footnote w:type="continuationSeparator" w:id="0">
    <w:p w14:paraId="258335BC" w14:textId="77777777" w:rsidR="00975AB6" w:rsidRDefault="00975AB6">
      <w:r>
        <w:continuationSeparator/>
      </w:r>
    </w:p>
  </w:footnote>
  <w:footnote w:id="1">
    <w:p w14:paraId="7BB9D21E" w14:textId="77777777" w:rsidR="002641E2" w:rsidRPr="00117097" w:rsidRDefault="002641E2" w:rsidP="002641E2">
      <w:pPr>
        <w:pStyle w:val="FootnoteText"/>
        <w:ind w:firstLine="0"/>
        <w:rPr>
          <w:lang w:val="en-US"/>
        </w:rPr>
      </w:pPr>
      <w:r w:rsidRPr="002641E2">
        <w:rPr>
          <w:rStyle w:val="FootnoteReference"/>
          <w:sz w:val="22"/>
          <w:szCs w:val="22"/>
          <w:u w:val="none"/>
          <w:vertAlign w:val="superscript"/>
        </w:rPr>
        <w:footnoteRef/>
      </w:r>
      <w:r w:rsidRPr="002641E2">
        <w:rPr>
          <w:sz w:val="22"/>
          <w:szCs w:val="22"/>
          <w:vertAlign w:val="superscript"/>
        </w:rPr>
        <w:t xml:space="preserve"> </w:t>
      </w:r>
      <w:r>
        <w:t xml:space="preserve"> </w:t>
      </w:r>
      <w:r w:rsidRPr="006A77D8">
        <w:t>Decision IX/11 B, annex</w:t>
      </w:r>
      <w:r>
        <w:t>.</w:t>
      </w:r>
    </w:p>
  </w:footnote>
  <w:footnote w:id="2">
    <w:p w14:paraId="22BEC74E" w14:textId="77777777" w:rsidR="002641E2" w:rsidRPr="00117097" w:rsidRDefault="002641E2" w:rsidP="002641E2">
      <w:pPr>
        <w:pStyle w:val="FootnoteText"/>
        <w:ind w:firstLine="0"/>
        <w:rPr>
          <w:lang w:val="en-US"/>
        </w:rPr>
      </w:pPr>
      <w:r w:rsidRPr="00EC62A0">
        <w:rPr>
          <w:rStyle w:val="FootnoteReference"/>
          <w:sz w:val="22"/>
          <w:szCs w:val="22"/>
          <w:u w:val="none"/>
          <w:vertAlign w:val="superscript"/>
        </w:rPr>
        <w:footnoteRef/>
      </w:r>
      <w:r>
        <w:t xml:space="preserve">  Decision X/1, annex 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1E84" w14:textId="77777777" w:rsidR="00541D21" w:rsidRDefault="00541D21">
    <w:pPr>
      <w:pStyle w:val="Header"/>
    </w:pPr>
    <w:r w:rsidRPr="00192CA4">
      <w:t>UNEP/CBD</w:t>
    </w:r>
    <w:r w:rsidR="002641E2">
      <w:t>/COP/DEC/X/9</w:t>
    </w:r>
  </w:p>
  <w:p w14:paraId="7B887C8D" w14:textId="77777777" w:rsidR="00192CA4" w:rsidRDefault="00192CA4">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25827">
      <w:rPr>
        <w:rStyle w:val="PageNumber"/>
        <w:noProof/>
      </w:rPr>
      <w:t>2</w:t>
    </w:r>
    <w:r>
      <w:rPr>
        <w:rStyle w:val="PageNumber"/>
      </w:rPr>
      <w:fldChar w:fldCharType="end"/>
    </w:r>
  </w:p>
  <w:p w14:paraId="3E1F1BD1" w14:textId="77777777" w:rsidR="00192CA4" w:rsidRDefault="00192C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4C44" w14:textId="77777777" w:rsidR="002641E2" w:rsidRDefault="002641E2" w:rsidP="002641E2">
    <w:pPr>
      <w:ind w:left="6840"/>
    </w:pPr>
    <w:r>
      <w:t>UNEP/CBD/COP/DEC/X/9</w:t>
    </w:r>
  </w:p>
  <w:p w14:paraId="5AE2B0F5" w14:textId="77777777" w:rsidR="002641E2" w:rsidRDefault="002641E2" w:rsidP="002641E2">
    <w:pPr>
      <w:pStyle w:val="Header"/>
      <w:ind w:left="684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725827">
      <w:rPr>
        <w:rStyle w:val="PageNumber"/>
        <w:noProof/>
      </w:rPr>
      <w:t>3</w:t>
    </w:r>
    <w:r>
      <w:rPr>
        <w:rStyle w:val="PageNumber"/>
      </w:rPr>
      <w:fldChar w:fldCharType="end"/>
    </w:r>
  </w:p>
  <w:p w14:paraId="45AB8231" w14:textId="77777777" w:rsidR="002641E2" w:rsidRDefault="002641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3F734D"/>
    <w:multiLevelType w:val="hybridMultilevel"/>
    <w:tmpl w:val="89D2BF6A"/>
    <w:lvl w:ilvl="0" w:tplc="DBB67F20">
      <w:start w:val="5"/>
      <w:numFmt w:val="lowerRoman"/>
      <w:lvlText w:val="(%1)"/>
      <w:lvlJc w:val="left"/>
      <w:pPr>
        <w:tabs>
          <w:tab w:val="num" w:pos="2138"/>
        </w:tabs>
        <w:ind w:left="2138" w:hanging="720"/>
      </w:pPr>
      <w:rPr>
        <w:rFonts w:hint="default"/>
      </w:rPr>
    </w:lvl>
    <w:lvl w:ilvl="1" w:tplc="10090003">
      <w:start w:val="1"/>
      <w:numFmt w:val="lowerLetter"/>
      <w:lvlText w:val="%2."/>
      <w:lvlJc w:val="left"/>
      <w:pPr>
        <w:tabs>
          <w:tab w:val="num" w:pos="2498"/>
        </w:tabs>
        <w:ind w:left="2498" w:hanging="360"/>
      </w:pPr>
    </w:lvl>
    <w:lvl w:ilvl="2" w:tplc="10090005">
      <w:start w:val="1"/>
      <w:numFmt w:val="lowerRoman"/>
      <w:lvlText w:val="%3."/>
      <w:lvlJc w:val="right"/>
      <w:pPr>
        <w:tabs>
          <w:tab w:val="num" w:pos="3218"/>
        </w:tabs>
        <w:ind w:left="3218" w:hanging="180"/>
      </w:pPr>
    </w:lvl>
    <w:lvl w:ilvl="3" w:tplc="10090001" w:tentative="1">
      <w:start w:val="1"/>
      <w:numFmt w:val="decimal"/>
      <w:lvlText w:val="%4."/>
      <w:lvlJc w:val="left"/>
      <w:pPr>
        <w:tabs>
          <w:tab w:val="num" w:pos="3938"/>
        </w:tabs>
        <w:ind w:left="3938" w:hanging="360"/>
      </w:pPr>
    </w:lvl>
    <w:lvl w:ilvl="4" w:tplc="10090003" w:tentative="1">
      <w:start w:val="1"/>
      <w:numFmt w:val="lowerLetter"/>
      <w:lvlText w:val="%5."/>
      <w:lvlJc w:val="left"/>
      <w:pPr>
        <w:tabs>
          <w:tab w:val="num" w:pos="4658"/>
        </w:tabs>
        <w:ind w:left="4658" w:hanging="360"/>
      </w:pPr>
    </w:lvl>
    <w:lvl w:ilvl="5" w:tplc="10090005" w:tentative="1">
      <w:start w:val="1"/>
      <w:numFmt w:val="lowerRoman"/>
      <w:lvlText w:val="%6."/>
      <w:lvlJc w:val="right"/>
      <w:pPr>
        <w:tabs>
          <w:tab w:val="num" w:pos="5378"/>
        </w:tabs>
        <w:ind w:left="5378" w:hanging="180"/>
      </w:pPr>
    </w:lvl>
    <w:lvl w:ilvl="6" w:tplc="10090001" w:tentative="1">
      <w:start w:val="1"/>
      <w:numFmt w:val="decimal"/>
      <w:lvlText w:val="%7."/>
      <w:lvlJc w:val="left"/>
      <w:pPr>
        <w:tabs>
          <w:tab w:val="num" w:pos="6098"/>
        </w:tabs>
        <w:ind w:left="6098" w:hanging="360"/>
      </w:pPr>
    </w:lvl>
    <w:lvl w:ilvl="7" w:tplc="10090003" w:tentative="1">
      <w:start w:val="1"/>
      <w:numFmt w:val="lowerLetter"/>
      <w:lvlText w:val="%8."/>
      <w:lvlJc w:val="left"/>
      <w:pPr>
        <w:tabs>
          <w:tab w:val="num" w:pos="6818"/>
        </w:tabs>
        <w:ind w:left="6818" w:hanging="360"/>
      </w:pPr>
    </w:lvl>
    <w:lvl w:ilvl="8" w:tplc="10090005" w:tentative="1">
      <w:start w:val="1"/>
      <w:numFmt w:val="lowerRoman"/>
      <w:lvlText w:val="%9."/>
      <w:lvlJc w:val="right"/>
      <w:pPr>
        <w:tabs>
          <w:tab w:val="num" w:pos="7538"/>
        </w:tabs>
        <w:ind w:left="7538" w:hanging="180"/>
      </w:pPr>
    </w:lvl>
  </w:abstractNum>
  <w:abstractNum w:abstractNumId="2"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B6A668C"/>
    <w:multiLevelType w:val="hybridMultilevel"/>
    <w:tmpl w:val="7DA6BAE6"/>
    <w:lvl w:ilvl="0" w:tplc="FFFFFFFF">
      <w:start w:val="1"/>
      <w:numFmt w:val="decimal"/>
      <w:pStyle w:val="Numbering"/>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E6A6598"/>
    <w:multiLevelType w:val="hybridMultilevel"/>
    <w:tmpl w:val="C2A0F0AC"/>
    <w:lvl w:ilvl="0" w:tplc="DDAE106E">
      <w:start w:val="8"/>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13" w15:restartNumberingAfterBreak="0">
    <w:nsid w:val="72CC46C4"/>
    <w:multiLevelType w:val="hybridMultilevel"/>
    <w:tmpl w:val="AFD62C7A"/>
    <w:lvl w:ilvl="0" w:tplc="FFFFFFFF">
      <w:start w:val="9"/>
      <w:numFmt w:val="lowerRoman"/>
      <w:lvlText w:val="(%1)"/>
      <w:lvlJc w:val="left"/>
      <w:pPr>
        <w:tabs>
          <w:tab w:val="num" w:pos="2138"/>
        </w:tabs>
        <w:ind w:left="2138" w:hanging="720"/>
      </w:pPr>
      <w:rPr>
        <w:rFonts w:hint="default"/>
      </w:rPr>
    </w:lvl>
    <w:lvl w:ilvl="1" w:tplc="FFFFFFFF" w:tentative="1">
      <w:start w:val="1"/>
      <w:numFmt w:val="lowerLetter"/>
      <w:lvlText w:val="%2."/>
      <w:lvlJc w:val="left"/>
      <w:pPr>
        <w:tabs>
          <w:tab w:val="num" w:pos="2498"/>
        </w:tabs>
        <w:ind w:left="2498" w:hanging="360"/>
      </w:pPr>
    </w:lvl>
    <w:lvl w:ilvl="2" w:tplc="FFFFFFFF" w:tentative="1">
      <w:start w:val="1"/>
      <w:numFmt w:val="lowerRoman"/>
      <w:lvlText w:val="%3."/>
      <w:lvlJc w:val="right"/>
      <w:pPr>
        <w:tabs>
          <w:tab w:val="num" w:pos="3218"/>
        </w:tabs>
        <w:ind w:left="3218" w:hanging="180"/>
      </w:pPr>
    </w:lvl>
    <w:lvl w:ilvl="3" w:tplc="FFFFFFFF" w:tentative="1">
      <w:start w:val="1"/>
      <w:numFmt w:val="decimal"/>
      <w:lvlText w:val="%4."/>
      <w:lvlJc w:val="left"/>
      <w:pPr>
        <w:tabs>
          <w:tab w:val="num" w:pos="3938"/>
        </w:tabs>
        <w:ind w:left="3938" w:hanging="360"/>
      </w:pPr>
    </w:lvl>
    <w:lvl w:ilvl="4" w:tplc="FFFFFFFF" w:tentative="1">
      <w:start w:val="1"/>
      <w:numFmt w:val="lowerLetter"/>
      <w:lvlText w:val="%5."/>
      <w:lvlJc w:val="left"/>
      <w:pPr>
        <w:tabs>
          <w:tab w:val="num" w:pos="4658"/>
        </w:tabs>
        <w:ind w:left="4658" w:hanging="360"/>
      </w:pPr>
    </w:lvl>
    <w:lvl w:ilvl="5" w:tplc="FFFFFFFF" w:tentative="1">
      <w:start w:val="1"/>
      <w:numFmt w:val="lowerRoman"/>
      <w:lvlText w:val="%6."/>
      <w:lvlJc w:val="right"/>
      <w:pPr>
        <w:tabs>
          <w:tab w:val="num" w:pos="5378"/>
        </w:tabs>
        <w:ind w:left="5378" w:hanging="180"/>
      </w:pPr>
    </w:lvl>
    <w:lvl w:ilvl="6" w:tplc="FFFFFFFF" w:tentative="1">
      <w:start w:val="1"/>
      <w:numFmt w:val="decimal"/>
      <w:lvlText w:val="%7."/>
      <w:lvlJc w:val="left"/>
      <w:pPr>
        <w:tabs>
          <w:tab w:val="num" w:pos="6098"/>
        </w:tabs>
        <w:ind w:left="6098" w:hanging="360"/>
      </w:pPr>
    </w:lvl>
    <w:lvl w:ilvl="7" w:tplc="FFFFFFFF" w:tentative="1">
      <w:start w:val="1"/>
      <w:numFmt w:val="lowerLetter"/>
      <w:lvlText w:val="%8."/>
      <w:lvlJc w:val="left"/>
      <w:pPr>
        <w:tabs>
          <w:tab w:val="num" w:pos="6818"/>
        </w:tabs>
        <w:ind w:left="6818" w:hanging="360"/>
      </w:pPr>
    </w:lvl>
    <w:lvl w:ilvl="8" w:tplc="FFFFFFFF" w:tentative="1">
      <w:start w:val="1"/>
      <w:numFmt w:val="lowerRoman"/>
      <w:lvlText w:val="%9."/>
      <w:lvlJc w:val="right"/>
      <w:pPr>
        <w:tabs>
          <w:tab w:val="num" w:pos="7538"/>
        </w:tabs>
        <w:ind w:left="7538" w:hanging="180"/>
      </w:pPr>
    </w:lvl>
  </w:abstractNum>
  <w:abstractNum w:abstractNumId="14" w15:restartNumberingAfterBreak="0">
    <w:nsid w:val="77ED03D2"/>
    <w:multiLevelType w:val="hybridMultilevel"/>
    <w:tmpl w:val="47028FC0"/>
    <w:lvl w:ilvl="0" w:tplc="E2EE5C1E">
      <w:start w:val="1"/>
      <w:numFmt w:val="lowerRoman"/>
      <w:lvlText w:val="(%1)"/>
      <w:lvlJc w:val="left"/>
      <w:pPr>
        <w:ind w:left="2160" w:hanging="360"/>
      </w:pPr>
      <w:rPr>
        <w:rFonts w:ascii="Times New Roman" w:eastAsia="Times New Roman" w:hAnsi="Times New Roman" w:cs="Wingding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688561495">
    <w:abstractNumId w:val="10"/>
  </w:num>
  <w:num w:numId="2" w16cid:durableId="957839263">
    <w:abstractNumId w:val="6"/>
  </w:num>
  <w:num w:numId="3" w16cid:durableId="1641879348">
    <w:abstractNumId w:val="11"/>
  </w:num>
  <w:num w:numId="4" w16cid:durableId="1380590721">
    <w:abstractNumId w:val="2"/>
  </w:num>
  <w:num w:numId="5" w16cid:durableId="720329408">
    <w:abstractNumId w:val="0"/>
  </w:num>
  <w:num w:numId="6" w16cid:durableId="799080862">
    <w:abstractNumId w:val="3"/>
  </w:num>
  <w:num w:numId="7" w16cid:durableId="849876160">
    <w:abstractNumId w:val="10"/>
  </w:num>
  <w:num w:numId="8" w16cid:durableId="1317494477">
    <w:abstractNumId w:val="7"/>
  </w:num>
  <w:num w:numId="9" w16cid:durableId="494340386">
    <w:abstractNumId w:val="4"/>
  </w:num>
  <w:num w:numId="10" w16cid:durableId="124661593">
    <w:abstractNumId w:val="10"/>
  </w:num>
  <w:num w:numId="11" w16cid:durableId="867528520">
    <w:abstractNumId w:val="8"/>
  </w:num>
  <w:num w:numId="12" w16cid:durableId="1592003560">
    <w:abstractNumId w:val="5"/>
  </w:num>
  <w:num w:numId="13" w16cid:durableId="1753313352">
    <w:abstractNumId w:val="14"/>
  </w:num>
  <w:num w:numId="14" w16cid:durableId="973565219">
    <w:abstractNumId w:val="1"/>
  </w:num>
  <w:num w:numId="15" w16cid:durableId="541862503">
    <w:abstractNumId w:val="13"/>
  </w:num>
  <w:num w:numId="16" w16cid:durableId="1770807253">
    <w:abstractNumId w:val="12"/>
  </w:num>
  <w:num w:numId="17" w16cid:durableId="9738737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10831"/>
    <w:rsid w:val="00072381"/>
    <w:rsid w:val="000736EC"/>
    <w:rsid w:val="0008521A"/>
    <w:rsid w:val="000E4095"/>
    <w:rsid w:val="000E41E5"/>
    <w:rsid w:val="001045F5"/>
    <w:rsid w:val="00112C4C"/>
    <w:rsid w:val="00126A32"/>
    <w:rsid w:val="00161015"/>
    <w:rsid w:val="00192CA4"/>
    <w:rsid w:val="001B2550"/>
    <w:rsid w:val="001B7B28"/>
    <w:rsid w:val="001C0F67"/>
    <w:rsid w:val="001D223E"/>
    <w:rsid w:val="00216F55"/>
    <w:rsid w:val="00227B28"/>
    <w:rsid w:val="002641E2"/>
    <w:rsid w:val="00266B21"/>
    <w:rsid w:val="00273440"/>
    <w:rsid w:val="002737FD"/>
    <w:rsid w:val="00275C69"/>
    <w:rsid w:val="002838D4"/>
    <w:rsid w:val="002E60F9"/>
    <w:rsid w:val="002F1267"/>
    <w:rsid w:val="00301FD5"/>
    <w:rsid w:val="00387306"/>
    <w:rsid w:val="003B79EF"/>
    <w:rsid w:val="003C6182"/>
    <w:rsid w:val="003D72FC"/>
    <w:rsid w:val="003D794F"/>
    <w:rsid w:val="004845CC"/>
    <w:rsid w:val="004867BE"/>
    <w:rsid w:val="004E0303"/>
    <w:rsid w:val="005360F5"/>
    <w:rsid w:val="00541D21"/>
    <w:rsid w:val="005C29C8"/>
    <w:rsid w:val="005D2FEB"/>
    <w:rsid w:val="005D6C3F"/>
    <w:rsid w:val="00606FBF"/>
    <w:rsid w:val="0069760C"/>
    <w:rsid w:val="006C736D"/>
    <w:rsid w:val="006D37A7"/>
    <w:rsid w:val="007114D4"/>
    <w:rsid w:val="0071521C"/>
    <w:rsid w:val="00725827"/>
    <w:rsid w:val="00780B26"/>
    <w:rsid w:val="00784BDF"/>
    <w:rsid w:val="007B61E4"/>
    <w:rsid w:val="007F0040"/>
    <w:rsid w:val="007F2A71"/>
    <w:rsid w:val="00802316"/>
    <w:rsid w:val="00807905"/>
    <w:rsid w:val="00835E9A"/>
    <w:rsid w:val="00844A13"/>
    <w:rsid w:val="00872F01"/>
    <w:rsid w:val="0087413E"/>
    <w:rsid w:val="00897D78"/>
    <w:rsid w:val="008A0896"/>
    <w:rsid w:val="008B51E6"/>
    <w:rsid w:val="008C3FC1"/>
    <w:rsid w:val="0095026D"/>
    <w:rsid w:val="00963875"/>
    <w:rsid w:val="00975AB6"/>
    <w:rsid w:val="00976134"/>
    <w:rsid w:val="00977BD2"/>
    <w:rsid w:val="009C311C"/>
    <w:rsid w:val="00AC0FA7"/>
    <w:rsid w:val="00B87C4C"/>
    <w:rsid w:val="00BB2691"/>
    <w:rsid w:val="00BD2049"/>
    <w:rsid w:val="00BE5278"/>
    <w:rsid w:val="00BF0B3C"/>
    <w:rsid w:val="00BF4ECA"/>
    <w:rsid w:val="00BF7B19"/>
    <w:rsid w:val="00C207B9"/>
    <w:rsid w:val="00C72D3C"/>
    <w:rsid w:val="00C848B7"/>
    <w:rsid w:val="00CF2081"/>
    <w:rsid w:val="00D267B0"/>
    <w:rsid w:val="00D409E0"/>
    <w:rsid w:val="00DC303B"/>
    <w:rsid w:val="00DE6A4C"/>
    <w:rsid w:val="00DF6F85"/>
    <w:rsid w:val="00E72FBF"/>
    <w:rsid w:val="00E96B1B"/>
    <w:rsid w:val="00EC62A0"/>
    <w:rsid w:val="00EC6C5B"/>
    <w:rsid w:val="00EF6308"/>
    <w:rsid w:val="00F01C51"/>
    <w:rsid w:val="00F10010"/>
    <w:rsid w:val="00F424E6"/>
    <w:rsid w:val="00F61A3D"/>
    <w:rsid w:val="00FD6C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42E8D5"/>
  <w15:chartTrackingRefBased/>
  <w15:docId w15:val="{6A8E6853-AE26-154A-9E11-8A451796C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link w:val="HeaderChar"/>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Heading-item">
    <w:name w:val="Heading-item"/>
    <w:basedOn w:val="Normal"/>
    <w:next w:val="BodyText"/>
    <w:rsid w:val="00DF6F85"/>
    <w:pPr>
      <w:keepNext/>
      <w:spacing w:before="120" w:after="120"/>
      <w:ind w:left="709" w:hanging="709"/>
    </w:pPr>
    <w:rPr>
      <w:b/>
      <w:bCs/>
      <w:i/>
      <w:iCs/>
    </w:rPr>
  </w:style>
  <w:style w:type="character" w:customStyle="1" w:styleId="Para1Char">
    <w:name w:val="Para1 Char"/>
    <w:basedOn w:val="DefaultParagraphFont"/>
    <w:link w:val="Para1"/>
    <w:rsid w:val="00DF6F85"/>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DF6F85"/>
    <w:rPr>
      <w:sz w:val="18"/>
      <w:szCs w:val="24"/>
      <w:lang w:val="en-GB" w:eastAsia="en-US" w:bidi="ar-SA"/>
    </w:rPr>
  </w:style>
  <w:style w:type="paragraph" w:customStyle="1" w:styleId="Recommendation">
    <w:name w:val="Recommendation"/>
    <w:basedOn w:val="Normal"/>
    <w:rsid w:val="00DF6F85"/>
    <w:pPr>
      <w:keepNext/>
      <w:tabs>
        <w:tab w:val="left" w:pos="720"/>
      </w:tabs>
      <w:spacing w:before="120" w:after="120"/>
      <w:ind w:left="1843" w:right="998" w:hanging="943"/>
      <w:jc w:val="left"/>
      <w:outlineLvl w:val="0"/>
    </w:pPr>
    <w:rPr>
      <w:b/>
      <w:i/>
      <w:iCs/>
    </w:rPr>
  </w:style>
  <w:style w:type="character" w:customStyle="1" w:styleId="FooterChar">
    <w:name w:val="Footer Char"/>
    <w:basedOn w:val="DefaultParagraphFont"/>
    <w:link w:val="Footer"/>
    <w:semiHidden/>
    <w:locked/>
    <w:rsid w:val="00DF6F85"/>
    <w:rPr>
      <w:sz w:val="22"/>
      <w:szCs w:val="24"/>
      <w:lang w:val="en-GB" w:eastAsia="en-US" w:bidi="ar-SA"/>
    </w:rPr>
  </w:style>
  <w:style w:type="paragraph" w:customStyle="1" w:styleId="CharCharCharCharCharCharCharCharChar">
    <w:name w:val=" Char Char Char Char Char Char Char Char Char"/>
    <w:basedOn w:val="Normal"/>
    <w:rsid w:val="00161015"/>
    <w:pPr>
      <w:widowControl w:val="0"/>
      <w:adjustRightInd w:val="0"/>
      <w:spacing w:line="360" w:lineRule="atLeast"/>
      <w:textAlignment w:val="baseline"/>
    </w:pPr>
    <w:rPr>
      <w:rFonts w:ascii="Arial" w:eastAsia="Batang" w:hAnsi="Arial" w:cs="Arial"/>
      <w:szCs w:val="20"/>
      <w:lang w:val="pl-PL" w:eastAsia="pl-PL"/>
    </w:rPr>
  </w:style>
  <w:style w:type="paragraph" w:customStyle="1" w:styleId="Numbering">
    <w:name w:val="Numbering"/>
    <w:basedOn w:val="Normal"/>
    <w:rsid w:val="00192CA4"/>
    <w:pPr>
      <w:numPr>
        <w:numId w:val="17"/>
      </w:numPr>
    </w:pPr>
    <w:rPr>
      <w:lang w:val="en-US"/>
    </w:rPr>
  </w:style>
  <w:style w:type="character" w:styleId="CommentReference">
    <w:name w:val="annotation reference"/>
    <w:basedOn w:val="DefaultParagraphFont"/>
    <w:semiHidden/>
    <w:rsid w:val="00963875"/>
    <w:rPr>
      <w:sz w:val="16"/>
      <w:szCs w:val="16"/>
    </w:rPr>
  </w:style>
  <w:style w:type="paragraph" w:styleId="CommentText">
    <w:name w:val="annotation text"/>
    <w:basedOn w:val="Normal"/>
    <w:semiHidden/>
    <w:rsid w:val="00963875"/>
    <w:rPr>
      <w:sz w:val="20"/>
      <w:szCs w:val="20"/>
    </w:rPr>
  </w:style>
  <w:style w:type="paragraph" w:styleId="CommentSubject">
    <w:name w:val="annotation subject"/>
    <w:basedOn w:val="CommentText"/>
    <w:next w:val="CommentText"/>
    <w:semiHidden/>
    <w:rsid w:val="00963875"/>
    <w:rPr>
      <w:b/>
      <w:bCs/>
    </w:rPr>
  </w:style>
  <w:style w:type="character" w:customStyle="1" w:styleId="CharChar7">
    <w:name w:val=" Char Char7"/>
    <w:basedOn w:val="DefaultParagraphFont"/>
    <w:rsid w:val="002641E2"/>
    <w:rPr>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2641E2"/>
    <w:rPr>
      <w:sz w:val="18"/>
      <w:szCs w:val="24"/>
      <w:lang w:val="en-GB" w:eastAsia="en-US" w:bidi="ar-SA"/>
    </w:rPr>
  </w:style>
  <w:style w:type="character" w:customStyle="1" w:styleId="HeaderChar">
    <w:name w:val="Header Char"/>
    <w:basedOn w:val="DefaultParagraphFont"/>
    <w:link w:val="Header"/>
    <w:rsid w:val="002641E2"/>
    <w:rPr>
      <w:sz w:val="22"/>
      <w:szCs w:val="24"/>
      <w:lang w:val="en-GB" w:eastAsia="en-US" w:bidi="ar-SA"/>
    </w:rPr>
  </w:style>
  <w:style w:type="paragraph" w:customStyle="1" w:styleId="Decheadmuliline">
    <w:name w:val="Dec_head muliline"/>
    <w:basedOn w:val="BodyText"/>
    <w:next w:val="BodyText"/>
    <w:rsid w:val="002641E2"/>
    <w:pPr>
      <w:ind w:left="2127" w:hanging="1276"/>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3</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Decision</vt:lpstr>
    </vt:vector>
  </TitlesOfParts>
  <Company>CBD</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The multi-year programme of work for the Conference of the Parties for the period 2011-2020 and periodicity of meetings</dc:subject>
  <dc:creator>SCBD</dc:creator>
  <cp:keywords/>
  <dc:description/>
  <cp:lastModifiedBy>Rodrigo Elias</cp:lastModifiedBy>
  <cp:revision>2</cp:revision>
  <cp:lastPrinted>2010-10-26T02:19:00Z</cp:lastPrinted>
  <dcterms:created xsi:type="dcterms:W3CDTF">2025-11-13T18:51:00Z</dcterms:created>
  <dcterms:modified xsi:type="dcterms:W3CDTF">2025-11-13T18:51:00Z</dcterms:modified>
</cp:coreProperties>
</file>