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D53308" w14:paraId="56F3A5E7" w14:textId="77777777" w:rsidTr="00D53308">
        <w:tblPrEx>
          <w:tblCellMar>
            <w:top w:w="0" w:type="dxa"/>
            <w:bottom w:w="0" w:type="dxa"/>
          </w:tblCellMar>
        </w:tblPrEx>
        <w:trPr>
          <w:gridAfter w:val="1"/>
          <w:wAfter w:w="250" w:type="dxa"/>
        </w:trPr>
        <w:tc>
          <w:tcPr>
            <w:tcW w:w="1366" w:type="dxa"/>
            <w:tcBorders>
              <w:top w:val="nil"/>
              <w:bottom w:val="single" w:sz="12" w:space="0" w:color="000000"/>
            </w:tcBorders>
          </w:tcPr>
          <w:p w14:paraId="6CC19AA1" w14:textId="77777777" w:rsidR="00D53308" w:rsidRDefault="00254C0A" w:rsidP="00A436BF">
            <w:pPr>
              <w:pStyle w:val="BodyText2"/>
            </w:pPr>
            <w:r>
              <w:rPr>
                <w:noProof/>
              </w:rPr>
              <w:drawing>
                <wp:inline distT="0" distB="0" distL="0" distR="0" wp14:anchorId="0A0007C4" wp14:editId="1CAF4E00">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5A560E91" w14:textId="77777777" w:rsidR="00D53308" w:rsidRDefault="00254C0A" w:rsidP="00A436BF">
            <w:r>
              <w:rPr>
                <w:b/>
                <w:noProof/>
              </w:rPr>
              <w:drawing>
                <wp:inline distT="0" distB="0" distL="0" distR="0" wp14:anchorId="517120B1" wp14:editId="37AA55E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3279C916" w14:textId="77777777" w:rsidR="00D53308" w:rsidRDefault="00D53308" w:rsidP="00A436BF">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052426DD" w14:textId="77777777" w:rsidR="00D53308" w:rsidRDefault="00D53308" w:rsidP="00A436BF">
            <w:pPr>
              <w:jc w:val="right"/>
              <w:rPr>
                <w:b/>
                <w:sz w:val="28"/>
              </w:rPr>
            </w:pPr>
          </w:p>
        </w:tc>
      </w:tr>
      <w:tr w:rsidR="00D53308" w14:paraId="20A7591E" w14:textId="77777777" w:rsidTr="00D53308">
        <w:tblPrEx>
          <w:tblCellMar>
            <w:top w:w="0" w:type="dxa"/>
            <w:bottom w:w="0" w:type="dxa"/>
          </w:tblCellMar>
        </w:tblPrEx>
        <w:trPr>
          <w:trHeight w:val="1693"/>
        </w:trPr>
        <w:tc>
          <w:tcPr>
            <w:tcW w:w="5230" w:type="dxa"/>
            <w:gridSpan w:val="3"/>
            <w:tcBorders>
              <w:top w:val="nil"/>
              <w:bottom w:val="single" w:sz="36" w:space="0" w:color="000000"/>
            </w:tcBorders>
          </w:tcPr>
          <w:p w14:paraId="5C3082E8" w14:textId="77777777" w:rsidR="00D53308" w:rsidRDefault="00D53308" w:rsidP="00A436BF"/>
          <w:p w14:paraId="4C1ADF03" w14:textId="77777777" w:rsidR="00D53308" w:rsidRPr="00A36C97" w:rsidRDefault="00254C0A" w:rsidP="00A436BF">
            <w:r w:rsidRPr="00A36C97">
              <w:rPr>
                <w:noProof/>
              </w:rPr>
              <w:drawing>
                <wp:inline distT="0" distB="0" distL="0" distR="0" wp14:anchorId="274034AF" wp14:editId="6531DB63">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DEA6309" w14:textId="77777777" w:rsidR="00D53308" w:rsidRDefault="00D53308" w:rsidP="00A436BF">
            <w:pPr>
              <w:rPr>
                <w:rFonts w:ascii="Univers" w:hAnsi="Univers"/>
                <w:sz w:val="32"/>
              </w:rPr>
            </w:pPr>
          </w:p>
        </w:tc>
        <w:tc>
          <w:tcPr>
            <w:tcW w:w="1540" w:type="dxa"/>
            <w:tcBorders>
              <w:top w:val="nil"/>
              <w:bottom w:val="single" w:sz="36" w:space="0" w:color="000000"/>
            </w:tcBorders>
          </w:tcPr>
          <w:p w14:paraId="63E62E27" w14:textId="77777777" w:rsidR="00D53308" w:rsidRDefault="00D53308" w:rsidP="00A436BF">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10857EDD" w14:textId="77777777" w:rsidR="00D53308" w:rsidRDefault="00D53308" w:rsidP="00C223F8">
            <w:pPr>
              <w:ind w:left="502"/>
            </w:pPr>
            <w:r>
              <w:t>Distr.</w:t>
            </w:r>
          </w:p>
          <w:p w14:paraId="6C609EF4" w14:textId="77777777" w:rsidR="00D53308" w:rsidRDefault="00586CDA" w:rsidP="00C223F8">
            <w:pPr>
              <w:ind w:left="502"/>
            </w:pPr>
            <w:r>
              <w:t>GENERAL</w:t>
            </w:r>
          </w:p>
          <w:p w14:paraId="51BED918" w14:textId="77777777" w:rsidR="00D53308" w:rsidRDefault="00D53308" w:rsidP="00C223F8">
            <w:pPr>
              <w:ind w:left="502"/>
            </w:pPr>
          </w:p>
          <w:p w14:paraId="219B617C" w14:textId="77777777" w:rsidR="00D53308" w:rsidRDefault="00707973" w:rsidP="00C223F8">
            <w:pPr>
              <w:ind w:left="502"/>
            </w:pPr>
            <w:r>
              <w:t>UNEP/CBD/COP/DEC/X/11</w:t>
            </w:r>
          </w:p>
          <w:p w14:paraId="60F79DDF" w14:textId="77777777" w:rsidR="00D53308" w:rsidRDefault="00D53308" w:rsidP="00C223F8">
            <w:pPr>
              <w:ind w:left="502"/>
            </w:pPr>
            <w:r>
              <w:t>29 October 2010</w:t>
            </w:r>
          </w:p>
          <w:p w14:paraId="16706D53" w14:textId="77777777" w:rsidR="00D53308" w:rsidRDefault="00D53308" w:rsidP="00C223F8">
            <w:pPr>
              <w:ind w:left="502"/>
            </w:pPr>
          </w:p>
          <w:p w14:paraId="721EBF8C" w14:textId="77777777" w:rsidR="00D53308" w:rsidRDefault="00D53308" w:rsidP="00C223F8">
            <w:pPr>
              <w:ind w:left="502"/>
              <w:rPr>
                <w:b/>
                <w:bCs/>
                <w:color w:val="FF0000"/>
                <w:sz w:val="40"/>
                <w:u w:val="single"/>
              </w:rPr>
            </w:pPr>
            <w:r>
              <w:t>ORIGINAL:  ENGLISH</w:t>
            </w:r>
          </w:p>
        </w:tc>
      </w:tr>
    </w:tbl>
    <w:p w14:paraId="4F12A618" w14:textId="77777777" w:rsidR="00D53308" w:rsidRDefault="00D53308" w:rsidP="00D53308">
      <w:pPr>
        <w:pStyle w:val="Cornernotation"/>
        <w:ind w:right="4630"/>
      </w:pPr>
      <w:r>
        <w:rPr>
          <w:szCs w:val="22"/>
        </w:rPr>
        <w:t>CONFERENCE OF THE PARTIES TO THE</w:t>
      </w:r>
      <w:r w:rsidRPr="00B33484">
        <w:rPr>
          <w:szCs w:val="22"/>
        </w:rPr>
        <w:t xml:space="preserve"> CONVENTION ON BIOLOGICAL DIVERSITY</w:t>
      </w:r>
    </w:p>
    <w:p w14:paraId="197ACA87" w14:textId="77777777" w:rsidR="00D53308" w:rsidRDefault="00D53308" w:rsidP="00D53308">
      <w:pPr>
        <w:pStyle w:val="Cornernotation"/>
      </w:pPr>
      <w:r>
        <w:t>Tenth meeting</w:t>
      </w:r>
    </w:p>
    <w:p w14:paraId="16B84E6C" w14:textId="77777777" w:rsidR="00D53308" w:rsidRDefault="00D53308" w:rsidP="00D53308">
      <w:pPr>
        <w:pStyle w:val="Cornernotation"/>
      </w:pPr>
      <w:r>
        <w:t>Nagoya, Japan, 18-29 October 2010</w:t>
      </w:r>
    </w:p>
    <w:p w14:paraId="37A5539C" w14:textId="77777777" w:rsidR="0095026D" w:rsidRDefault="0069760C" w:rsidP="0069760C">
      <w:pPr>
        <w:pStyle w:val="Para1"/>
        <w:numPr>
          <w:ilvl w:val="0"/>
          <w:numId w:val="0"/>
        </w:numPr>
        <w:jc w:val="left"/>
        <w:sectPr w:rsidR="0095026D" w:rsidSect="00076698">
          <w:headerReference w:type="even" r:id="rId10"/>
          <w:headerReference w:type="default" r:id="rId11"/>
          <w:footerReference w:type="default" r:id="rId12"/>
          <w:footerReference w:type="first" r:id="rId13"/>
          <w:pgSz w:w="12240" w:h="15840" w:code="1"/>
          <w:pgMar w:top="567" w:right="1440" w:bottom="1134" w:left="1440" w:header="454" w:footer="720" w:gutter="0"/>
          <w:cols w:space="720"/>
          <w:titlePg/>
          <w:docGrid w:linePitch="360"/>
        </w:sectPr>
      </w:pPr>
      <w:r>
        <w:t xml:space="preserve">Agenda item </w:t>
      </w:r>
      <w:r w:rsidR="00DF6F85">
        <w:t>4.3</w:t>
      </w:r>
    </w:p>
    <w:p w14:paraId="5C85615C" w14:textId="77777777" w:rsidR="00C223F8" w:rsidRDefault="00C223F8" w:rsidP="00C223F8">
      <w:pPr>
        <w:pStyle w:val="Heading1"/>
      </w:pPr>
      <w:bookmarkStart w:id="0" w:name="_Ref41991441"/>
      <w:bookmarkStart w:id="1" w:name="_Toc278461452"/>
      <w:r>
        <w:t>DECISION ADOPTED BY THE CONFERENCE OF THE PARTIES TO THE CONVENTION ON BIOLOGICAL DIVERSITY AT ITS TENTH MEETING</w:t>
      </w:r>
    </w:p>
    <w:p w14:paraId="03F4F086" w14:textId="77777777" w:rsidR="00586CDA" w:rsidRPr="00517A3B" w:rsidRDefault="00586CDA" w:rsidP="00586CDA">
      <w:pPr>
        <w:pStyle w:val="Decheadmuliline"/>
      </w:pPr>
      <w:r w:rsidRPr="00517A3B">
        <w:rPr>
          <w:lang w:eastAsia="en-CA"/>
        </w:rPr>
        <w:t>X/11.</w:t>
      </w:r>
      <w:r w:rsidRPr="00517A3B">
        <w:rPr>
          <w:lang w:eastAsia="en-CA"/>
        </w:rPr>
        <w:tab/>
      </w:r>
      <w:r w:rsidRPr="00517A3B">
        <w:t>Science-policy interface on biodiversity, ecosystem services and human well-being and consideration of the outcome of the intergovernmental meetings</w:t>
      </w:r>
      <w:bookmarkEnd w:id="1"/>
    </w:p>
    <w:p w14:paraId="66BBFFF2" w14:textId="77777777" w:rsidR="00586CDA" w:rsidRPr="00517A3B" w:rsidRDefault="00586CDA" w:rsidP="00586CDA">
      <w:pPr>
        <w:shd w:val="clear" w:color="auto" w:fill="FFFFFF"/>
        <w:rPr>
          <w:i/>
        </w:rPr>
      </w:pPr>
      <w:r w:rsidRPr="00517A3B">
        <w:tab/>
      </w:r>
      <w:r w:rsidRPr="00517A3B">
        <w:rPr>
          <w:i/>
        </w:rPr>
        <w:t xml:space="preserve">The Conference of the Parties, </w:t>
      </w:r>
    </w:p>
    <w:p w14:paraId="5556DAC1" w14:textId="77777777" w:rsidR="00586CDA" w:rsidRPr="00517A3B" w:rsidRDefault="00586CDA" w:rsidP="00586CDA">
      <w:pPr>
        <w:shd w:val="clear" w:color="auto" w:fill="FFFFFF"/>
        <w:spacing w:before="120" w:after="120"/>
        <w:ind w:firstLine="720"/>
      </w:pPr>
      <w:r w:rsidRPr="00517A3B">
        <w:rPr>
          <w:i/>
        </w:rPr>
        <w:t>Recalling</w:t>
      </w:r>
      <w:r w:rsidRPr="00517A3B">
        <w:t xml:space="preserve"> its decisions VIII/9 and IX/15, and in particular, </w:t>
      </w:r>
      <w:r w:rsidRPr="00517A3B">
        <w:rPr>
          <w:i/>
        </w:rPr>
        <w:t>reaffirming</w:t>
      </w:r>
      <w:r w:rsidRPr="00517A3B">
        <w:t xml:space="preserve"> that a regular assessment is needed to provide decision</w:t>
      </w:r>
      <w:r w:rsidRPr="00517A3B">
        <w:noBreakHyphen/>
        <w:t xml:space="preserve">makers with the necessary information base for adaptive management and to promote the necessary political will for action in addressing biodiversity loss and the degradation of ecosystems and ecosystem services and their implications for human well-being, </w:t>
      </w:r>
    </w:p>
    <w:p w14:paraId="0012F0EA" w14:textId="77777777" w:rsidR="00586CDA" w:rsidRPr="00517A3B" w:rsidRDefault="00586CDA" w:rsidP="00586CDA">
      <w:pPr>
        <w:shd w:val="clear" w:color="auto" w:fill="FFFFFF"/>
        <w:spacing w:before="120" w:after="120"/>
        <w:ind w:firstLine="720"/>
      </w:pPr>
      <w:r w:rsidRPr="00517A3B">
        <w:rPr>
          <w:i/>
        </w:rPr>
        <w:t>Recalling</w:t>
      </w:r>
      <w:r w:rsidRPr="00517A3B">
        <w:t xml:space="preserve"> the functions of the Subsidiary Body on Scientific, Technical and Technological Advice, as set out in Article 25 of the Convention and as further elaborated in its consolidated </w:t>
      </w:r>
      <w:r w:rsidRPr="00517A3B">
        <w:rPr>
          <w:i/>
          <w:iCs/>
        </w:rPr>
        <w:t>modus operandi</w:t>
      </w:r>
      <w:r w:rsidRPr="00517A3B">
        <w:t>,</w:t>
      </w:r>
      <w:r w:rsidRPr="00C223F8">
        <w:rPr>
          <w:rStyle w:val="FootnoteReference"/>
          <w:sz w:val="22"/>
          <w:szCs w:val="22"/>
          <w:u w:val="none"/>
          <w:vertAlign w:val="superscript"/>
        </w:rPr>
        <w:footnoteReference w:id="1"/>
      </w:r>
      <w:r w:rsidRPr="00517A3B">
        <w:t xml:space="preserve"> which is to provide the Conference of the Parties and, as appropriate, its other subsidiary bodies, with timely advice relating to the implementation of the Convention, </w:t>
      </w:r>
      <w:r w:rsidRPr="00517A3B">
        <w:rPr>
          <w:i/>
        </w:rPr>
        <w:t>inter alia</w:t>
      </w:r>
      <w:r w:rsidRPr="00517A3B">
        <w:t xml:space="preserve"> by providing assessments of the status of biological diversity and of the types of measures taken in accordance with the provisions of the Convention,</w:t>
      </w:r>
    </w:p>
    <w:p w14:paraId="71B0E977" w14:textId="77777777" w:rsidR="00586CDA" w:rsidRPr="00517A3B" w:rsidRDefault="00586CDA" w:rsidP="00586CDA">
      <w:pPr>
        <w:shd w:val="clear" w:color="auto" w:fill="FFFFFF"/>
        <w:spacing w:before="120" w:after="120"/>
        <w:ind w:firstLine="720"/>
      </w:pPr>
      <w:r w:rsidRPr="00517A3B">
        <w:rPr>
          <w:i/>
        </w:rPr>
        <w:t>Reaffirming</w:t>
      </w:r>
      <w:r w:rsidRPr="00517A3B">
        <w:t xml:space="preserve"> the need to strengthen the role of the Subsidiary Body on Scientific, Technical and Technological Advice in this regard, </w:t>
      </w:r>
    </w:p>
    <w:p w14:paraId="2AF97DBC" w14:textId="77777777" w:rsidR="00586CDA" w:rsidRPr="00517A3B" w:rsidRDefault="00586CDA" w:rsidP="00586CDA">
      <w:pPr>
        <w:shd w:val="clear" w:color="auto" w:fill="FFFFFF"/>
        <w:spacing w:before="120" w:after="120"/>
        <w:ind w:firstLine="720"/>
      </w:pPr>
      <w:r w:rsidRPr="00517A3B">
        <w:t>1.</w:t>
      </w:r>
      <w:r w:rsidRPr="00517A3B">
        <w:tab/>
      </w:r>
      <w:r w:rsidRPr="00517A3B">
        <w:rPr>
          <w:i/>
        </w:rPr>
        <w:t>Welcomes</w:t>
      </w:r>
      <w:r w:rsidRPr="00517A3B">
        <w:t xml:space="preserve"> the outcome of the third ad hoc intergovernmental and multi-stakeholder meeting on an intergovernmental science-policy platform on biodiversity and ecosystem services, held in Busan, Republic of Korea, from 7 to 11 June 2010,</w:t>
      </w:r>
      <w:r w:rsidRPr="00C223F8">
        <w:rPr>
          <w:rStyle w:val="FootnoteReference"/>
          <w:sz w:val="22"/>
          <w:szCs w:val="22"/>
          <w:u w:val="none"/>
          <w:vertAlign w:val="superscript"/>
        </w:rPr>
        <w:footnoteReference w:id="2"/>
      </w:r>
      <w:r w:rsidRPr="00517A3B">
        <w:t xml:space="preserve"> and its conclusion that an intergovernmental science-policy platform on biodiversity and ecosystem services should be established;</w:t>
      </w:r>
    </w:p>
    <w:p w14:paraId="40594E05" w14:textId="77777777" w:rsidR="00586CDA" w:rsidRPr="00517A3B" w:rsidRDefault="00586CDA" w:rsidP="00586CDA">
      <w:pPr>
        <w:shd w:val="clear" w:color="auto" w:fill="FFFFFF"/>
        <w:spacing w:before="120" w:after="120"/>
        <w:ind w:firstLine="720"/>
      </w:pPr>
      <w:r w:rsidRPr="00517A3B">
        <w:t>2.</w:t>
      </w:r>
      <w:r w:rsidRPr="00517A3B">
        <w:tab/>
      </w:r>
      <w:r w:rsidRPr="00517A3B">
        <w:rPr>
          <w:i/>
        </w:rPr>
        <w:t>Noting</w:t>
      </w:r>
      <w:r w:rsidRPr="00517A3B">
        <w:t xml:space="preserve"> that 2010 is the International Year of Biodiversity, </w:t>
      </w:r>
      <w:r w:rsidRPr="00517A3B">
        <w:rPr>
          <w:i/>
        </w:rPr>
        <w:t>encourages</w:t>
      </w:r>
      <w:r w:rsidRPr="00517A3B">
        <w:t xml:space="preserve"> the United Nations General Assembly at its sixty-fifth session to consider the establishment of the intergovernmental science-policy platform at the earliest opportunity;</w:t>
      </w:r>
    </w:p>
    <w:p w14:paraId="3D12DC8D" w14:textId="77777777" w:rsidR="00586CDA" w:rsidRPr="00517A3B" w:rsidRDefault="00586CDA" w:rsidP="00586CDA">
      <w:pPr>
        <w:shd w:val="clear" w:color="auto" w:fill="FFFFFF"/>
        <w:spacing w:before="120" w:after="120"/>
        <w:ind w:firstLine="720"/>
      </w:pPr>
      <w:r w:rsidRPr="00517A3B">
        <w:t>3.</w:t>
      </w:r>
      <w:r w:rsidRPr="00517A3B">
        <w:tab/>
      </w:r>
      <w:r w:rsidRPr="00517A3B">
        <w:rPr>
          <w:i/>
        </w:rPr>
        <w:t xml:space="preserve">Emphasizes </w:t>
      </w:r>
      <w:r w:rsidRPr="00517A3B">
        <w:t xml:space="preserve">the need for the proposed intergovernmental platform to follow the guidance provided by Governments in the outcome of the Busan meeting and be responsive to, </w:t>
      </w:r>
      <w:r w:rsidRPr="00517A3B">
        <w:rPr>
          <w:i/>
        </w:rPr>
        <w:t>inter alia</w:t>
      </w:r>
      <w:r w:rsidRPr="00517A3B">
        <w:t xml:space="preserve">, the needs </w:t>
      </w:r>
      <w:r w:rsidRPr="00517A3B">
        <w:lastRenderedPageBreak/>
        <w:t>of the Convention, and to thereby strengthen the Subsidiary Body on Scientific, Technical and Technological Advice in the delivery of its mandate;</w:t>
      </w:r>
    </w:p>
    <w:p w14:paraId="17A3D2AF" w14:textId="77777777" w:rsidR="00586CDA" w:rsidRPr="00517A3B" w:rsidRDefault="00586CDA" w:rsidP="00586CDA">
      <w:pPr>
        <w:shd w:val="clear" w:color="auto" w:fill="FFFFFF"/>
        <w:spacing w:before="120" w:after="120"/>
        <w:ind w:firstLine="720"/>
      </w:pPr>
      <w:r w:rsidRPr="00517A3B">
        <w:t>4.</w:t>
      </w:r>
      <w:r w:rsidRPr="00517A3B">
        <w:tab/>
      </w:r>
      <w:r w:rsidRPr="00517A3B">
        <w:rPr>
          <w:i/>
        </w:rPr>
        <w:t>Requests</w:t>
      </w:r>
      <w:r w:rsidRPr="00517A3B">
        <w:t xml:space="preserve"> the Executive Secretary, in collaboration with the Bureau of the Subsidiary Body on Scientific, Technical and Technological Advice, to consider, once the arrangements and modalities for the intergovernmental platform are decided, how the Convention could make full and effective use of the platform, seeking complementarity and avoiding duplication between the work of the Convention, in particular the Subsidiary Body on Scientific, Technical and Technological Advice, and the proposed platform, and to report thereon to a meeting of the Subsidiary Body for Scientific, Technical and Technological Advice before the eleventh meeting of the Conference of the Parties. </w:t>
      </w:r>
    </w:p>
    <w:p w14:paraId="02D645AA" w14:textId="77777777" w:rsidR="00C3553C" w:rsidRPr="00F1156B" w:rsidRDefault="00E87ED8" w:rsidP="00E87ED8">
      <w:pPr>
        <w:shd w:val="clear" w:color="auto" w:fill="FFFFFF"/>
        <w:spacing w:before="120" w:after="120"/>
        <w:jc w:val="center"/>
      </w:pPr>
      <w:r>
        <w:t>------</w:t>
      </w:r>
    </w:p>
    <w:bookmarkEnd w:id="0"/>
    <w:p w14:paraId="713B462C" w14:textId="77777777" w:rsidR="004867BE" w:rsidRDefault="004867BE" w:rsidP="0069760C">
      <w:pPr>
        <w:jc w:val="center"/>
      </w:pPr>
    </w:p>
    <w:sectPr w:rsidR="004867BE" w:rsidSect="0095026D">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DDAB8" w14:textId="77777777" w:rsidR="00D060AA" w:rsidRDefault="00D060AA">
      <w:r>
        <w:separator/>
      </w:r>
    </w:p>
  </w:endnote>
  <w:endnote w:type="continuationSeparator" w:id="0">
    <w:p w14:paraId="1576150C" w14:textId="77777777" w:rsidR="00D060AA" w:rsidRDefault="00D06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21751" w14:textId="77777777" w:rsidR="00FD0891" w:rsidRDefault="00FD0891" w:rsidP="00112C4C">
    <w:pPr>
      <w:pStyle w:val="Footer"/>
    </w:pPr>
    <w:r>
      <w:t>/…</w:t>
    </w:r>
  </w:p>
  <w:p w14:paraId="31955A97" w14:textId="77777777" w:rsidR="00FD0891" w:rsidRPr="00112C4C" w:rsidRDefault="00254C0A" w:rsidP="00112C4C">
    <w:pPr>
      <w:pStyle w:val="Footer"/>
    </w:pPr>
    <w:r>
      <w:rPr>
        <w:noProof/>
        <w:lang w:val="en-US"/>
      </w:rPr>
      <mc:AlternateContent>
        <mc:Choice Requires="wps">
          <w:drawing>
            <wp:anchor distT="0" distB="0" distL="114300" distR="114300" simplePos="0" relativeHeight="251657216" behindDoc="0" locked="0" layoutInCell="1" allowOverlap="1" wp14:anchorId="1E53579A" wp14:editId="7E547AEB">
              <wp:simplePos x="0" y="0"/>
              <wp:positionH relativeFrom="column">
                <wp:posOffset>0</wp:posOffset>
              </wp:positionH>
              <wp:positionV relativeFrom="paragraph">
                <wp:posOffset>9525</wp:posOffset>
              </wp:positionV>
              <wp:extent cx="5943600" cy="365760"/>
              <wp:effectExtent l="12700" t="12700" r="12700" b="15240"/>
              <wp:wrapNone/>
              <wp:docPr id="18688509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246AEAC" w14:textId="77777777" w:rsidR="00FD0891" w:rsidRDefault="00FD0891" w:rsidP="0095026D">
                          <w:pPr>
                            <w:rPr>
                              <w:sz w:val="16"/>
                            </w:rPr>
                          </w:pPr>
                          <w:r>
                            <w:rPr>
                              <w:sz w:val="16"/>
                            </w:rPr>
                            <w:t>For reasons of economy, this document is printed in a limited number.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3579A" id="Rectangle 1" o:spid="_x0000_s1026" style="position:absolute;left:0;text-align:left;margin-left:0;margin-top:.75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Bx4iz+IAAAAKAQAADwAA&#13;&#10;AGRycy9kb3ducmV2LnhtbEyPQU/CQBCF7yb8h82QeDGwRQNI6ZYYjDEhSKB68bZ0h7bana3dBcq/&#13;&#10;dzzJZZI3L/Pmfcmis7U4YesrRwpGwwgEUu5MRYWCj/eXwSMIHzQZXTtCBRf0sEh7N4mOjTvTDk9Z&#13;&#10;KASHkI+1gjKEJpbS5yVa7YeuQWLv4FqrA8u2kKbVZw63tbyPoom0uiL+UOoGlyXm39nRKtisllN5&#13;&#10;mH5tXbT6odf1W/a5u7soddvvnuc8nuYgAnbh/wL+GLg/pFxs745kvKgVME3g7RgEm7OHCeu9gvFs&#13;&#10;BDJN5DVC+gsAAP//AwBQSwECLQAUAAYACAAAACEAtoM4kv4AAADhAQAAEwAAAAAAAAAAAAAAAAAA&#13;&#10;AAAAW0NvbnRlbnRfVHlwZXNdLnhtbFBLAQItABQABgAIAAAAIQA4/SH/1gAAAJQBAAALAAAAAAAA&#13;&#10;AAAAAAAAAC8BAABfcmVscy8ucmVsc1BLAQItABQABgAIAAAAIQCbqSN+/QEAAAkEAAAOAAAAAAAA&#13;&#10;AAAAAAAAAC4CAABkcnMvZTJvRG9jLnhtbFBLAQItABQABgAIAAAAIQAHHiLP4gAAAAoBAAAPAAAA&#13;&#10;AAAAAAAAAAAAAFcEAABkcnMvZG93bnJldi54bWxQSwUGAAAAAAQABADzAAAAZgUAAAAA&#13;&#10;" strokeweight="3pt">
              <v:path arrowok="t"/>
              <v:textbox inset="0,0,0,0">
                <w:txbxContent>
                  <w:p w14:paraId="0246AEAC" w14:textId="77777777" w:rsidR="00FD0891" w:rsidRDefault="00FD0891" w:rsidP="0095026D">
                    <w:pPr>
                      <w:rPr>
                        <w:sz w:val="16"/>
                      </w:rPr>
                    </w:pPr>
                    <w:r>
                      <w:rPr>
                        <w:sz w:val="16"/>
                      </w:rPr>
                      <w:t>For reasons of economy, this document is printed in a limited number.  Delegates are kindly requested to bring their copies to meetings and not to request additional copies</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E0E1" w14:textId="77777777" w:rsidR="00D53308" w:rsidRDefault="00D53308">
    <w:pPr>
      <w:pStyle w:val="Footer"/>
    </w:pPr>
    <w:r>
      <w:t>/…</w:t>
    </w:r>
  </w:p>
  <w:p w14:paraId="5156CB37" w14:textId="77777777" w:rsidR="00FD0891" w:rsidRDefault="00254C0A">
    <w:pPr>
      <w:pStyle w:val="Footer"/>
    </w:pPr>
    <w:r>
      <w:rPr>
        <w:noProof/>
        <w:lang w:val="en-US"/>
      </w:rPr>
      <mc:AlternateContent>
        <mc:Choice Requires="wps">
          <w:drawing>
            <wp:anchor distT="0" distB="0" distL="114300" distR="114300" simplePos="0" relativeHeight="251658240" behindDoc="0" locked="0" layoutInCell="1" allowOverlap="1" wp14:anchorId="09FC909F" wp14:editId="3944D1FE">
              <wp:simplePos x="0" y="0"/>
              <wp:positionH relativeFrom="column">
                <wp:posOffset>0</wp:posOffset>
              </wp:positionH>
              <wp:positionV relativeFrom="paragraph">
                <wp:posOffset>12700</wp:posOffset>
              </wp:positionV>
              <wp:extent cx="5943600" cy="365760"/>
              <wp:effectExtent l="12700" t="12700" r="12700" b="15240"/>
              <wp:wrapNone/>
              <wp:docPr id="43585857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721264" w14:textId="77777777" w:rsidR="00FD0891" w:rsidRPr="006015AE" w:rsidRDefault="00FD089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83876CC" w14:textId="77777777" w:rsidR="00FD0891" w:rsidRPr="006015AE" w:rsidRDefault="00FD0891"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C909F" id="Rectangle 2" o:spid="_x0000_s1027" style="position:absolute;left:0;text-align:left;margin-left:0;margin-top:1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79721264" w14:textId="77777777" w:rsidR="00FD0891" w:rsidRPr="006015AE" w:rsidRDefault="00FD089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83876CC" w14:textId="77777777" w:rsidR="00FD0891" w:rsidRPr="006015AE" w:rsidRDefault="00FD0891" w:rsidP="00541D21">
                    <w:pPr>
                      <w:rPr>
                        <w:color w:val="000000"/>
                        <w:sz w:val="16"/>
                        <w:szCs w:val="16"/>
                      </w:rPr>
                    </w:pPr>
                  </w:p>
                </w:txbxContent>
              </v:textbox>
            </v:rect>
          </w:pict>
        </mc:Fallback>
      </mc:AlternateContent>
    </w:r>
  </w:p>
  <w:p w14:paraId="09BECEA8" w14:textId="77777777" w:rsidR="00FD0891" w:rsidRDefault="00FD0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8F970" w14:textId="77777777" w:rsidR="00D060AA" w:rsidRDefault="00D060AA">
      <w:r>
        <w:separator/>
      </w:r>
    </w:p>
  </w:footnote>
  <w:footnote w:type="continuationSeparator" w:id="0">
    <w:p w14:paraId="011B7484" w14:textId="77777777" w:rsidR="00D060AA" w:rsidRDefault="00D060AA">
      <w:r>
        <w:continuationSeparator/>
      </w:r>
    </w:p>
  </w:footnote>
  <w:footnote w:id="1">
    <w:p w14:paraId="2038D9E3" w14:textId="77777777" w:rsidR="00586CDA" w:rsidRDefault="00586CDA" w:rsidP="00586CDA">
      <w:pPr>
        <w:pStyle w:val="FootnoteText"/>
        <w:ind w:firstLine="0"/>
      </w:pPr>
      <w:r w:rsidRPr="00C223F8">
        <w:rPr>
          <w:rStyle w:val="FootnoteReference"/>
          <w:sz w:val="22"/>
          <w:szCs w:val="22"/>
          <w:u w:val="none"/>
          <w:vertAlign w:val="superscript"/>
        </w:rPr>
        <w:footnoteRef/>
      </w:r>
      <w:r>
        <w:t xml:space="preserve"> </w:t>
      </w:r>
      <w:r w:rsidRPr="00627F75">
        <w:rPr>
          <w:szCs w:val="18"/>
        </w:rPr>
        <w:t>Decision VIII/10.</w:t>
      </w:r>
    </w:p>
  </w:footnote>
  <w:footnote w:id="2">
    <w:p w14:paraId="400BA06C" w14:textId="77777777" w:rsidR="00586CDA" w:rsidRPr="00497224" w:rsidRDefault="00586CDA" w:rsidP="00586CDA">
      <w:pPr>
        <w:pStyle w:val="FootnoteText"/>
        <w:ind w:firstLine="0"/>
        <w:rPr>
          <w:lang w:val="en-US"/>
        </w:rPr>
      </w:pPr>
      <w:r w:rsidRPr="00C223F8">
        <w:rPr>
          <w:rStyle w:val="FootnoteReference"/>
          <w:sz w:val="22"/>
          <w:szCs w:val="22"/>
          <w:u w:val="none"/>
          <w:vertAlign w:val="superscript"/>
        </w:rPr>
        <w:footnoteRef/>
      </w:r>
      <w:r>
        <w:t xml:space="preserve"> IPBES/3/3, annex.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D9DEC" w14:textId="77777777" w:rsidR="00C223F8" w:rsidRDefault="00C223F8" w:rsidP="00C223F8">
    <w:r>
      <w:t>UNEP/CBD/COP/DEC/X/11</w:t>
    </w:r>
  </w:p>
  <w:p w14:paraId="48B052AB" w14:textId="77777777" w:rsidR="00FD0891" w:rsidRDefault="00FD0891">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022725">
      <w:rPr>
        <w:rStyle w:val="PageNumber"/>
        <w:noProof/>
      </w:rPr>
      <w:t>2</w:t>
    </w:r>
    <w:r>
      <w:rPr>
        <w:rStyle w:val="PageNumber"/>
      </w:rPr>
      <w:fldChar w:fldCharType="end"/>
    </w:r>
  </w:p>
  <w:p w14:paraId="2F6049CE" w14:textId="77777777" w:rsidR="00FD0891" w:rsidRDefault="00FD08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CA7F" w14:textId="77777777" w:rsidR="00FD0891" w:rsidRDefault="00FD0891" w:rsidP="00112C4C">
    <w:pPr>
      <w:ind w:left="5400"/>
    </w:pPr>
    <w:r>
      <w:t>UNEP/CBD/BS/COP-MOP/2/WG.1/CRP.1</w:t>
    </w:r>
  </w:p>
  <w:p w14:paraId="05292F39" w14:textId="77777777" w:rsidR="00FD0891" w:rsidRDefault="00FD0891" w:rsidP="00112C4C">
    <w:pPr>
      <w:pStyle w:val="Header"/>
      <w:ind w:left="540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18056351" w14:textId="77777777" w:rsidR="00FD0891" w:rsidRDefault="00FD08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3F734D"/>
    <w:multiLevelType w:val="hybridMultilevel"/>
    <w:tmpl w:val="89D2BF6A"/>
    <w:lvl w:ilvl="0" w:tplc="DBB67F20">
      <w:start w:val="5"/>
      <w:numFmt w:val="lowerRoman"/>
      <w:lvlText w:val="(%1)"/>
      <w:lvlJc w:val="left"/>
      <w:pPr>
        <w:tabs>
          <w:tab w:val="num" w:pos="2138"/>
        </w:tabs>
        <w:ind w:left="2138" w:hanging="720"/>
      </w:pPr>
      <w:rPr>
        <w:rFonts w:hint="default"/>
      </w:rPr>
    </w:lvl>
    <w:lvl w:ilvl="1" w:tplc="10090003">
      <w:start w:val="1"/>
      <w:numFmt w:val="lowerLetter"/>
      <w:lvlText w:val="%2."/>
      <w:lvlJc w:val="left"/>
      <w:pPr>
        <w:tabs>
          <w:tab w:val="num" w:pos="2498"/>
        </w:tabs>
        <w:ind w:left="2498" w:hanging="360"/>
      </w:pPr>
    </w:lvl>
    <w:lvl w:ilvl="2" w:tplc="10090005">
      <w:start w:val="1"/>
      <w:numFmt w:val="lowerRoman"/>
      <w:lvlText w:val="%3."/>
      <w:lvlJc w:val="right"/>
      <w:pPr>
        <w:tabs>
          <w:tab w:val="num" w:pos="3218"/>
        </w:tabs>
        <w:ind w:left="3218" w:hanging="180"/>
      </w:pPr>
    </w:lvl>
    <w:lvl w:ilvl="3" w:tplc="10090001" w:tentative="1">
      <w:start w:val="1"/>
      <w:numFmt w:val="decimal"/>
      <w:lvlText w:val="%4."/>
      <w:lvlJc w:val="left"/>
      <w:pPr>
        <w:tabs>
          <w:tab w:val="num" w:pos="3938"/>
        </w:tabs>
        <w:ind w:left="3938" w:hanging="360"/>
      </w:pPr>
    </w:lvl>
    <w:lvl w:ilvl="4" w:tplc="10090003" w:tentative="1">
      <w:start w:val="1"/>
      <w:numFmt w:val="lowerLetter"/>
      <w:lvlText w:val="%5."/>
      <w:lvlJc w:val="left"/>
      <w:pPr>
        <w:tabs>
          <w:tab w:val="num" w:pos="4658"/>
        </w:tabs>
        <w:ind w:left="4658" w:hanging="360"/>
      </w:pPr>
    </w:lvl>
    <w:lvl w:ilvl="5" w:tplc="10090005" w:tentative="1">
      <w:start w:val="1"/>
      <w:numFmt w:val="lowerRoman"/>
      <w:lvlText w:val="%6."/>
      <w:lvlJc w:val="right"/>
      <w:pPr>
        <w:tabs>
          <w:tab w:val="num" w:pos="5378"/>
        </w:tabs>
        <w:ind w:left="5378" w:hanging="180"/>
      </w:pPr>
    </w:lvl>
    <w:lvl w:ilvl="6" w:tplc="10090001" w:tentative="1">
      <w:start w:val="1"/>
      <w:numFmt w:val="decimal"/>
      <w:lvlText w:val="%7."/>
      <w:lvlJc w:val="left"/>
      <w:pPr>
        <w:tabs>
          <w:tab w:val="num" w:pos="6098"/>
        </w:tabs>
        <w:ind w:left="6098" w:hanging="360"/>
      </w:pPr>
    </w:lvl>
    <w:lvl w:ilvl="7" w:tplc="10090003" w:tentative="1">
      <w:start w:val="1"/>
      <w:numFmt w:val="lowerLetter"/>
      <w:lvlText w:val="%8."/>
      <w:lvlJc w:val="left"/>
      <w:pPr>
        <w:tabs>
          <w:tab w:val="num" w:pos="6818"/>
        </w:tabs>
        <w:ind w:left="6818" w:hanging="360"/>
      </w:pPr>
    </w:lvl>
    <w:lvl w:ilvl="8" w:tplc="10090005" w:tentative="1">
      <w:start w:val="1"/>
      <w:numFmt w:val="lowerRoman"/>
      <w:lvlText w:val="%9."/>
      <w:lvlJc w:val="right"/>
      <w:pPr>
        <w:tabs>
          <w:tab w:val="num" w:pos="7538"/>
        </w:tabs>
        <w:ind w:left="7538" w:hanging="180"/>
      </w:pPr>
    </w:lvl>
  </w:abstractNum>
  <w:abstractNum w:abstractNumId="2"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6"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E6A6598"/>
    <w:multiLevelType w:val="hybridMultilevel"/>
    <w:tmpl w:val="C2A0F0AC"/>
    <w:lvl w:ilvl="0" w:tplc="DDAE106E">
      <w:start w:val="8"/>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12" w15:restartNumberingAfterBreak="0">
    <w:nsid w:val="72CC46C4"/>
    <w:multiLevelType w:val="hybridMultilevel"/>
    <w:tmpl w:val="AFD62C7A"/>
    <w:lvl w:ilvl="0" w:tplc="FFFFFFFF">
      <w:start w:val="9"/>
      <w:numFmt w:val="lowerRoman"/>
      <w:lvlText w:val="(%1)"/>
      <w:lvlJc w:val="left"/>
      <w:pPr>
        <w:tabs>
          <w:tab w:val="num" w:pos="2138"/>
        </w:tabs>
        <w:ind w:left="2138" w:hanging="720"/>
      </w:pPr>
      <w:rPr>
        <w:rFonts w:hint="default"/>
      </w:rPr>
    </w:lvl>
    <w:lvl w:ilvl="1" w:tplc="FFFFFFFF" w:tentative="1">
      <w:start w:val="1"/>
      <w:numFmt w:val="lowerLetter"/>
      <w:lvlText w:val="%2."/>
      <w:lvlJc w:val="left"/>
      <w:pPr>
        <w:tabs>
          <w:tab w:val="num" w:pos="2498"/>
        </w:tabs>
        <w:ind w:left="2498" w:hanging="360"/>
      </w:pPr>
    </w:lvl>
    <w:lvl w:ilvl="2" w:tplc="FFFFFFFF" w:tentative="1">
      <w:start w:val="1"/>
      <w:numFmt w:val="lowerRoman"/>
      <w:lvlText w:val="%3."/>
      <w:lvlJc w:val="right"/>
      <w:pPr>
        <w:tabs>
          <w:tab w:val="num" w:pos="3218"/>
        </w:tabs>
        <w:ind w:left="3218" w:hanging="180"/>
      </w:pPr>
    </w:lvl>
    <w:lvl w:ilvl="3" w:tplc="FFFFFFFF" w:tentative="1">
      <w:start w:val="1"/>
      <w:numFmt w:val="decimal"/>
      <w:lvlText w:val="%4."/>
      <w:lvlJc w:val="left"/>
      <w:pPr>
        <w:tabs>
          <w:tab w:val="num" w:pos="3938"/>
        </w:tabs>
        <w:ind w:left="3938" w:hanging="360"/>
      </w:pPr>
    </w:lvl>
    <w:lvl w:ilvl="4" w:tplc="FFFFFFFF" w:tentative="1">
      <w:start w:val="1"/>
      <w:numFmt w:val="lowerLetter"/>
      <w:lvlText w:val="%5."/>
      <w:lvlJc w:val="left"/>
      <w:pPr>
        <w:tabs>
          <w:tab w:val="num" w:pos="4658"/>
        </w:tabs>
        <w:ind w:left="4658" w:hanging="360"/>
      </w:pPr>
    </w:lvl>
    <w:lvl w:ilvl="5" w:tplc="FFFFFFFF" w:tentative="1">
      <w:start w:val="1"/>
      <w:numFmt w:val="lowerRoman"/>
      <w:lvlText w:val="%6."/>
      <w:lvlJc w:val="right"/>
      <w:pPr>
        <w:tabs>
          <w:tab w:val="num" w:pos="5378"/>
        </w:tabs>
        <w:ind w:left="5378" w:hanging="180"/>
      </w:pPr>
    </w:lvl>
    <w:lvl w:ilvl="6" w:tplc="FFFFFFFF" w:tentative="1">
      <w:start w:val="1"/>
      <w:numFmt w:val="decimal"/>
      <w:lvlText w:val="%7."/>
      <w:lvlJc w:val="left"/>
      <w:pPr>
        <w:tabs>
          <w:tab w:val="num" w:pos="6098"/>
        </w:tabs>
        <w:ind w:left="6098" w:hanging="360"/>
      </w:pPr>
    </w:lvl>
    <w:lvl w:ilvl="7" w:tplc="FFFFFFFF" w:tentative="1">
      <w:start w:val="1"/>
      <w:numFmt w:val="lowerLetter"/>
      <w:lvlText w:val="%8."/>
      <w:lvlJc w:val="left"/>
      <w:pPr>
        <w:tabs>
          <w:tab w:val="num" w:pos="6818"/>
        </w:tabs>
        <w:ind w:left="6818" w:hanging="360"/>
      </w:pPr>
    </w:lvl>
    <w:lvl w:ilvl="8" w:tplc="FFFFFFFF" w:tentative="1">
      <w:start w:val="1"/>
      <w:numFmt w:val="lowerRoman"/>
      <w:lvlText w:val="%9."/>
      <w:lvlJc w:val="right"/>
      <w:pPr>
        <w:tabs>
          <w:tab w:val="num" w:pos="7538"/>
        </w:tabs>
        <w:ind w:left="7538" w:hanging="180"/>
      </w:pPr>
    </w:lvl>
  </w:abstractNum>
  <w:abstractNum w:abstractNumId="13" w15:restartNumberingAfterBreak="0">
    <w:nsid w:val="77ED03D2"/>
    <w:multiLevelType w:val="hybridMultilevel"/>
    <w:tmpl w:val="47028FC0"/>
    <w:lvl w:ilvl="0" w:tplc="E2EE5C1E">
      <w:start w:val="1"/>
      <w:numFmt w:val="lowerRoman"/>
      <w:lvlText w:val="(%1)"/>
      <w:lvlJc w:val="left"/>
      <w:pPr>
        <w:ind w:left="2160" w:hanging="360"/>
      </w:pPr>
      <w:rPr>
        <w:rFonts w:ascii="Times New Roman" w:eastAsia="Times New Roman" w:hAnsi="Times New Roman" w:cs="Wingding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005397530">
    <w:abstractNumId w:val="9"/>
  </w:num>
  <w:num w:numId="2" w16cid:durableId="1626430194">
    <w:abstractNumId w:val="6"/>
  </w:num>
  <w:num w:numId="3" w16cid:durableId="833574113">
    <w:abstractNumId w:val="10"/>
  </w:num>
  <w:num w:numId="4" w16cid:durableId="270744799">
    <w:abstractNumId w:val="2"/>
  </w:num>
  <w:num w:numId="5" w16cid:durableId="60103414">
    <w:abstractNumId w:val="0"/>
  </w:num>
  <w:num w:numId="6" w16cid:durableId="191501038">
    <w:abstractNumId w:val="3"/>
  </w:num>
  <w:num w:numId="7" w16cid:durableId="1654990755">
    <w:abstractNumId w:val="9"/>
  </w:num>
  <w:num w:numId="8" w16cid:durableId="1673677764">
    <w:abstractNumId w:val="7"/>
  </w:num>
  <w:num w:numId="9" w16cid:durableId="1743478675">
    <w:abstractNumId w:val="4"/>
  </w:num>
  <w:num w:numId="10" w16cid:durableId="1246919101">
    <w:abstractNumId w:val="9"/>
  </w:num>
  <w:num w:numId="11" w16cid:durableId="637413989">
    <w:abstractNumId w:val="8"/>
  </w:num>
  <w:num w:numId="12" w16cid:durableId="356974793">
    <w:abstractNumId w:val="5"/>
  </w:num>
  <w:num w:numId="13" w16cid:durableId="1356230018">
    <w:abstractNumId w:val="13"/>
  </w:num>
  <w:num w:numId="14" w16cid:durableId="1401557572">
    <w:abstractNumId w:val="1"/>
  </w:num>
  <w:num w:numId="15" w16cid:durableId="2027633962">
    <w:abstractNumId w:val="12"/>
  </w:num>
  <w:num w:numId="16" w16cid:durableId="6747706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22725"/>
    <w:rsid w:val="00076698"/>
    <w:rsid w:val="000829C8"/>
    <w:rsid w:val="000C37D8"/>
    <w:rsid w:val="000D032C"/>
    <w:rsid w:val="000E4095"/>
    <w:rsid w:val="000E41E5"/>
    <w:rsid w:val="000F72C1"/>
    <w:rsid w:val="00112C4C"/>
    <w:rsid w:val="00122539"/>
    <w:rsid w:val="00126A32"/>
    <w:rsid w:val="001A630E"/>
    <w:rsid w:val="001B7B28"/>
    <w:rsid w:val="001D4AF9"/>
    <w:rsid w:val="00216F55"/>
    <w:rsid w:val="00227B28"/>
    <w:rsid w:val="00254C0A"/>
    <w:rsid w:val="00273440"/>
    <w:rsid w:val="00275C69"/>
    <w:rsid w:val="002838D4"/>
    <w:rsid w:val="00294CB4"/>
    <w:rsid w:val="002F1267"/>
    <w:rsid w:val="00344EF9"/>
    <w:rsid w:val="003A68D2"/>
    <w:rsid w:val="003D794F"/>
    <w:rsid w:val="00456617"/>
    <w:rsid w:val="004867BE"/>
    <w:rsid w:val="00497224"/>
    <w:rsid w:val="004B3F75"/>
    <w:rsid w:val="004C669E"/>
    <w:rsid w:val="004D0A15"/>
    <w:rsid w:val="004E0303"/>
    <w:rsid w:val="005360F5"/>
    <w:rsid w:val="00541D21"/>
    <w:rsid w:val="00552172"/>
    <w:rsid w:val="005550E4"/>
    <w:rsid w:val="00586CDA"/>
    <w:rsid w:val="005D2FEB"/>
    <w:rsid w:val="005D6C3F"/>
    <w:rsid w:val="0069760C"/>
    <w:rsid w:val="006A4592"/>
    <w:rsid w:val="006C736D"/>
    <w:rsid w:val="00707973"/>
    <w:rsid w:val="0071521C"/>
    <w:rsid w:val="00723989"/>
    <w:rsid w:val="007468F3"/>
    <w:rsid w:val="007C46A0"/>
    <w:rsid w:val="007F2A71"/>
    <w:rsid w:val="00807905"/>
    <w:rsid w:val="00822E94"/>
    <w:rsid w:val="00835E9A"/>
    <w:rsid w:val="00872F01"/>
    <w:rsid w:val="00873AE9"/>
    <w:rsid w:val="008A0896"/>
    <w:rsid w:val="008A2027"/>
    <w:rsid w:val="008B2D68"/>
    <w:rsid w:val="008C3FC1"/>
    <w:rsid w:val="008E0980"/>
    <w:rsid w:val="008F0525"/>
    <w:rsid w:val="00917369"/>
    <w:rsid w:val="00920F23"/>
    <w:rsid w:val="0095026D"/>
    <w:rsid w:val="00951236"/>
    <w:rsid w:val="009518F0"/>
    <w:rsid w:val="00976134"/>
    <w:rsid w:val="00977BD2"/>
    <w:rsid w:val="009967E6"/>
    <w:rsid w:val="009D3D3F"/>
    <w:rsid w:val="009D478C"/>
    <w:rsid w:val="00A436BF"/>
    <w:rsid w:val="00AA3ABB"/>
    <w:rsid w:val="00AA679E"/>
    <w:rsid w:val="00AB68BE"/>
    <w:rsid w:val="00AE1BC8"/>
    <w:rsid w:val="00B679FB"/>
    <w:rsid w:val="00B96D3B"/>
    <w:rsid w:val="00BD2049"/>
    <w:rsid w:val="00BD7111"/>
    <w:rsid w:val="00BE5278"/>
    <w:rsid w:val="00BF7B19"/>
    <w:rsid w:val="00C223F8"/>
    <w:rsid w:val="00C3553C"/>
    <w:rsid w:val="00C63C80"/>
    <w:rsid w:val="00C72D3C"/>
    <w:rsid w:val="00C7315D"/>
    <w:rsid w:val="00CC71E5"/>
    <w:rsid w:val="00CE3234"/>
    <w:rsid w:val="00CE675B"/>
    <w:rsid w:val="00CF2081"/>
    <w:rsid w:val="00D04C39"/>
    <w:rsid w:val="00D060AA"/>
    <w:rsid w:val="00D22812"/>
    <w:rsid w:val="00D40CD7"/>
    <w:rsid w:val="00D53308"/>
    <w:rsid w:val="00D9583D"/>
    <w:rsid w:val="00DA637F"/>
    <w:rsid w:val="00DC303B"/>
    <w:rsid w:val="00DF6F85"/>
    <w:rsid w:val="00E041A5"/>
    <w:rsid w:val="00E52940"/>
    <w:rsid w:val="00E73198"/>
    <w:rsid w:val="00E87ED8"/>
    <w:rsid w:val="00EA44B8"/>
    <w:rsid w:val="00EC6C5B"/>
    <w:rsid w:val="00EF6308"/>
    <w:rsid w:val="00F01C51"/>
    <w:rsid w:val="00F10F50"/>
    <w:rsid w:val="00F12D9C"/>
    <w:rsid w:val="00F2672A"/>
    <w:rsid w:val="00F424E6"/>
    <w:rsid w:val="00FD08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68072"/>
  <w15:chartTrackingRefBased/>
  <w15:docId w15:val="{5B3C750C-3171-AC45-8CB1-1A9481AE1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paragraph" w:customStyle="1" w:styleId="Heading-item">
    <w:name w:val="Heading-item"/>
    <w:basedOn w:val="Normal"/>
    <w:next w:val="BodyText"/>
    <w:rsid w:val="00DF6F85"/>
    <w:pPr>
      <w:keepNext/>
      <w:spacing w:before="120" w:after="120"/>
      <w:ind w:left="709" w:hanging="709"/>
    </w:pPr>
    <w:rPr>
      <w:b/>
      <w:bCs/>
      <w:i/>
      <w:iCs/>
    </w:rPr>
  </w:style>
  <w:style w:type="character" w:customStyle="1" w:styleId="Para1Char">
    <w:name w:val="Para1 Char"/>
    <w:basedOn w:val="DefaultParagraphFont"/>
    <w:link w:val="Para1"/>
    <w:rsid w:val="00DF6F85"/>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DF6F85"/>
    <w:rPr>
      <w:sz w:val="18"/>
      <w:szCs w:val="24"/>
      <w:lang w:val="en-GB" w:eastAsia="en-US" w:bidi="ar-SA"/>
    </w:rPr>
  </w:style>
  <w:style w:type="paragraph" w:customStyle="1" w:styleId="Recommendation">
    <w:name w:val="Recommendation"/>
    <w:basedOn w:val="Normal"/>
    <w:rsid w:val="00DF6F85"/>
    <w:pPr>
      <w:keepNext/>
      <w:tabs>
        <w:tab w:val="left" w:pos="720"/>
      </w:tabs>
      <w:spacing w:before="120" w:after="120"/>
      <w:ind w:left="1843" w:right="998" w:hanging="943"/>
      <w:jc w:val="left"/>
      <w:outlineLvl w:val="0"/>
    </w:pPr>
    <w:rPr>
      <w:b/>
      <w:i/>
      <w:iCs/>
    </w:rPr>
  </w:style>
  <w:style w:type="character" w:customStyle="1" w:styleId="FooterChar">
    <w:name w:val="Footer Char"/>
    <w:basedOn w:val="DefaultParagraphFont"/>
    <w:link w:val="Footer"/>
    <w:semiHidden/>
    <w:locked/>
    <w:rsid w:val="00DF6F85"/>
    <w:rPr>
      <w:sz w:val="22"/>
      <w:szCs w:val="24"/>
      <w:lang w:val="en-GB" w:eastAsia="en-US" w:bidi="ar-SA"/>
    </w:rPr>
  </w:style>
  <w:style w:type="character" w:styleId="CommentReference">
    <w:name w:val="annotation reference"/>
    <w:basedOn w:val="DefaultParagraphFont"/>
    <w:rsid w:val="001A630E"/>
    <w:rPr>
      <w:sz w:val="16"/>
    </w:rPr>
  </w:style>
  <w:style w:type="paragraph" w:styleId="CommentText">
    <w:name w:val="annotation text"/>
    <w:basedOn w:val="Normal"/>
    <w:link w:val="CommentTextChar"/>
    <w:rsid w:val="001A630E"/>
    <w:pPr>
      <w:spacing w:after="120" w:line="240" w:lineRule="exact"/>
    </w:pPr>
  </w:style>
  <w:style w:type="character" w:customStyle="1" w:styleId="CommentTextChar">
    <w:name w:val="Comment Text Char"/>
    <w:basedOn w:val="DefaultParagraphFont"/>
    <w:link w:val="CommentText"/>
    <w:rsid w:val="001A630E"/>
    <w:rPr>
      <w:sz w:val="22"/>
      <w:szCs w:val="24"/>
      <w:lang w:val="en-GB" w:eastAsia="en-US" w:bidi="ar-SA"/>
    </w:rPr>
  </w:style>
  <w:style w:type="paragraph" w:styleId="CommentSubject">
    <w:name w:val="annotation subject"/>
    <w:basedOn w:val="CommentText"/>
    <w:next w:val="CommentText"/>
    <w:semiHidden/>
    <w:rsid w:val="009518F0"/>
    <w:pPr>
      <w:spacing w:after="0" w:line="240" w:lineRule="auto"/>
    </w:pPr>
    <w:rPr>
      <w:b/>
      <w:bCs/>
      <w:sz w:val="20"/>
      <w:szCs w:val="20"/>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586CDA"/>
    <w:rPr>
      <w:sz w:val="18"/>
      <w:szCs w:val="24"/>
      <w:lang w:val="en-GB" w:eastAsia="en-US" w:bidi="ar-SA"/>
    </w:rPr>
  </w:style>
  <w:style w:type="paragraph" w:customStyle="1" w:styleId="Decheadmuliline">
    <w:name w:val="Dec_head muliline"/>
    <w:basedOn w:val="BodyText"/>
    <w:next w:val="BodyText"/>
    <w:rsid w:val="00586CDA"/>
    <w:pPr>
      <w:ind w:left="2127" w:hanging="1276"/>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2</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Decision X/11</vt:lpstr>
    </vt:vector>
  </TitlesOfParts>
  <Company>CBD</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X/11</dc:title>
  <dc:subject>Science-policy interface on biodiversity, ecosystem services and human well-being and consideration of the outcome of the intergovernmental meetings</dc:subject>
  <dc:creator>CBD</dc:creator>
  <cp:keywords/>
  <dc:description/>
  <cp:lastModifiedBy>Rodrigo Elias</cp:lastModifiedBy>
  <cp:revision>2</cp:revision>
  <cp:lastPrinted>2010-10-25T16:04:00Z</cp:lastPrinted>
  <dcterms:created xsi:type="dcterms:W3CDTF">2025-11-13T18:51:00Z</dcterms:created>
  <dcterms:modified xsi:type="dcterms:W3CDTF">2025-11-13T18:51:00Z</dcterms:modified>
</cp:coreProperties>
</file>