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F71A69" w14:paraId="0B0BD583" w14:textId="77777777" w:rsidTr="00F71A69">
        <w:tblPrEx>
          <w:tblCellMar>
            <w:top w:w="0" w:type="dxa"/>
            <w:bottom w:w="0" w:type="dxa"/>
          </w:tblCellMar>
        </w:tblPrEx>
        <w:trPr>
          <w:gridAfter w:val="1"/>
          <w:wAfter w:w="250" w:type="dxa"/>
        </w:trPr>
        <w:tc>
          <w:tcPr>
            <w:tcW w:w="1366" w:type="dxa"/>
            <w:tcBorders>
              <w:top w:val="nil"/>
              <w:bottom w:val="single" w:sz="12" w:space="0" w:color="000000"/>
            </w:tcBorders>
          </w:tcPr>
          <w:p w14:paraId="62EA7AC5" w14:textId="77777777" w:rsidR="00F71A69" w:rsidRDefault="00DE136B" w:rsidP="00F71A69">
            <w:pPr>
              <w:pStyle w:val="BodyText2"/>
            </w:pPr>
            <w:r>
              <w:rPr>
                <w:noProof/>
              </w:rPr>
              <w:drawing>
                <wp:inline distT="0" distB="0" distL="0" distR="0" wp14:anchorId="3FD35A89" wp14:editId="36CF7431">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5874BE4B" w14:textId="77777777" w:rsidR="00F71A69" w:rsidRDefault="00DE136B" w:rsidP="00F71A69">
            <w:r>
              <w:rPr>
                <w:b/>
                <w:noProof/>
              </w:rPr>
              <w:drawing>
                <wp:inline distT="0" distB="0" distL="0" distR="0" wp14:anchorId="3824ECCD" wp14:editId="2C78F157">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11B51E36" w14:textId="77777777" w:rsidR="00F71A69" w:rsidRDefault="00F71A69" w:rsidP="00F71A69">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6C54C4B9" w14:textId="77777777" w:rsidR="00F71A69" w:rsidRDefault="00F71A69" w:rsidP="00F71A69">
            <w:pPr>
              <w:jc w:val="right"/>
              <w:rPr>
                <w:b/>
                <w:sz w:val="28"/>
              </w:rPr>
            </w:pPr>
          </w:p>
        </w:tc>
      </w:tr>
      <w:tr w:rsidR="00F71A69" w14:paraId="59BDED6D" w14:textId="77777777" w:rsidTr="00F71A69">
        <w:tblPrEx>
          <w:tblCellMar>
            <w:top w:w="0" w:type="dxa"/>
            <w:bottom w:w="0" w:type="dxa"/>
          </w:tblCellMar>
        </w:tblPrEx>
        <w:trPr>
          <w:trHeight w:val="1693"/>
        </w:trPr>
        <w:tc>
          <w:tcPr>
            <w:tcW w:w="5230" w:type="dxa"/>
            <w:gridSpan w:val="3"/>
            <w:tcBorders>
              <w:top w:val="nil"/>
              <w:bottom w:val="single" w:sz="36" w:space="0" w:color="000000"/>
            </w:tcBorders>
          </w:tcPr>
          <w:p w14:paraId="600AB012" w14:textId="77777777" w:rsidR="00F71A69" w:rsidRDefault="00F71A69" w:rsidP="00F71A69"/>
          <w:p w14:paraId="15118632" w14:textId="77777777" w:rsidR="00F71A69" w:rsidRPr="00A36C97" w:rsidRDefault="00DE136B" w:rsidP="00F71A69">
            <w:r w:rsidRPr="00A36C97">
              <w:rPr>
                <w:noProof/>
              </w:rPr>
              <w:drawing>
                <wp:inline distT="0" distB="0" distL="0" distR="0" wp14:anchorId="5A56E150" wp14:editId="520EAFED">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5C55F5F8" w14:textId="77777777" w:rsidR="00F71A69" w:rsidRDefault="00F71A69" w:rsidP="00F71A69">
            <w:pPr>
              <w:rPr>
                <w:rFonts w:ascii="Univers" w:hAnsi="Univers"/>
                <w:sz w:val="32"/>
              </w:rPr>
            </w:pPr>
          </w:p>
        </w:tc>
        <w:tc>
          <w:tcPr>
            <w:tcW w:w="1540" w:type="dxa"/>
            <w:tcBorders>
              <w:top w:val="nil"/>
              <w:bottom w:val="single" w:sz="36" w:space="0" w:color="000000"/>
            </w:tcBorders>
          </w:tcPr>
          <w:p w14:paraId="68CA01B5" w14:textId="77777777" w:rsidR="00F71A69" w:rsidRDefault="00F71A69" w:rsidP="00F71A69">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28B07C0F" w14:textId="77777777" w:rsidR="00F71A69" w:rsidRDefault="00F71A69" w:rsidP="007A6DAD">
            <w:pPr>
              <w:ind w:left="502"/>
            </w:pPr>
            <w:r>
              <w:t>Distr.</w:t>
            </w:r>
          </w:p>
          <w:p w14:paraId="1594163B" w14:textId="77777777" w:rsidR="00F71A69" w:rsidRDefault="007A6DAD" w:rsidP="007A6DAD">
            <w:pPr>
              <w:ind w:left="502"/>
            </w:pPr>
            <w:r>
              <w:t>GENERAL</w:t>
            </w:r>
          </w:p>
          <w:p w14:paraId="6D25938C" w14:textId="77777777" w:rsidR="00F71A69" w:rsidRDefault="00F71A69" w:rsidP="007A6DAD">
            <w:pPr>
              <w:ind w:left="502"/>
            </w:pPr>
          </w:p>
          <w:p w14:paraId="559A51F3" w14:textId="77777777" w:rsidR="00F71A69" w:rsidRDefault="00024975" w:rsidP="007A6DAD">
            <w:pPr>
              <w:ind w:left="502"/>
            </w:pPr>
            <w:r>
              <w:t>UNEP/CBD/COP/DEC/X/12</w:t>
            </w:r>
          </w:p>
          <w:p w14:paraId="1C46CD4B" w14:textId="77777777" w:rsidR="00F71A69" w:rsidRDefault="00F71A69" w:rsidP="007A6DAD">
            <w:pPr>
              <w:ind w:left="502"/>
            </w:pPr>
            <w:r>
              <w:t>29 October 2010</w:t>
            </w:r>
          </w:p>
          <w:p w14:paraId="633E6CF1" w14:textId="77777777" w:rsidR="00F71A69" w:rsidRDefault="00F71A69" w:rsidP="007A6DAD">
            <w:pPr>
              <w:ind w:left="502"/>
            </w:pPr>
          </w:p>
          <w:p w14:paraId="6CE64A51" w14:textId="77777777" w:rsidR="00F71A69" w:rsidRDefault="00F71A69" w:rsidP="007A6DAD">
            <w:pPr>
              <w:ind w:left="502"/>
              <w:rPr>
                <w:b/>
                <w:bCs/>
                <w:color w:val="FF0000"/>
                <w:sz w:val="40"/>
                <w:u w:val="single"/>
              </w:rPr>
            </w:pPr>
            <w:r>
              <w:t>ORIGINAL:  ENGLISH</w:t>
            </w:r>
          </w:p>
        </w:tc>
      </w:tr>
    </w:tbl>
    <w:p w14:paraId="664A4CEE" w14:textId="77777777" w:rsidR="00F71A69" w:rsidRDefault="00F71A69" w:rsidP="00F71A69">
      <w:pPr>
        <w:pStyle w:val="Cornernotation"/>
        <w:ind w:right="4630"/>
      </w:pPr>
      <w:r>
        <w:rPr>
          <w:szCs w:val="22"/>
        </w:rPr>
        <w:t>CONFERENCE OF THE PARTIES TO THE</w:t>
      </w:r>
      <w:r w:rsidRPr="00B33484">
        <w:rPr>
          <w:szCs w:val="22"/>
        </w:rPr>
        <w:t xml:space="preserve"> CONVENTION ON BIOLOGICAL DIVERSITY</w:t>
      </w:r>
    </w:p>
    <w:p w14:paraId="4B763A99" w14:textId="77777777" w:rsidR="00F71A69" w:rsidRDefault="00F71A69" w:rsidP="00F71A69">
      <w:pPr>
        <w:pStyle w:val="Cornernotation"/>
      </w:pPr>
      <w:r>
        <w:t>Tenth meeting</w:t>
      </w:r>
    </w:p>
    <w:p w14:paraId="11B2EE41" w14:textId="77777777" w:rsidR="00F71A69" w:rsidRDefault="00F71A69" w:rsidP="00F71A69">
      <w:pPr>
        <w:pStyle w:val="Cornernotation"/>
      </w:pPr>
      <w:r>
        <w:t>Nagoya, Japan, 18-29 October 2010</w:t>
      </w:r>
    </w:p>
    <w:p w14:paraId="186AF1F5" w14:textId="77777777" w:rsidR="0095026D" w:rsidRDefault="0069760C" w:rsidP="0069760C">
      <w:pPr>
        <w:pStyle w:val="Para10"/>
        <w:numPr>
          <w:ilvl w:val="0"/>
          <w:numId w:val="0"/>
        </w:numPr>
        <w:jc w:val="left"/>
        <w:sectPr w:rsidR="0095026D" w:rsidSect="0095026D">
          <w:headerReference w:type="even" r:id="rId10"/>
          <w:headerReference w:type="default" r:id="rId11"/>
          <w:footerReference w:type="default" r:id="rId12"/>
          <w:footerReference w:type="first" r:id="rId13"/>
          <w:pgSz w:w="12240" w:h="15840" w:code="1"/>
          <w:pgMar w:top="1134" w:right="1440" w:bottom="1134" w:left="1440" w:header="720" w:footer="720" w:gutter="0"/>
          <w:cols w:space="720"/>
          <w:titlePg/>
          <w:docGrid w:linePitch="360"/>
        </w:sectPr>
      </w:pPr>
      <w:r>
        <w:t xml:space="preserve">Agenda item </w:t>
      </w:r>
      <w:r w:rsidR="00D7473B">
        <w:t>4</w:t>
      </w:r>
      <w:r w:rsidR="0095026D">
        <w:t>.</w:t>
      </w:r>
      <w:r w:rsidR="00D7473B">
        <w:t>3 (</w:t>
      </w:r>
      <w:r w:rsidR="00D85DDF">
        <w:t>d</w:t>
      </w:r>
      <w:r w:rsidR="00D7473B">
        <w:t>)</w:t>
      </w:r>
    </w:p>
    <w:p w14:paraId="59D0FC46" w14:textId="77777777" w:rsidR="007A6DAD" w:rsidRDefault="007A6DAD" w:rsidP="007A6DAD">
      <w:pPr>
        <w:pStyle w:val="Heading1"/>
      </w:pPr>
      <w:bookmarkStart w:id="0" w:name="_Toc278461453"/>
      <w:r>
        <w:t>DECISION ADOPTED BY THE CONFERENCE OF THE PARTIES TO THE CONVENTION ON BIOLOGICAL DIVERSITY AT ITS TENTH MEETING</w:t>
      </w:r>
    </w:p>
    <w:p w14:paraId="416AF314" w14:textId="77777777" w:rsidR="007A6DAD" w:rsidRPr="00517A3B" w:rsidRDefault="007A6DAD" w:rsidP="007A6DAD">
      <w:pPr>
        <w:pStyle w:val="Decheadmuliline"/>
      </w:pPr>
      <w:r w:rsidRPr="00517A3B">
        <w:rPr>
          <w:lang w:eastAsia="en-CA"/>
        </w:rPr>
        <w:t>X/12.</w:t>
      </w:r>
      <w:r w:rsidRPr="00517A3B">
        <w:rPr>
          <w:lang w:eastAsia="en-CA"/>
        </w:rPr>
        <w:tab/>
      </w:r>
      <w:r w:rsidRPr="00517A3B">
        <w:t>Ways and means to improve the effectiveness of the Subsidiary Body on Scientific, Technical and Technological Advice</w:t>
      </w:r>
      <w:bookmarkEnd w:id="0"/>
    </w:p>
    <w:p w14:paraId="3EFC2473" w14:textId="77777777" w:rsidR="007A6DAD" w:rsidRPr="00517A3B" w:rsidRDefault="007A6DAD" w:rsidP="007A6DAD">
      <w:pPr>
        <w:pStyle w:val="Para10"/>
        <w:keepNext/>
        <w:numPr>
          <w:ilvl w:val="0"/>
          <w:numId w:val="0"/>
        </w:numPr>
        <w:ind w:firstLine="720"/>
        <w:rPr>
          <w:i/>
        </w:rPr>
      </w:pPr>
      <w:r w:rsidRPr="00517A3B">
        <w:rPr>
          <w:i/>
        </w:rPr>
        <w:t xml:space="preserve">The Conference of the Parties, </w:t>
      </w:r>
    </w:p>
    <w:p w14:paraId="6A0F35FA" w14:textId="77777777" w:rsidR="007A6DAD" w:rsidRPr="00517A3B" w:rsidRDefault="007A6DAD" w:rsidP="007A6DAD">
      <w:pPr>
        <w:pStyle w:val="BodyText"/>
      </w:pPr>
      <w:r w:rsidRPr="00517A3B">
        <w:rPr>
          <w:i/>
        </w:rPr>
        <w:t>Recalling</w:t>
      </w:r>
      <w:r w:rsidRPr="00517A3B">
        <w:t xml:space="preserve"> the consolidated </w:t>
      </w:r>
      <w:r w:rsidRPr="00517A3B">
        <w:rPr>
          <w:i/>
        </w:rPr>
        <w:t>modus operandi</w:t>
      </w:r>
      <w:r w:rsidRPr="00517A3B">
        <w:t xml:space="preserve"> of the Subsidiary Body on Scientific, Technical and Technological Advice contained in annex III to decision VIII/10 and, in particular, paragraph 4, which states that the Subsidiary Body shall endeavour to constantly improve the quality of its scientific, technical and technological advice by improving scientific, technical and technological input into, debate at, and work of, meetings of the Subsidiary Body,</w:t>
      </w:r>
    </w:p>
    <w:p w14:paraId="6496AEBB" w14:textId="77777777" w:rsidR="007A6DAD" w:rsidRPr="00517A3B" w:rsidRDefault="007A6DAD" w:rsidP="007A6DAD">
      <w:pPr>
        <w:pStyle w:val="BodyText"/>
        <w:rPr>
          <w:rFonts w:cs="Arial"/>
        </w:rPr>
      </w:pPr>
      <w:r w:rsidRPr="00517A3B">
        <w:rPr>
          <w:rFonts w:cs="Arial"/>
          <w:i/>
        </w:rPr>
        <w:t>Bearing in mind</w:t>
      </w:r>
      <w:r w:rsidRPr="00517A3B">
        <w:rPr>
          <w:rFonts w:cs="Arial"/>
        </w:rPr>
        <w:t xml:space="preserve"> the adoption, at its tenth meeting, of the Strategic Plan </w:t>
      </w:r>
      <w:r w:rsidRPr="00517A3B">
        <w:rPr>
          <w:iCs w:val="0"/>
          <w:szCs w:val="22"/>
        </w:rPr>
        <w:t>for Biodiversity 2011</w:t>
      </w:r>
      <w:r w:rsidRPr="00517A3B">
        <w:rPr>
          <w:iCs w:val="0"/>
          <w:szCs w:val="22"/>
        </w:rPr>
        <w:noBreakHyphen/>
        <w:t xml:space="preserve">2020 </w:t>
      </w:r>
      <w:r w:rsidRPr="00517A3B">
        <w:rPr>
          <w:rFonts w:cs="Arial"/>
        </w:rPr>
        <w:t xml:space="preserve">and the multi-year programme of </w:t>
      </w:r>
      <w:r w:rsidRPr="00517A3B">
        <w:t>work</w:t>
      </w:r>
      <w:r w:rsidRPr="00517A3B">
        <w:rPr>
          <w:rFonts w:cs="Arial"/>
        </w:rPr>
        <w:t xml:space="preserve"> of the Conference of the Parties for the period 2011-2020 and </w:t>
      </w:r>
      <w:r w:rsidRPr="00517A3B">
        <w:rPr>
          <w:rFonts w:cs="Arial"/>
          <w:i/>
        </w:rPr>
        <w:t>noting</w:t>
      </w:r>
      <w:r w:rsidRPr="00517A3B">
        <w:rPr>
          <w:rFonts w:cs="Arial"/>
        </w:rPr>
        <w:t xml:space="preserve"> other global developments in the field of biodiversity conservation and sustainable use, including ecosystem services, </w:t>
      </w:r>
    </w:p>
    <w:p w14:paraId="03BA1FE4" w14:textId="77777777" w:rsidR="007A6DAD" w:rsidRPr="00517A3B" w:rsidRDefault="007A6DAD" w:rsidP="007A6DAD">
      <w:pPr>
        <w:pStyle w:val="BodyText"/>
      </w:pPr>
      <w:r w:rsidRPr="00517A3B">
        <w:rPr>
          <w:rFonts w:cs="Arial"/>
          <w:i/>
        </w:rPr>
        <w:t>Noting</w:t>
      </w:r>
      <w:r w:rsidRPr="00517A3B">
        <w:rPr>
          <w:rFonts w:cs="Arial"/>
        </w:rPr>
        <w:t xml:space="preserve"> that an intergovernmental science-policy platform on biodiversity and ecosystem services could be responsive to the needs of the Convention, thereby strengthening the Subsidiary Body on Technical and Technological Advice,</w:t>
      </w:r>
    </w:p>
    <w:p w14:paraId="16662D25" w14:textId="77777777" w:rsidR="007A6DAD" w:rsidRPr="00517A3B" w:rsidRDefault="007A6DAD" w:rsidP="007A6DAD">
      <w:pPr>
        <w:pStyle w:val="BodyText"/>
      </w:pPr>
      <w:r w:rsidRPr="00517A3B">
        <w:t>1.</w:t>
      </w:r>
      <w:r w:rsidRPr="00517A3B">
        <w:tab/>
      </w:r>
      <w:r w:rsidRPr="00517A3B">
        <w:rPr>
          <w:i/>
        </w:rPr>
        <w:t xml:space="preserve">Requests </w:t>
      </w:r>
      <w:r w:rsidRPr="00517A3B">
        <w:rPr>
          <w:iCs w:val="0"/>
        </w:rPr>
        <w:t xml:space="preserve">the Subsidiary Body on Scientific, Technical and Technological Advice to take into account the need to focus its work, in </w:t>
      </w:r>
      <w:r w:rsidRPr="00517A3B">
        <w:t>particular,</w:t>
      </w:r>
      <w:r w:rsidRPr="00517A3B">
        <w:rPr>
          <w:iCs w:val="0"/>
        </w:rPr>
        <w:t xml:space="preserve"> on the scientific and technical aspects of the Strategic Plan for Biodiversity 2011-2020 and the multi-year programme of work, under the authority of and in accordance with the guidance laid down by the Conference of the Parties, upon its request</w:t>
      </w:r>
      <w:r w:rsidRPr="00517A3B">
        <w:rPr>
          <w:iCs w:val="0"/>
          <w:szCs w:val="22"/>
        </w:rPr>
        <w:t>;</w:t>
      </w:r>
    </w:p>
    <w:p w14:paraId="68DEAA92" w14:textId="77777777" w:rsidR="007A6DAD" w:rsidRPr="00517A3B" w:rsidRDefault="007A6DAD" w:rsidP="007A6DAD">
      <w:pPr>
        <w:pStyle w:val="BodyText"/>
        <w:rPr>
          <w:szCs w:val="22"/>
        </w:rPr>
      </w:pPr>
      <w:r w:rsidRPr="00517A3B">
        <w:t>2</w:t>
      </w:r>
      <w:r w:rsidRPr="00517A3B">
        <w:rPr>
          <w:szCs w:val="22"/>
        </w:rPr>
        <w:t>.</w:t>
      </w:r>
      <w:r w:rsidRPr="00517A3B">
        <w:rPr>
          <w:szCs w:val="22"/>
        </w:rPr>
        <w:tab/>
      </w:r>
      <w:r w:rsidRPr="00517A3B">
        <w:rPr>
          <w:i/>
          <w:szCs w:val="22"/>
        </w:rPr>
        <w:t>Also requests</w:t>
      </w:r>
      <w:r w:rsidRPr="00517A3B">
        <w:rPr>
          <w:szCs w:val="22"/>
        </w:rPr>
        <w:t xml:space="preserve"> the Executive Secretary, in collaboration with relevant partners, subject to availability of funds, and where possible in conjunction with other events, to organize training </w:t>
      </w:r>
      <w:r w:rsidRPr="00517A3B">
        <w:t>workshops</w:t>
      </w:r>
      <w:r w:rsidRPr="00517A3B">
        <w:rPr>
          <w:szCs w:val="22"/>
        </w:rPr>
        <w:t xml:space="preserve"> for national focal points for the Subsidiary Body based on an assessment of their training needs, so as to assist Parties in implementing the three objectives of the Convention;  </w:t>
      </w:r>
      <w:r w:rsidRPr="00517A3B">
        <w:rPr>
          <w:i/>
        </w:rPr>
        <w:t xml:space="preserve"> </w:t>
      </w:r>
    </w:p>
    <w:p w14:paraId="4142A3D7" w14:textId="77777777" w:rsidR="007A6DAD" w:rsidRPr="00517A3B" w:rsidRDefault="007A6DAD" w:rsidP="007A6DAD">
      <w:pPr>
        <w:pStyle w:val="BodyText"/>
      </w:pPr>
      <w:r w:rsidRPr="00517A3B">
        <w:t>3.</w:t>
      </w:r>
      <w:r w:rsidRPr="00517A3B">
        <w:tab/>
      </w:r>
      <w:r w:rsidRPr="00517A3B">
        <w:rPr>
          <w:i/>
        </w:rPr>
        <w:t xml:space="preserve">Invites </w:t>
      </w:r>
      <w:r w:rsidRPr="00517A3B">
        <w:t>Parties and other Governments to encourage and support members of the Bureau of the Subsidiary Body and the national focal points to organize and coordinate online consultations to facilitate regional consultation on matters to be discussed at upcoming meetings of the Subsidiary Body;</w:t>
      </w:r>
    </w:p>
    <w:p w14:paraId="34945229" w14:textId="77777777" w:rsidR="007A6DAD" w:rsidRPr="00517A3B" w:rsidRDefault="007A6DAD" w:rsidP="007A6DAD">
      <w:pPr>
        <w:pStyle w:val="BodyText"/>
      </w:pPr>
      <w:r w:rsidRPr="00517A3B">
        <w:lastRenderedPageBreak/>
        <w:t>4.</w:t>
      </w:r>
      <w:r w:rsidRPr="00517A3B">
        <w:tab/>
      </w:r>
      <w:r w:rsidRPr="00517A3B">
        <w:rPr>
          <w:i/>
        </w:rPr>
        <w:t>Further requests</w:t>
      </w:r>
      <w:r w:rsidRPr="00517A3B">
        <w:t xml:space="preserve"> the Executive Secretary in collaboration with the members of the Bureau of the Subsidiary Body, to prepare a reference manual to serve as guidance for national focal points of the Subsidiary Body, Bureau members, and delegates, and including a compilation of existing documents, </w:t>
      </w:r>
      <w:r w:rsidRPr="00517A3B">
        <w:rPr>
          <w:i/>
        </w:rPr>
        <w:t>inter alia</w:t>
      </w:r>
      <w:r w:rsidRPr="00517A3B">
        <w:t xml:space="preserve"> an updated </w:t>
      </w:r>
      <w:r w:rsidRPr="00517A3B">
        <w:rPr>
          <w:i/>
        </w:rPr>
        <w:t>modus operandi</w:t>
      </w:r>
      <w:r w:rsidRPr="00517A3B">
        <w:t xml:space="preserve"> (including the procedure for the identification of new and emerging issues</w:t>
      </w:r>
      <w:r w:rsidRPr="007A6DAD">
        <w:rPr>
          <w:rStyle w:val="FootnoteReference"/>
          <w:sz w:val="22"/>
          <w:u w:val="none"/>
          <w:vertAlign w:val="superscript"/>
        </w:rPr>
        <w:footnoteReference w:id="1"/>
      </w:r>
      <w:r w:rsidRPr="00517A3B">
        <w:t>), functions of the national focal points and Bureau members, peer-review process for preparation of working documents, process of meetings and products, etc., and to make it available through the clearing-house mechanism and through the focal points for the Convention, to be regularly updated;</w:t>
      </w:r>
    </w:p>
    <w:p w14:paraId="3920CDAE" w14:textId="77777777" w:rsidR="007A6DAD" w:rsidRPr="00517A3B" w:rsidRDefault="007A6DAD" w:rsidP="007A6DAD">
      <w:pPr>
        <w:pStyle w:val="BodyText"/>
      </w:pPr>
      <w:r w:rsidRPr="00517A3B">
        <w:t>5.</w:t>
      </w:r>
      <w:r w:rsidRPr="00517A3B">
        <w:tab/>
      </w:r>
      <w:r w:rsidRPr="00517A3B">
        <w:rPr>
          <w:i/>
        </w:rPr>
        <w:t xml:space="preserve">Encourages </w:t>
      </w:r>
      <w:r w:rsidRPr="00517A3B">
        <w:t xml:space="preserve">the </w:t>
      </w:r>
      <w:r w:rsidRPr="00517A3B">
        <w:rPr>
          <w:iCs w:val="0"/>
        </w:rPr>
        <w:t xml:space="preserve">Bureau of the Subsidiary Body, subject to the availability of funds, to convene joint meetings with the </w:t>
      </w:r>
      <w:r w:rsidRPr="00517A3B">
        <w:t>bureaus</w:t>
      </w:r>
      <w:r w:rsidRPr="00517A3B">
        <w:rPr>
          <w:iCs w:val="0"/>
        </w:rPr>
        <w:t xml:space="preserve"> of the subsidiary bodies of the Rio conventions as well as with relevant biodiversity</w:t>
      </w:r>
      <w:r w:rsidRPr="00517A3B">
        <w:rPr>
          <w:iCs w:val="0"/>
        </w:rPr>
        <w:noBreakHyphen/>
        <w:t xml:space="preserve">related conventions </w:t>
      </w:r>
      <w:r w:rsidRPr="00517A3B">
        <w:t>meetings</w:t>
      </w:r>
      <w:r w:rsidRPr="00517A3B">
        <w:rPr>
          <w:iCs w:val="0"/>
        </w:rPr>
        <w:t xml:space="preserve"> to promote synergies and collaboration as per the relevant decisions of the Rio conventions;</w:t>
      </w:r>
      <w:r w:rsidRPr="00517A3B">
        <w:rPr>
          <w:szCs w:val="22"/>
          <w:vertAlign w:val="superscript"/>
        </w:rPr>
        <w:footnoteReference w:id="2"/>
      </w:r>
    </w:p>
    <w:p w14:paraId="3A7F5D6F" w14:textId="77777777" w:rsidR="007A6DAD" w:rsidRPr="00517A3B" w:rsidRDefault="007A6DAD" w:rsidP="007A6DAD">
      <w:pPr>
        <w:pStyle w:val="BodyText"/>
      </w:pPr>
      <w:r w:rsidRPr="00517A3B">
        <w:t>6</w:t>
      </w:r>
      <w:r w:rsidRPr="00517A3B">
        <w:rPr>
          <w:i/>
        </w:rPr>
        <w:t>.</w:t>
      </w:r>
      <w:r w:rsidRPr="00517A3B">
        <w:rPr>
          <w:i/>
        </w:rPr>
        <w:tab/>
        <w:t xml:space="preserve">Recalling </w:t>
      </w:r>
      <w:r w:rsidRPr="00517A3B">
        <w:t xml:space="preserve">paragraph 5 of decision IX/29, </w:t>
      </w:r>
      <w:r w:rsidRPr="00517A3B">
        <w:rPr>
          <w:i/>
        </w:rPr>
        <w:t>requests</w:t>
      </w:r>
      <w:r w:rsidRPr="00517A3B">
        <w:t xml:space="preserve"> the Executive Secretary to streamline the texts of suggested draft recommendations for submission to the Subsidiary Body and </w:t>
      </w:r>
      <w:r w:rsidRPr="00517A3B">
        <w:rPr>
          <w:i/>
        </w:rPr>
        <w:t>encourages</w:t>
      </w:r>
      <w:r w:rsidRPr="00517A3B">
        <w:t xml:space="preserve"> Parties to make these recommendations as short as possible so that the actions required are clear;</w:t>
      </w:r>
    </w:p>
    <w:p w14:paraId="43304144" w14:textId="77777777" w:rsidR="007A6DAD" w:rsidRPr="00517A3B" w:rsidRDefault="007A6DAD" w:rsidP="007A6DAD">
      <w:pPr>
        <w:pStyle w:val="BodyText"/>
        <w:rPr>
          <w:rStyle w:val="longtext1"/>
          <w:rFonts w:cs="Arial"/>
          <w:color w:val="000000"/>
          <w:shd w:val="clear" w:color="auto" w:fill="FFFFFF"/>
        </w:rPr>
      </w:pPr>
      <w:r w:rsidRPr="00517A3B">
        <w:rPr>
          <w:rStyle w:val="longtext1"/>
          <w:rFonts w:cs="Arial"/>
          <w:color w:val="000000"/>
          <w:shd w:val="clear" w:color="auto" w:fill="FFFFFF"/>
        </w:rPr>
        <w:t>7.</w:t>
      </w:r>
      <w:r w:rsidRPr="00517A3B">
        <w:rPr>
          <w:rStyle w:val="longtext1"/>
          <w:rFonts w:cs="Arial"/>
          <w:color w:val="000000"/>
          <w:shd w:val="clear" w:color="auto" w:fill="FFFFFF"/>
        </w:rPr>
        <w:tab/>
      </w:r>
      <w:r w:rsidRPr="00517A3B">
        <w:rPr>
          <w:rStyle w:val="longtext1"/>
          <w:rFonts w:cs="Arial"/>
          <w:i/>
          <w:color w:val="000000"/>
          <w:shd w:val="clear" w:color="auto" w:fill="FFFFFF"/>
        </w:rPr>
        <w:t>Requests</w:t>
      </w:r>
      <w:r w:rsidRPr="00517A3B">
        <w:rPr>
          <w:rStyle w:val="longtext1"/>
          <w:rFonts w:cs="Arial"/>
          <w:color w:val="000000"/>
          <w:shd w:val="clear" w:color="auto" w:fill="FFFFFF"/>
        </w:rPr>
        <w:t xml:space="preserve"> the </w:t>
      </w:r>
      <w:r w:rsidRPr="00517A3B">
        <w:t>Executive</w:t>
      </w:r>
      <w:r w:rsidRPr="00517A3B">
        <w:rPr>
          <w:rStyle w:val="longtext1"/>
          <w:rFonts w:cs="Arial"/>
          <w:color w:val="000000"/>
          <w:shd w:val="clear" w:color="auto" w:fill="FFFFFF"/>
        </w:rPr>
        <w:t xml:space="preserve"> Secretary, subject to the availability of funds, to make available documents, such as Technical Series, newsletters and other information documents of the Convention on Biological Diversity, and where possible, to make available executive summaries for information documents introduced under items on the agenda for meetings of the Subsidiary Body, as early as possible, in all United Nations languages, in order to facilitate the dissemination of knowledge as well as ensure a more comprehensive scientific review of these technical documents.</w:t>
      </w:r>
    </w:p>
    <w:p w14:paraId="2D44B4A8" w14:textId="77777777" w:rsidR="00D7473B" w:rsidRDefault="00D7473B" w:rsidP="00D7473B">
      <w:pPr>
        <w:pStyle w:val="BodyText"/>
        <w:rPr>
          <w:i/>
        </w:rPr>
      </w:pPr>
    </w:p>
    <w:sectPr w:rsidR="00D7473B" w:rsidSect="0095026D">
      <w:type w:val="continuous"/>
      <w:pgSz w:w="12240" w:h="15840" w:code="1"/>
      <w:pgMar w:top="1134" w:right="1440" w:bottom="113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4B5AA" w14:textId="77777777" w:rsidR="00D1613B" w:rsidRDefault="00D1613B">
      <w:r>
        <w:separator/>
      </w:r>
    </w:p>
  </w:endnote>
  <w:endnote w:type="continuationSeparator" w:id="0">
    <w:p w14:paraId="3DF2955C" w14:textId="77777777" w:rsidR="00D1613B" w:rsidRDefault="00D16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97BC2" w14:textId="77777777" w:rsidR="00483F0D" w:rsidRDefault="00483F0D" w:rsidP="00112C4C">
    <w:pPr>
      <w:pStyle w:val="Footer"/>
    </w:pPr>
    <w:r>
      <w:t>/…</w:t>
    </w:r>
  </w:p>
  <w:p w14:paraId="0C0DB4DF" w14:textId="77777777" w:rsidR="00483F0D" w:rsidRPr="00112C4C" w:rsidRDefault="00483F0D" w:rsidP="00112C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5930" w14:textId="77777777" w:rsidR="00483F0D" w:rsidRDefault="00483F0D">
    <w:pPr>
      <w:pStyle w:val="Footer"/>
    </w:pPr>
    <w:r>
      <w:t>/…</w:t>
    </w:r>
  </w:p>
  <w:p w14:paraId="68326153" w14:textId="77777777" w:rsidR="00483F0D" w:rsidRDefault="00DE136B">
    <w:pPr>
      <w:pStyle w:val="Footer"/>
    </w:pPr>
    <w:r>
      <w:rPr>
        <w:noProof/>
        <w:lang w:val="en-US"/>
      </w:rPr>
      <mc:AlternateContent>
        <mc:Choice Requires="wps">
          <w:drawing>
            <wp:anchor distT="0" distB="0" distL="114300" distR="114300" simplePos="0" relativeHeight="251657728" behindDoc="0" locked="0" layoutInCell="1" allowOverlap="1" wp14:anchorId="276020B3" wp14:editId="2DD34D51">
              <wp:simplePos x="0" y="0"/>
              <wp:positionH relativeFrom="column">
                <wp:posOffset>0</wp:posOffset>
              </wp:positionH>
              <wp:positionV relativeFrom="paragraph">
                <wp:posOffset>12700</wp:posOffset>
              </wp:positionV>
              <wp:extent cx="5943600" cy="365760"/>
              <wp:effectExtent l="12700" t="12700" r="12700" b="15240"/>
              <wp:wrapNone/>
              <wp:docPr id="78270533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5B6B7F7" w14:textId="77777777" w:rsidR="00483F0D" w:rsidRPr="006015AE" w:rsidRDefault="00483F0D"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0DBC6ADB" w14:textId="77777777" w:rsidR="00483F0D" w:rsidRPr="006015AE" w:rsidRDefault="00483F0D" w:rsidP="00541D21">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020B3" id="Rectangle 2" o:spid="_x0000_s1026" style="position:absolute;left:0;text-align:left;margin-left:0;margin-top:1pt;width:468pt;height:2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" strokeweight="3pt">
              <v:path arrowok="t"/>
              <v:textbox inset="0,0,0,0">
                <w:txbxContent>
                  <w:p w14:paraId="45B6B7F7" w14:textId="77777777" w:rsidR="00483F0D" w:rsidRPr="006015AE" w:rsidRDefault="00483F0D"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0DBC6ADB" w14:textId="77777777" w:rsidR="00483F0D" w:rsidRPr="006015AE" w:rsidRDefault="00483F0D" w:rsidP="00541D21">
                    <w:pPr>
                      <w:rPr>
                        <w:color w:val="000000"/>
                        <w:sz w:val="16"/>
                        <w:szCs w:val="16"/>
                      </w:rPr>
                    </w:pPr>
                  </w:p>
                </w:txbxContent>
              </v:textbox>
            </v:rect>
          </w:pict>
        </mc:Fallback>
      </mc:AlternateContent>
    </w:r>
  </w:p>
  <w:p w14:paraId="6FCC93A7" w14:textId="77777777" w:rsidR="00483F0D" w:rsidRDefault="00483F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50C69" w14:textId="77777777" w:rsidR="00D1613B" w:rsidRDefault="00D1613B">
      <w:r>
        <w:separator/>
      </w:r>
    </w:p>
  </w:footnote>
  <w:footnote w:type="continuationSeparator" w:id="0">
    <w:p w14:paraId="7C233BF0" w14:textId="77777777" w:rsidR="00D1613B" w:rsidRDefault="00D1613B">
      <w:r>
        <w:continuationSeparator/>
      </w:r>
    </w:p>
  </w:footnote>
  <w:footnote w:id="1">
    <w:p w14:paraId="1E49F18C" w14:textId="77777777" w:rsidR="007A6DAD" w:rsidRPr="000674F6" w:rsidRDefault="007A6DAD" w:rsidP="007A6DAD">
      <w:pPr>
        <w:pStyle w:val="FootnoteText"/>
        <w:ind w:firstLine="0"/>
      </w:pPr>
      <w:r w:rsidRPr="007A6DAD">
        <w:rPr>
          <w:rStyle w:val="FootnoteReference"/>
          <w:sz w:val="22"/>
          <w:szCs w:val="22"/>
          <w:u w:val="none"/>
          <w:vertAlign w:val="superscript"/>
        </w:rPr>
        <w:footnoteRef/>
      </w:r>
      <w:r>
        <w:t xml:space="preserve"> See decision IX/29, section II.</w:t>
      </w:r>
    </w:p>
  </w:footnote>
  <w:footnote w:id="2">
    <w:p w14:paraId="15C44887" w14:textId="77777777" w:rsidR="007A6DAD" w:rsidRDefault="007A6DAD" w:rsidP="007A6DA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pPr>
      <w:r w:rsidRPr="008360AB">
        <w:rPr>
          <w:iCs/>
          <w:szCs w:val="22"/>
          <w:vertAlign w:val="superscript"/>
        </w:rPr>
        <w:footnoteRef/>
      </w:r>
      <w:r>
        <w:t xml:space="preserve">  </w:t>
      </w:r>
      <w:r w:rsidRPr="00C66489">
        <w:rPr>
          <w:sz w:val="18"/>
          <w:szCs w:val="18"/>
          <w:lang w:val="en-US"/>
        </w:rPr>
        <w:t xml:space="preserve">UNFCCC decision 13/CP.8, paragraph 2; UNCCD decision 7/COP.5, paragraph 5 and decision 15/COP.6, annex 2.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A9216" w14:textId="77777777" w:rsidR="00483F0D" w:rsidRDefault="00483F0D">
    <w:pPr>
      <w:pStyle w:val="Header"/>
    </w:pPr>
    <w:r w:rsidRPr="00876684">
      <w:t>UNEP/CBD</w:t>
    </w:r>
    <w:r w:rsidR="007A6DAD">
      <w:t>/COP/DEC/X/12</w:t>
    </w:r>
  </w:p>
  <w:p w14:paraId="1A430CC4" w14:textId="77777777" w:rsidR="00483F0D" w:rsidRDefault="00483F0D" w:rsidP="00011318">
    <w:pPr>
      <w:pStyle w:val="Header"/>
      <w:spacing w:after="120"/>
    </w:pPr>
    <w:r>
      <w:t xml:space="preserve">Page </w:t>
    </w:r>
    <w:r>
      <w:rPr>
        <w:rStyle w:val="PageNumber"/>
      </w:rPr>
      <w:fldChar w:fldCharType="begin"/>
    </w:r>
    <w:r>
      <w:rPr>
        <w:rStyle w:val="PageNumber"/>
      </w:rPr>
      <w:instrText xml:space="preserve"> PAGE </w:instrText>
    </w:r>
    <w:r>
      <w:rPr>
        <w:rStyle w:val="PageNumber"/>
      </w:rPr>
      <w:fldChar w:fldCharType="separate"/>
    </w:r>
    <w:r w:rsidR="00BD2B8D">
      <w:rPr>
        <w:rStyle w:val="PageNumber"/>
        <w:noProof/>
      </w:rPr>
      <w:t>2</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6C748" w14:textId="77777777" w:rsidR="00483F0D" w:rsidRDefault="00483F0D" w:rsidP="00112C4C">
    <w:pPr>
      <w:ind w:left="5400"/>
    </w:pPr>
    <w:r>
      <w:t>UNEP/CBD/COP/10/WG.II/CRP.2</w:t>
    </w:r>
  </w:p>
  <w:p w14:paraId="37E7F3DE" w14:textId="77777777" w:rsidR="00483F0D" w:rsidRDefault="00483F0D" w:rsidP="00112C4C">
    <w:pPr>
      <w:pStyle w:val="Header"/>
      <w:ind w:left="540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588355E7" w14:textId="77777777" w:rsidR="00483F0D" w:rsidRDefault="00483F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96BF9"/>
    <w:multiLevelType w:val="hybridMultilevel"/>
    <w:tmpl w:val="F8CEB6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4E800D0"/>
    <w:multiLevelType w:val="hybridMultilevel"/>
    <w:tmpl w:val="92065D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F0336B8"/>
    <w:multiLevelType w:val="multilevel"/>
    <w:tmpl w:val="888CEBC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 w15:restartNumberingAfterBreak="0">
    <w:nsid w:val="3AEB0B1E"/>
    <w:multiLevelType w:val="multilevel"/>
    <w:tmpl w:val="3E58306C"/>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CE43C91"/>
    <w:multiLevelType w:val="singleLevel"/>
    <w:tmpl w:val="EF66BBC6"/>
    <w:lvl w:ilvl="0">
      <w:start w:val="1"/>
      <w:numFmt w:val="decimal"/>
      <w:pStyle w:val="Paranum"/>
      <w:lvlText w:val="%1."/>
      <w:lvlJc w:val="left"/>
      <w:pPr>
        <w:tabs>
          <w:tab w:val="num" w:pos="360"/>
        </w:tabs>
        <w:ind w:left="0" w:firstLine="0"/>
      </w:pPr>
    </w:lvl>
  </w:abstractNum>
  <w:abstractNum w:abstractNumId="5" w15:restartNumberingAfterBreak="0">
    <w:nsid w:val="3D6917D0"/>
    <w:multiLevelType w:val="hybridMultilevel"/>
    <w:tmpl w:val="706A17DC"/>
    <w:lvl w:ilvl="0" w:tplc="CE1A31A2">
      <w:start w:val="6"/>
      <w:numFmt w:val="upperRoman"/>
      <w:lvlText w:val="%1."/>
      <w:lvlJc w:val="left"/>
      <w:pPr>
        <w:tabs>
          <w:tab w:val="num" w:pos="2520"/>
        </w:tabs>
        <w:ind w:left="2520" w:hanging="72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6" w15:restartNumberingAfterBreak="0">
    <w:nsid w:val="44CC7FBB"/>
    <w:multiLevelType w:val="hybridMultilevel"/>
    <w:tmpl w:val="AEEE9506"/>
    <w:lvl w:ilvl="0" w:tplc="134C9170">
      <w:start w:val="1"/>
      <w:numFmt w:val="lowerLetter"/>
      <w:lvlText w:val="(%1)"/>
      <w:lvlJc w:val="left"/>
      <w:pPr>
        <w:tabs>
          <w:tab w:val="num" w:pos="1080"/>
        </w:tabs>
        <w:ind w:left="0" w:firstLine="720"/>
      </w:pPr>
      <w:rPr>
        <w:rFonts w:hint="default"/>
        <w:b w:val="0"/>
        <w:i w:val="0"/>
      </w:rPr>
    </w:lvl>
    <w:lvl w:ilvl="1" w:tplc="DA4638DA">
      <w:start w:val="2"/>
      <w:numFmt w:val="lowerRoman"/>
      <w:lvlText w:val="(%2)"/>
      <w:lvlJc w:val="left"/>
      <w:pPr>
        <w:tabs>
          <w:tab w:val="num" w:pos="2520"/>
        </w:tabs>
        <w:ind w:left="2520" w:hanging="720"/>
      </w:pPr>
      <w:rPr>
        <w:rFonts w:hint="default"/>
      </w:rPr>
    </w:lvl>
    <w:lvl w:ilvl="2" w:tplc="8B1ACD08">
      <w:start w:val="1"/>
      <w:numFmt w:val="lowerRoman"/>
      <w:lvlText w:val="%3."/>
      <w:lvlJc w:val="right"/>
      <w:pPr>
        <w:tabs>
          <w:tab w:val="num" w:pos="2880"/>
        </w:tabs>
        <w:ind w:left="2880" w:hanging="180"/>
      </w:pPr>
    </w:lvl>
    <w:lvl w:ilvl="3" w:tplc="34E0D136" w:tentative="1">
      <w:start w:val="1"/>
      <w:numFmt w:val="decimal"/>
      <w:lvlText w:val="%4."/>
      <w:lvlJc w:val="left"/>
      <w:pPr>
        <w:tabs>
          <w:tab w:val="num" w:pos="3600"/>
        </w:tabs>
        <w:ind w:left="3600" w:hanging="360"/>
      </w:pPr>
    </w:lvl>
    <w:lvl w:ilvl="4" w:tplc="A4B43A1C" w:tentative="1">
      <w:start w:val="1"/>
      <w:numFmt w:val="lowerLetter"/>
      <w:lvlText w:val="%5."/>
      <w:lvlJc w:val="left"/>
      <w:pPr>
        <w:tabs>
          <w:tab w:val="num" w:pos="4320"/>
        </w:tabs>
        <w:ind w:left="4320" w:hanging="360"/>
      </w:pPr>
    </w:lvl>
    <w:lvl w:ilvl="5" w:tplc="CE0A03EA" w:tentative="1">
      <w:start w:val="1"/>
      <w:numFmt w:val="lowerRoman"/>
      <w:lvlText w:val="%6."/>
      <w:lvlJc w:val="right"/>
      <w:pPr>
        <w:tabs>
          <w:tab w:val="num" w:pos="5040"/>
        </w:tabs>
        <w:ind w:left="5040" w:hanging="180"/>
      </w:pPr>
    </w:lvl>
    <w:lvl w:ilvl="6" w:tplc="8758C37A" w:tentative="1">
      <w:start w:val="1"/>
      <w:numFmt w:val="decimal"/>
      <w:lvlText w:val="%7."/>
      <w:lvlJc w:val="left"/>
      <w:pPr>
        <w:tabs>
          <w:tab w:val="num" w:pos="5760"/>
        </w:tabs>
        <w:ind w:left="5760" w:hanging="360"/>
      </w:pPr>
    </w:lvl>
    <w:lvl w:ilvl="7" w:tplc="C518D430" w:tentative="1">
      <w:start w:val="1"/>
      <w:numFmt w:val="lowerLetter"/>
      <w:lvlText w:val="%8."/>
      <w:lvlJc w:val="left"/>
      <w:pPr>
        <w:tabs>
          <w:tab w:val="num" w:pos="6480"/>
        </w:tabs>
        <w:ind w:left="6480" w:hanging="360"/>
      </w:pPr>
    </w:lvl>
    <w:lvl w:ilvl="8" w:tplc="DE12F522" w:tentative="1">
      <w:start w:val="1"/>
      <w:numFmt w:val="lowerRoman"/>
      <w:lvlText w:val="%9."/>
      <w:lvlJc w:val="right"/>
      <w:pPr>
        <w:tabs>
          <w:tab w:val="num" w:pos="7200"/>
        </w:tabs>
        <w:ind w:left="7200" w:hanging="180"/>
      </w:pPr>
    </w:lvl>
  </w:abstractNum>
  <w:abstractNum w:abstractNumId="7" w15:restartNumberingAfterBreak="0">
    <w:nsid w:val="48E4287B"/>
    <w:multiLevelType w:val="multilevel"/>
    <w:tmpl w:val="851C2202"/>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49E93595"/>
    <w:multiLevelType w:val="multilevel"/>
    <w:tmpl w:val="036C8F9A"/>
    <w:lvl w:ilvl="0">
      <w:start w:val="1"/>
      <w:numFmt w:val="decimal"/>
      <w:pStyle w:val="Para1"/>
      <w:lvlText w:val="%1."/>
      <w:lvlJc w:val="left"/>
      <w:pPr>
        <w:tabs>
          <w:tab w:val="num" w:pos="360"/>
        </w:tabs>
        <w:ind w:left="0" w:firstLine="0"/>
      </w:pPr>
      <w:rPr>
        <w:rFonts w:ascii="Times New Roman" w:hAnsi="Times New Roman" w:hint="default"/>
        <w:b w:val="0"/>
        <w:i w:val="0"/>
        <w:color w:val="auto"/>
        <w:sz w:val="22"/>
      </w:rPr>
    </w:lvl>
    <w:lvl w:ilvl="1">
      <w:start w:val="1"/>
      <w:numFmt w:val="lowerLetter"/>
      <w:lvlText w:val="(%2)"/>
      <w:lvlJc w:val="left"/>
      <w:pPr>
        <w:tabs>
          <w:tab w:val="num" w:pos="1800"/>
        </w:tabs>
        <w:ind w:left="0" w:firstLine="1440"/>
      </w:pPr>
      <w:rPr>
        <w:rFonts w:hint="default"/>
        <w:b w:val="0"/>
        <w:i w:val="0"/>
        <w:sz w:val="22"/>
      </w:rPr>
    </w:lvl>
    <w:lvl w:ilvl="2">
      <w:start w:val="1"/>
      <w:numFmt w:val="lowerRoman"/>
      <w:lvlText w:val="(%3)"/>
      <w:lvlJc w:val="right"/>
      <w:pPr>
        <w:tabs>
          <w:tab w:val="num" w:pos="2520"/>
        </w:tabs>
        <w:ind w:left="2520" w:hanging="360"/>
      </w:pPr>
      <w:rPr>
        <w:rFonts w:hint="default"/>
      </w:rPr>
    </w:lvl>
    <w:lvl w:ilvl="3">
      <w:start w:val="1"/>
      <w:numFmt w:val="bullet"/>
      <w:lvlText w:val=""/>
      <w:lvlJc w:val="left"/>
      <w:pPr>
        <w:tabs>
          <w:tab w:val="num" w:pos="2952"/>
        </w:tabs>
        <w:ind w:left="2952" w:hanging="432"/>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9" w15:restartNumberingAfterBreak="0">
    <w:nsid w:val="4E0442B4"/>
    <w:multiLevelType w:val="multilevel"/>
    <w:tmpl w:val="8A62604E"/>
    <w:lvl w:ilvl="0">
      <w:start w:val="1"/>
      <w:numFmt w:val="decimal"/>
      <w:pStyle w:val="Para10"/>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Para3"/>
      <w:lvlText w:val="(%3)"/>
      <w:lvlJc w:val="left"/>
      <w:pPr>
        <w:tabs>
          <w:tab w:val="num" w:pos="2120"/>
        </w:tabs>
        <w:ind w:left="2120" w:hanging="360"/>
      </w:pPr>
      <w:rPr>
        <w:rFonts w:hint="default"/>
        <w:b w:val="0"/>
        <w:i w:val="0"/>
        <w:sz w:val="22"/>
      </w:r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5B2B482C"/>
    <w:multiLevelType w:val="hybridMultilevel"/>
    <w:tmpl w:val="A8C8A8CC"/>
    <w:lvl w:ilvl="0" w:tplc="0C046B10">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38770096">
    <w:abstractNumId w:val="9"/>
  </w:num>
  <w:num w:numId="2" w16cid:durableId="719287229">
    <w:abstractNumId w:val="5"/>
  </w:num>
  <w:num w:numId="3" w16cid:durableId="1654218455">
    <w:abstractNumId w:val="10"/>
  </w:num>
  <w:num w:numId="4" w16cid:durableId="617105824">
    <w:abstractNumId w:val="1"/>
  </w:num>
  <w:num w:numId="5" w16cid:durableId="951477788">
    <w:abstractNumId w:val="0"/>
  </w:num>
  <w:num w:numId="6" w16cid:durableId="2084175991">
    <w:abstractNumId w:val="2"/>
  </w:num>
  <w:num w:numId="7" w16cid:durableId="372274134">
    <w:abstractNumId w:val="9"/>
  </w:num>
  <w:num w:numId="8" w16cid:durableId="724451464">
    <w:abstractNumId w:val="6"/>
  </w:num>
  <w:num w:numId="9" w16cid:durableId="1669556333">
    <w:abstractNumId w:val="3"/>
  </w:num>
  <w:num w:numId="10" w16cid:durableId="1665887930">
    <w:abstractNumId w:val="9"/>
  </w:num>
  <w:num w:numId="11" w16cid:durableId="792790528">
    <w:abstractNumId w:val="7"/>
  </w:num>
  <w:num w:numId="12" w16cid:durableId="1672181115">
    <w:abstractNumId w:val="4"/>
  </w:num>
  <w:num w:numId="13" w16cid:durableId="10021956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3F"/>
    <w:rsid w:val="00011318"/>
    <w:rsid w:val="00015023"/>
    <w:rsid w:val="00024975"/>
    <w:rsid w:val="00030DB1"/>
    <w:rsid w:val="00075EE8"/>
    <w:rsid w:val="00085C59"/>
    <w:rsid w:val="0009733B"/>
    <w:rsid w:val="000A69F1"/>
    <w:rsid w:val="000E4095"/>
    <w:rsid w:val="000E41E5"/>
    <w:rsid w:val="00112C4C"/>
    <w:rsid w:val="001157A4"/>
    <w:rsid w:val="00126A32"/>
    <w:rsid w:val="001346BD"/>
    <w:rsid w:val="001B7B28"/>
    <w:rsid w:val="001D26B1"/>
    <w:rsid w:val="002072E4"/>
    <w:rsid w:val="0021289F"/>
    <w:rsid w:val="00216F55"/>
    <w:rsid w:val="00226DB8"/>
    <w:rsid w:val="00227B28"/>
    <w:rsid w:val="00241BB8"/>
    <w:rsid w:val="0024425A"/>
    <w:rsid w:val="00273440"/>
    <w:rsid w:val="00275C69"/>
    <w:rsid w:val="002809C1"/>
    <w:rsid w:val="002838D4"/>
    <w:rsid w:val="002B02E5"/>
    <w:rsid w:val="002F1267"/>
    <w:rsid w:val="003B71CE"/>
    <w:rsid w:val="003D794F"/>
    <w:rsid w:val="00431B80"/>
    <w:rsid w:val="00483F0D"/>
    <w:rsid w:val="004867BE"/>
    <w:rsid w:val="004E0303"/>
    <w:rsid w:val="005360F5"/>
    <w:rsid w:val="00541D21"/>
    <w:rsid w:val="00565347"/>
    <w:rsid w:val="00587A9C"/>
    <w:rsid w:val="00587CE2"/>
    <w:rsid w:val="00597847"/>
    <w:rsid w:val="005B5D26"/>
    <w:rsid w:val="005C1163"/>
    <w:rsid w:val="005C23CF"/>
    <w:rsid w:val="005D2FEB"/>
    <w:rsid w:val="005D6C3F"/>
    <w:rsid w:val="00622094"/>
    <w:rsid w:val="00626A6E"/>
    <w:rsid w:val="00635AB0"/>
    <w:rsid w:val="0065065E"/>
    <w:rsid w:val="00655D87"/>
    <w:rsid w:val="0069760C"/>
    <w:rsid w:val="00697F37"/>
    <w:rsid w:val="006A5AC1"/>
    <w:rsid w:val="006A76C1"/>
    <w:rsid w:val="006B30DE"/>
    <w:rsid w:val="006C736D"/>
    <w:rsid w:val="006F08D5"/>
    <w:rsid w:val="00714B6B"/>
    <w:rsid w:val="0071521C"/>
    <w:rsid w:val="00787578"/>
    <w:rsid w:val="007A0807"/>
    <w:rsid w:val="007A6DAD"/>
    <w:rsid w:val="007C2B0D"/>
    <w:rsid w:val="007D3AA7"/>
    <w:rsid w:val="007E7DD8"/>
    <w:rsid w:val="007F2A71"/>
    <w:rsid w:val="00804F13"/>
    <w:rsid w:val="00807905"/>
    <w:rsid w:val="00835E9A"/>
    <w:rsid w:val="00872F01"/>
    <w:rsid w:val="00876684"/>
    <w:rsid w:val="008A0896"/>
    <w:rsid w:val="008C3FC1"/>
    <w:rsid w:val="008E0FA5"/>
    <w:rsid w:val="008F71A5"/>
    <w:rsid w:val="009120B5"/>
    <w:rsid w:val="00924918"/>
    <w:rsid w:val="0095026D"/>
    <w:rsid w:val="00976134"/>
    <w:rsid w:val="00977BD2"/>
    <w:rsid w:val="00983557"/>
    <w:rsid w:val="00990987"/>
    <w:rsid w:val="009D3BE8"/>
    <w:rsid w:val="009E2409"/>
    <w:rsid w:val="00A17D11"/>
    <w:rsid w:val="00A57459"/>
    <w:rsid w:val="00AB05A5"/>
    <w:rsid w:val="00AB0D7E"/>
    <w:rsid w:val="00B117F1"/>
    <w:rsid w:val="00B40F81"/>
    <w:rsid w:val="00B44D81"/>
    <w:rsid w:val="00B61E3E"/>
    <w:rsid w:val="00B72214"/>
    <w:rsid w:val="00B96D18"/>
    <w:rsid w:val="00BC52E6"/>
    <w:rsid w:val="00BD2049"/>
    <w:rsid w:val="00BD2B8D"/>
    <w:rsid w:val="00BE5278"/>
    <w:rsid w:val="00BF7B19"/>
    <w:rsid w:val="00C72D3C"/>
    <w:rsid w:val="00CD4D0C"/>
    <w:rsid w:val="00CF2081"/>
    <w:rsid w:val="00CF5FCD"/>
    <w:rsid w:val="00D10C8D"/>
    <w:rsid w:val="00D1361F"/>
    <w:rsid w:val="00D1613B"/>
    <w:rsid w:val="00D422D4"/>
    <w:rsid w:val="00D7473B"/>
    <w:rsid w:val="00D85DDF"/>
    <w:rsid w:val="00DC303B"/>
    <w:rsid w:val="00DE136B"/>
    <w:rsid w:val="00EC6C5B"/>
    <w:rsid w:val="00EF6308"/>
    <w:rsid w:val="00F01C51"/>
    <w:rsid w:val="00F2786C"/>
    <w:rsid w:val="00F424E6"/>
    <w:rsid w:val="00F71A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48A1ED"/>
  <w15:chartTrackingRefBased/>
  <w15:docId w15:val="{80B6D02C-0415-5F4B-9DD8-80F41BB4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2FEB"/>
    <w:pPr>
      <w:jc w:val="both"/>
    </w:pPr>
    <w:rPr>
      <w:sz w:val="22"/>
      <w:szCs w:val="24"/>
      <w:lang w:val="en-GB"/>
    </w:rPr>
  </w:style>
  <w:style w:type="paragraph" w:styleId="Heading1">
    <w:name w:val="heading 1"/>
    <w:basedOn w:val="Normal"/>
    <w:next w:val="Heading2"/>
    <w:qFormat/>
    <w:rsid w:val="005D2FEB"/>
    <w:pPr>
      <w:keepNext/>
      <w:tabs>
        <w:tab w:val="left" w:pos="720"/>
      </w:tabs>
      <w:spacing w:before="240" w:after="120"/>
      <w:jc w:val="center"/>
      <w:outlineLvl w:val="0"/>
    </w:pPr>
    <w:rPr>
      <w:b/>
      <w:caps/>
    </w:rPr>
  </w:style>
  <w:style w:type="paragraph" w:styleId="Heading2">
    <w:name w:val="heading 2"/>
    <w:basedOn w:val="Normal"/>
    <w:next w:val="Normal"/>
    <w:qFormat/>
    <w:rsid w:val="005D2FEB"/>
    <w:pPr>
      <w:keepNext/>
      <w:tabs>
        <w:tab w:val="left" w:pos="720"/>
      </w:tabs>
      <w:spacing w:before="120" w:after="120"/>
      <w:jc w:val="center"/>
      <w:outlineLvl w:val="1"/>
    </w:pPr>
    <w:rPr>
      <w:b/>
      <w:bCs/>
      <w:i/>
      <w:iCs/>
    </w:rPr>
  </w:style>
  <w:style w:type="paragraph" w:styleId="Heading3">
    <w:name w:val="heading 3"/>
    <w:basedOn w:val="Normal"/>
    <w:next w:val="Normal"/>
    <w:qFormat/>
    <w:rsid w:val="005D2FEB"/>
    <w:pPr>
      <w:keepNext/>
      <w:tabs>
        <w:tab w:val="left" w:pos="567"/>
      </w:tabs>
      <w:spacing w:before="120" w:after="120"/>
      <w:jc w:val="center"/>
      <w:outlineLvl w:val="2"/>
    </w:pPr>
    <w:rPr>
      <w:i/>
      <w:iCs/>
    </w:rPr>
  </w:style>
  <w:style w:type="paragraph" w:styleId="Heading4">
    <w:name w:val="heading 4"/>
    <w:basedOn w:val="Normal"/>
    <w:qFormat/>
    <w:rsid w:val="005D2FEB"/>
    <w:pPr>
      <w:keepNext/>
      <w:spacing w:before="120" w:after="120"/>
      <w:outlineLvl w:val="3"/>
    </w:pPr>
    <w:rPr>
      <w:rFonts w:eastAsia="Arial Unicode MS"/>
      <w:b/>
      <w:bCs/>
      <w:i/>
      <w:iCs/>
    </w:rPr>
  </w:style>
  <w:style w:type="paragraph" w:styleId="Heading5">
    <w:name w:val="heading 5"/>
    <w:basedOn w:val="Normal"/>
    <w:next w:val="Normal"/>
    <w:qFormat/>
    <w:rsid w:val="005D2FEB"/>
    <w:pPr>
      <w:keepNext/>
      <w:numPr>
        <w:ilvl w:val="4"/>
        <w:numId w:val="6"/>
      </w:numPr>
      <w:tabs>
        <w:tab w:val="clear" w:pos="720"/>
        <w:tab w:val="num" w:pos="1800"/>
      </w:tabs>
      <w:spacing w:before="120" w:after="120"/>
      <w:ind w:left="1800" w:hanging="360"/>
      <w:jc w:val="left"/>
      <w:outlineLvl w:val="4"/>
    </w:pPr>
    <w:rPr>
      <w:bCs/>
      <w:i/>
      <w:szCs w:val="26"/>
      <w:lang w:val="en-CA"/>
    </w:rPr>
  </w:style>
  <w:style w:type="paragraph" w:styleId="Heading6">
    <w:name w:val="heading 6"/>
    <w:basedOn w:val="Normal"/>
    <w:next w:val="Normal"/>
    <w:qFormat/>
    <w:rsid w:val="005D2FEB"/>
    <w:pPr>
      <w:keepNext/>
      <w:spacing w:after="240" w:line="240" w:lineRule="exact"/>
      <w:ind w:left="720"/>
      <w:outlineLvl w:val="5"/>
    </w:pPr>
    <w:rPr>
      <w:u w:val="single"/>
    </w:rPr>
  </w:style>
  <w:style w:type="paragraph" w:styleId="Heading7">
    <w:name w:val="heading 7"/>
    <w:basedOn w:val="Normal"/>
    <w:next w:val="Normal"/>
    <w:qFormat/>
    <w:rsid w:val="005D2FEB"/>
    <w:pPr>
      <w:keepNext/>
      <w:jc w:val="right"/>
      <w:outlineLvl w:val="6"/>
    </w:pPr>
    <w:rPr>
      <w:rFonts w:ascii="Univers" w:hAnsi="Univers"/>
      <w:b/>
      <w:sz w:val="28"/>
    </w:rPr>
  </w:style>
  <w:style w:type="paragraph" w:styleId="Heading8">
    <w:name w:val="heading 8"/>
    <w:basedOn w:val="Normal"/>
    <w:next w:val="Normal"/>
    <w:qFormat/>
    <w:rsid w:val="005D2FEB"/>
    <w:pPr>
      <w:keepNext/>
      <w:jc w:val="right"/>
      <w:outlineLvl w:val="7"/>
    </w:pPr>
    <w:rPr>
      <w:rFonts w:ascii="Univers" w:hAnsi="Univers"/>
      <w:b/>
      <w:sz w:val="32"/>
    </w:rPr>
  </w:style>
  <w:style w:type="paragraph" w:styleId="Heading9">
    <w:name w:val="heading 9"/>
    <w:basedOn w:val="Normal"/>
    <w:next w:val="Normal"/>
    <w:qFormat/>
    <w:rsid w:val="005D2FEB"/>
    <w:pPr>
      <w:keepNext/>
      <w:spacing w:before="100" w:beforeAutospacing="1" w:after="120"/>
      <w:outlineLvl w:val="8"/>
    </w:pPr>
    <w:rPr>
      <w:i/>
      <w:iCs/>
    </w:rPr>
  </w:style>
  <w:style w:type="character" w:default="1" w:styleId="DefaultParagraphFont">
    <w:name w:val="Default Paragraph Font"/>
    <w:semiHidden/>
    <w:rsid w:val="005D2FEB"/>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5D2FEB"/>
  </w:style>
  <w:style w:type="paragraph" w:customStyle="1" w:styleId="Para10">
    <w:name w:val="Para1"/>
    <w:basedOn w:val="Normal"/>
    <w:link w:val="Para1Char"/>
    <w:rsid w:val="005D2FEB"/>
    <w:pPr>
      <w:numPr>
        <w:numId w:val="10"/>
      </w:numPr>
      <w:tabs>
        <w:tab w:val="left" w:pos="720"/>
      </w:tabs>
      <w:spacing w:after="120"/>
    </w:pPr>
    <w:rPr>
      <w:snapToGrid w:val="0"/>
      <w:szCs w:val="18"/>
    </w:rPr>
  </w:style>
  <w:style w:type="paragraph" w:customStyle="1" w:styleId="Para3">
    <w:name w:val="Para3"/>
    <w:basedOn w:val="Normal"/>
    <w:rsid w:val="005D2FEB"/>
    <w:pPr>
      <w:numPr>
        <w:ilvl w:val="2"/>
        <w:numId w:val="10"/>
      </w:numPr>
      <w:tabs>
        <w:tab w:val="left" w:pos="1980"/>
      </w:tabs>
      <w:spacing w:before="80" w:after="80"/>
    </w:pPr>
    <w:rPr>
      <w:szCs w:val="20"/>
    </w:rPr>
  </w:style>
  <w:style w:type="paragraph" w:customStyle="1" w:styleId="Heading1multiline">
    <w:name w:val="Heading 1 (multiline)"/>
    <w:basedOn w:val="Heading1"/>
    <w:rsid w:val="005D2FEB"/>
    <w:pPr>
      <w:ind w:left="1843" w:right="996" w:hanging="567"/>
      <w:jc w:val="left"/>
    </w:pPr>
  </w:style>
  <w:style w:type="paragraph" w:styleId="Footer">
    <w:name w:val="footer"/>
    <w:basedOn w:val="Normal"/>
    <w:rsid w:val="005D2FEB"/>
    <w:pPr>
      <w:tabs>
        <w:tab w:val="center" w:pos="4320"/>
        <w:tab w:val="right" w:pos="8640"/>
      </w:tabs>
      <w:ind w:firstLine="720"/>
      <w:jc w:val="right"/>
    </w:pPr>
  </w:style>
  <w:style w:type="paragraph" w:styleId="BalloonText">
    <w:name w:val="Balloon Text"/>
    <w:basedOn w:val="Normal"/>
    <w:semiHidden/>
    <w:rsid w:val="005D2FEB"/>
    <w:rPr>
      <w:rFonts w:ascii="Tahoma" w:hAnsi="Tahoma" w:cs="Tahoma"/>
      <w:sz w:val="16"/>
      <w:szCs w:val="16"/>
    </w:rPr>
  </w:style>
  <w:style w:type="paragraph" w:styleId="BodyText">
    <w:name w:val="Body Text"/>
    <w:aliases w:val=" Car"/>
    <w:basedOn w:val="Normal"/>
    <w:link w:val="BodyTextChar"/>
    <w:rsid w:val="005D2FEB"/>
    <w:pPr>
      <w:spacing w:before="120" w:after="120"/>
      <w:ind w:firstLine="720"/>
    </w:pPr>
    <w:rPr>
      <w:iCs/>
    </w:rPr>
  </w:style>
  <w:style w:type="paragraph" w:styleId="BodyText2">
    <w:name w:val="Body Text 2"/>
    <w:basedOn w:val="Normal"/>
    <w:rsid w:val="005D2FEB"/>
    <w:rPr>
      <w:b/>
      <w:bCs/>
    </w:rPr>
  </w:style>
  <w:style w:type="paragraph" w:styleId="BodyText3">
    <w:name w:val="Body Text 3"/>
    <w:basedOn w:val="Normal"/>
    <w:rsid w:val="005D2FEB"/>
    <w:pPr>
      <w:spacing w:after="120"/>
      <w:jc w:val="left"/>
    </w:pPr>
    <w:rPr>
      <w:sz w:val="16"/>
      <w:szCs w:val="16"/>
      <w:lang w:val="en-US"/>
    </w:rPr>
  </w:style>
  <w:style w:type="character" w:customStyle="1" w:styleId="BodyTextChar">
    <w:name w:val="Body Text Char"/>
    <w:aliases w:val=" Car Char"/>
    <w:basedOn w:val="DefaultParagraphFont"/>
    <w:link w:val="BodyText"/>
    <w:rsid w:val="005D2FEB"/>
    <w:rPr>
      <w:iCs/>
      <w:sz w:val="22"/>
      <w:szCs w:val="24"/>
      <w:lang w:val="en-GB" w:eastAsia="en-US" w:bidi="ar-SA"/>
    </w:rPr>
  </w:style>
  <w:style w:type="paragraph" w:styleId="BodyTextIndent">
    <w:name w:val="Body Text Indent"/>
    <w:basedOn w:val="Normal"/>
    <w:rsid w:val="005D2FEB"/>
    <w:pPr>
      <w:spacing w:before="120" w:after="120"/>
      <w:ind w:left="1440" w:hanging="720"/>
      <w:jc w:val="left"/>
    </w:pPr>
  </w:style>
  <w:style w:type="paragraph" w:styleId="BodyTextIndent2">
    <w:name w:val="Body Text Indent 2"/>
    <w:basedOn w:val="Normal"/>
    <w:rsid w:val="005D2FEB"/>
    <w:pPr>
      <w:spacing w:after="120" w:line="480" w:lineRule="auto"/>
      <w:ind w:left="360"/>
    </w:pPr>
  </w:style>
  <w:style w:type="paragraph" w:customStyle="1" w:styleId="Cornernotation">
    <w:name w:val="Corner notation"/>
    <w:basedOn w:val="Normal"/>
    <w:rsid w:val="005D2FEB"/>
    <w:pPr>
      <w:ind w:left="170" w:right="3119" w:hanging="170"/>
      <w:jc w:val="left"/>
    </w:pPr>
  </w:style>
  <w:style w:type="paragraph" w:styleId="DocumentMap">
    <w:name w:val="Document Map"/>
    <w:basedOn w:val="Normal"/>
    <w:semiHidden/>
    <w:rsid w:val="005D2FEB"/>
    <w:pPr>
      <w:shd w:val="clear" w:color="auto" w:fill="000080"/>
    </w:pPr>
    <w:rPr>
      <w:rFonts w:ascii="Tahoma" w:hAnsi="Tahoma"/>
    </w:rPr>
  </w:style>
  <w:style w:type="character" w:styleId="EndnoteReference">
    <w:name w:val="endnote reference"/>
    <w:basedOn w:val="DefaultParagraphFont"/>
    <w:semiHidden/>
    <w:rsid w:val="005D2FEB"/>
    <w:rPr>
      <w:vertAlign w:val="superscript"/>
    </w:rPr>
  </w:style>
  <w:style w:type="paragraph" w:styleId="EndnoteText">
    <w:name w:val="endnote text"/>
    <w:basedOn w:val="Normal"/>
    <w:semiHidden/>
    <w:rsid w:val="005D2FEB"/>
    <w:pPr>
      <w:widowControl w:val="0"/>
      <w:tabs>
        <w:tab w:val="left" w:pos="-720"/>
      </w:tabs>
      <w:suppressAutoHyphens/>
    </w:pPr>
    <w:rPr>
      <w:rFonts w:ascii="Courier New" w:hAnsi="Courier New"/>
    </w:rPr>
  </w:style>
  <w:style w:type="character" w:styleId="FootnoteReference">
    <w:name w:val="footnote reference"/>
    <w:basedOn w:val="DefaultParagraphFont"/>
    <w:semiHidden/>
    <w:rsid w:val="005D2FEB"/>
    <w:rPr>
      <w:sz w:val="18"/>
      <w:u w:val="single"/>
      <w:vertAlign w:val="baseline"/>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rsid w:val="005D2FEB"/>
    <w:pPr>
      <w:keepLines/>
      <w:spacing w:after="60"/>
      <w:ind w:firstLine="720"/>
    </w:pPr>
    <w:rPr>
      <w:sz w:val="18"/>
    </w:rPr>
  </w:style>
  <w:style w:type="paragraph" w:styleId="Header">
    <w:name w:val="header"/>
    <w:basedOn w:val="Normal"/>
    <w:rsid w:val="005D2FEB"/>
    <w:pPr>
      <w:tabs>
        <w:tab w:val="center" w:pos="4320"/>
        <w:tab w:val="right" w:pos="8640"/>
      </w:tabs>
    </w:pPr>
  </w:style>
  <w:style w:type="paragraph" w:customStyle="1" w:styleId="HEADING">
    <w:name w:val="HEADING"/>
    <w:basedOn w:val="Normal"/>
    <w:rsid w:val="005D2FEB"/>
    <w:pPr>
      <w:keepNext/>
      <w:tabs>
        <w:tab w:val="left" w:pos="1134"/>
      </w:tabs>
      <w:spacing w:before="240" w:after="120"/>
      <w:jc w:val="center"/>
    </w:pPr>
    <w:rPr>
      <w:b/>
      <w:caps/>
    </w:rPr>
  </w:style>
  <w:style w:type="paragraph" w:customStyle="1" w:styleId="Heading-plain">
    <w:name w:val="Heading - plain"/>
    <w:basedOn w:val="Heading2"/>
    <w:next w:val="BodyText"/>
    <w:rsid w:val="005D2FEB"/>
    <w:pPr>
      <w:tabs>
        <w:tab w:val="clear" w:pos="720"/>
        <w:tab w:val="left" w:pos="567"/>
      </w:tabs>
    </w:pPr>
  </w:style>
  <w:style w:type="paragraph" w:customStyle="1" w:styleId="HEADINGNOTFORTOC">
    <w:name w:val="HEADING (NOT FOR TOC)"/>
    <w:basedOn w:val="Heading1"/>
    <w:next w:val="Heading2"/>
    <w:rsid w:val="005D2FEB"/>
    <w:rPr>
      <w:szCs w:val="20"/>
    </w:rPr>
  </w:style>
  <w:style w:type="paragraph" w:customStyle="1" w:styleId="Heading1longmultiline">
    <w:name w:val="Heading 1 (long multiline)"/>
    <w:basedOn w:val="Heading1"/>
    <w:rsid w:val="005D2FEB"/>
    <w:pPr>
      <w:ind w:left="1843" w:hanging="1134"/>
      <w:jc w:val="left"/>
    </w:pPr>
  </w:style>
  <w:style w:type="paragraph" w:customStyle="1" w:styleId="Heading2multiline">
    <w:name w:val="Heading 2 (multiline)"/>
    <w:basedOn w:val="Heading1"/>
    <w:next w:val="Normal"/>
    <w:rsid w:val="005D2FEB"/>
    <w:pPr>
      <w:spacing w:before="120"/>
      <w:ind w:left="1843" w:right="998" w:hanging="567"/>
      <w:jc w:val="left"/>
    </w:pPr>
    <w:rPr>
      <w:i/>
      <w:iCs/>
      <w:caps w:val="0"/>
    </w:rPr>
  </w:style>
  <w:style w:type="paragraph" w:customStyle="1" w:styleId="Heading2longmultiline">
    <w:name w:val="Heading 2 (long multiline)"/>
    <w:basedOn w:val="Heading2multiline"/>
    <w:rsid w:val="005D2FEB"/>
    <w:pPr>
      <w:ind w:left="2127" w:hanging="1276"/>
    </w:pPr>
  </w:style>
  <w:style w:type="paragraph" w:customStyle="1" w:styleId="Heading3multiline">
    <w:name w:val="Heading 3 (multiline)"/>
    <w:basedOn w:val="Heading3"/>
    <w:next w:val="Normal"/>
    <w:rsid w:val="005D2FEB"/>
    <w:pPr>
      <w:ind w:left="1418" w:hanging="425"/>
      <w:jc w:val="left"/>
    </w:pPr>
  </w:style>
  <w:style w:type="paragraph" w:customStyle="1" w:styleId="Heading-plainbold">
    <w:name w:val="Heading-plain bold"/>
    <w:basedOn w:val="BodyText"/>
    <w:rsid w:val="005D2FEB"/>
    <w:pPr>
      <w:ind w:firstLine="0"/>
      <w:jc w:val="center"/>
    </w:pPr>
    <w:rPr>
      <w:b/>
      <w:bCs/>
      <w:i/>
      <w:iCs w:val="0"/>
    </w:rPr>
  </w:style>
  <w:style w:type="paragraph" w:customStyle="1" w:styleId="Heading-plainitalic">
    <w:name w:val="Heading-plain italic"/>
    <w:basedOn w:val="Heading-plainbold"/>
    <w:rsid w:val="005D2FEB"/>
    <w:rPr>
      <w:b w:val="0"/>
      <w:bCs w:val="0"/>
    </w:rPr>
  </w:style>
  <w:style w:type="character" w:styleId="PageNumber">
    <w:name w:val="page number"/>
    <w:basedOn w:val="DefaultParagraphFont"/>
    <w:rsid w:val="005D2FEB"/>
    <w:rPr>
      <w:rFonts w:ascii="Times New Roman" w:hAnsi="Times New Roman"/>
      <w:sz w:val="22"/>
    </w:rPr>
  </w:style>
  <w:style w:type="paragraph" w:customStyle="1" w:styleId="Para20">
    <w:name w:val="Para2"/>
    <w:basedOn w:val="Para10"/>
    <w:rsid w:val="005D2FEB"/>
    <w:pPr>
      <w:numPr>
        <w:numId w:val="0"/>
      </w:numPr>
      <w:autoSpaceDE w:val="0"/>
      <w:autoSpaceDN w:val="0"/>
    </w:pPr>
  </w:style>
  <w:style w:type="paragraph" w:customStyle="1" w:styleId="para2">
    <w:name w:val="para2"/>
    <w:basedOn w:val="Normal"/>
    <w:rsid w:val="005D2FEB"/>
    <w:pPr>
      <w:numPr>
        <w:numId w:val="9"/>
      </w:numPr>
      <w:spacing w:before="120" w:after="120" w:line="240" w:lineRule="exact"/>
      <w:jc w:val="left"/>
    </w:pPr>
    <w:rPr>
      <w:rFonts w:ascii="Courier" w:hAnsi="Courier"/>
      <w:sz w:val="20"/>
      <w:szCs w:val="20"/>
    </w:rPr>
  </w:style>
  <w:style w:type="paragraph" w:customStyle="1" w:styleId="para4">
    <w:name w:val="para4"/>
    <w:basedOn w:val="Normal"/>
    <w:rsid w:val="005D2FEB"/>
    <w:pPr>
      <w:numPr>
        <w:ilvl w:val="3"/>
        <w:numId w:val="11"/>
      </w:numPr>
      <w:tabs>
        <w:tab w:val="clear" w:pos="1440"/>
        <w:tab w:val="num" w:pos="3600"/>
      </w:tabs>
      <w:overflowPunct w:val="0"/>
      <w:autoSpaceDE w:val="0"/>
      <w:autoSpaceDN w:val="0"/>
      <w:adjustRightInd w:val="0"/>
      <w:spacing w:after="120" w:line="240" w:lineRule="atLeast"/>
      <w:ind w:left="3600"/>
      <w:textAlignment w:val="baseline"/>
    </w:pPr>
    <w:rPr>
      <w:rFonts w:ascii="Courier" w:hAnsi="Courier"/>
      <w:color w:val="000000"/>
      <w:sz w:val="20"/>
      <w:szCs w:val="20"/>
    </w:rPr>
  </w:style>
  <w:style w:type="paragraph" w:customStyle="1" w:styleId="Para-no-num">
    <w:name w:val="Para-no-num"/>
    <w:basedOn w:val="Normal"/>
    <w:rsid w:val="005D2FEB"/>
    <w:pPr>
      <w:tabs>
        <w:tab w:val="left" w:pos="720"/>
      </w:tabs>
      <w:spacing w:before="120" w:after="120"/>
    </w:pPr>
    <w:rPr>
      <w:szCs w:val="18"/>
    </w:rPr>
  </w:style>
  <w:style w:type="paragraph" w:customStyle="1" w:styleId="Paranum">
    <w:name w:val="Paranum"/>
    <w:basedOn w:val="Para10"/>
    <w:rsid w:val="005D2FEB"/>
    <w:pPr>
      <w:numPr>
        <w:numId w:val="12"/>
      </w:numPr>
      <w:tabs>
        <w:tab w:val="clear" w:pos="360"/>
        <w:tab w:val="num" w:pos="1440"/>
      </w:tabs>
      <w:spacing w:line="240" w:lineRule="exact"/>
      <w:ind w:left="1440" w:hanging="360"/>
    </w:pPr>
    <w:rPr>
      <w:snapToGrid/>
      <w:szCs w:val="20"/>
      <w:lang w:val="en-US"/>
    </w:rPr>
  </w:style>
  <w:style w:type="paragraph" w:customStyle="1" w:styleId="ProgElemt">
    <w:name w:val="ProgElemt"/>
    <w:basedOn w:val="HEADINGNOTFORTOC"/>
    <w:rsid w:val="005D2FEB"/>
    <w:rPr>
      <w:rFonts w:ascii="Times New Roman Bold" w:hAnsi="Times New Roman Bold"/>
      <w:caps w:val="0"/>
      <w:szCs w:val="22"/>
    </w:rPr>
  </w:style>
  <w:style w:type="paragraph" w:styleId="TOC1">
    <w:name w:val="toc 1"/>
    <w:basedOn w:val="Normal"/>
    <w:next w:val="Normal"/>
    <w:autoRedefine/>
    <w:semiHidden/>
    <w:rsid w:val="005D2FEB"/>
    <w:pPr>
      <w:ind w:left="720" w:hanging="720"/>
    </w:pPr>
    <w:rPr>
      <w:caps/>
    </w:rPr>
  </w:style>
  <w:style w:type="paragraph" w:styleId="TOC2">
    <w:name w:val="toc 2"/>
    <w:basedOn w:val="Normal"/>
    <w:next w:val="Normal"/>
    <w:autoRedefine/>
    <w:semiHidden/>
    <w:rsid w:val="005D2FEB"/>
    <w:pPr>
      <w:tabs>
        <w:tab w:val="right" w:leader="dot" w:pos="9356"/>
      </w:tabs>
      <w:ind w:left="1440" w:hanging="720"/>
    </w:pPr>
    <w:rPr>
      <w:noProof/>
      <w:szCs w:val="22"/>
    </w:rPr>
  </w:style>
  <w:style w:type="paragraph" w:styleId="TOC3">
    <w:name w:val="toc 3"/>
    <w:basedOn w:val="Normal"/>
    <w:next w:val="Normal"/>
    <w:autoRedefine/>
    <w:semiHidden/>
    <w:rsid w:val="005D2FEB"/>
    <w:pPr>
      <w:ind w:left="2160" w:hanging="720"/>
    </w:pPr>
  </w:style>
  <w:style w:type="character" w:customStyle="1" w:styleId="Para1Char">
    <w:name w:val="Para1 Char"/>
    <w:basedOn w:val="DefaultParagraphFont"/>
    <w:link w:val="Para10"/>
    <w:rsid w:val="00D7473B"/>
    <w:rPr>
      <w:snapToGrid w:val="0"/>
      <w:sz w:val="22"/>
      <w:szCs w:val="18"/>
      <w:lang w:val="en-GB" w:eastAsia="en-US" w:bidi="ar-SA"/>
    </w:rPr>
  </w:style>
  <w:style w:type="paragraph" w:customStyle="1" w:styleId="Recommendation">
    <w:name w:val="Recommendation"/>
    <w:basedOn w:val="Normal"/>
    <w:rsid w:val="00D7473B"/>
    <w:pPr>
      <w:keepNext/>
      <w:tabs>
        <w:tab w:val="left" w:pos="720"/>
      </w:tabs>
      <w:spacing w:before="120" w:after="120"/>
      <w:ind w:left="1843" w:right="998" w:hanging="943"/>
      <w:jc w:val="left"/>
      <w:outlineLvl w:val="0"/>
    </w:pPr>
    <w:rPr>
      <w:b/>
      <w:i/>
      <w:iCs/>
    </w:rPr>
  </w:style>
  <w:style w:type="character" w:customStyle="1" w:styleId="longtext1">
    <w:name w:val="long_text1"/>
    <w:basedOn w:val="DefaultParagraphFont"/>
    <w:rsid w:val="00D85DDF"/>
    <w:rPr>
      <w:sz w:val="22"/>
      <w:szCs w:val="22"/>
    </w:rPr>
  </w:style>
  <w:style w:type="paragraph" w:customStyle="1" w:styleId="Para1">
    <w:name w:val="Para 1"/>
    <w:basedOn w:val="BodyText"/>
    <w:rsid w:val="00D85DDF"/>
    <w:pPr>
      <w:numPr>
        <w:numId w:val="13"/>
      </w:numPr>
    </w:pPr>
    <w:rPr>
      <w:rFonts w:eastAsia="MS Mincho" w:cs="Angsana New"/>
      <w:bCs/>
      <w:iCs w:val="0"/>
      <w:szCs w:val="22"/>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rsid w:val="00D85DDF"/>
    <w:rPr>
      <w:sz w:val="18"/>
      <w:szCs w:val="24"/>
      <w:lang w:val="en-GB" w:eastAsia="en-US" w:bidi="ar-SA"/>
    </w:rPr>
  </w:style>
  <w:style w:type="character" w:styleId="CommentReference">
    <w:name w:val="annotation reference"/>
    <w:basedOn w:val="DefaultParagraphFont"/>
    <w:semiHidden/>
    <w:rsid w:val="007C2B0D"/>
    <w:rPr>
      <w:sz w:val="16"/>
      <w:szCs w:val="16"/>
    </w:rPr>
  </w:style>
  <w:style w:type="paragraph" w:styleId="CommentText">
    <w:name w:val="annotation text"/>
    <w:basedOn w:val="Normal"/>
    <w:semiHidden/>
    <w:rsid w:val="007C2B0D"/>
    <w:rPr>
      <w:sz w:val="20"/>
      <w:szCs w:val="20"/>
    </w:rPr>
  </w:style>
  <w:style w:type="paragraph" w:styleId="CommentSubject">
    <w:name w:val="annotation subject"/>
    <w:basedOn w:val="CommentText"/>
    <w:next w:val="CommentText"/>
    <w:semiHidden/>
    <w:rsid w:val="007C2B0D"/>
    <w:rPr>
      <w:b/>
      <w:bCs/>
    </w:rPr>
  </w:style>
  <w:style w:type="character" w:customStyle="1" w:styleId="CarCharChar">
    <w:name w:val=" Car Char Char"/>
    <w:basedOn w:val="DefaultParagraphFont"/>
    <w:rsid w:val="007A6DAD"/>
    <w:rPr>
      <w:iCs/>
      <w:sz w:val="22"/>
      <w:szCs w:val="24"/>
      <w:lang w:val="en-GB" w:eastAsia="en-US" w:bidi="ar-SA"/>
    </w:rPr>
  </w:style>
  <w:style w:type="character" w:customStyle="1" w:styleId="fnChar1">
    <w:name w:val="fn Char1"/>
    <w:aliases w:val="Geneva 9 Char2,Font: Geneva 9 Char2,Boston 10 Char2,f Char2,ft Char2,Fotnotstext Char Char1,ft Char Char1,single space Char1,footnote text Char1,FOOTNOTES Char1,ADB Char1,single space1 Char1,footnote text1 Char1,FOOTNOTES1 Char1,fn1 Char1"/>
    <w:basedOn w:val="DefaultParagraphFont"/>
    <w:semiHidden/>
    <w:rsid w:val="007A6DAD"/>
    <w:rPr>
      <w:sz w:val="18"/>
      <w:szCs w:val="24"/>
      <w:lang w:val="en-GB" w:eastAsia="en-US" w:bidi="ar-SA"/>
    </w:rPr>
  </w:style>
  <w:style w:type="paragraph" w:customStyle="1" w:styleId="Decheadmuliline">
    <w:name w:val="Dec_head muliline"/>
    <w:basedOn w:val="BodyText"/>
    <w:next w:val="BodyText"/>
    <w:rsid w:val="007A6DAD"/>
    <w:pPr>
      <w:ind w:left="2127" w:hanging="1276"/>
    </w:pPr>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Template-crp-e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U\Templates\Docs\Template-crp-en.dot</Template>
  <TotalTime>0</TotalTime>
  <Pages>2</Pages>
  <Words>669</Words>
  <Characters>3817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Decision X/12</vt:lpstr>
    </vt:vector>
  </TitlesOfParts>
  <Company>CBD</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X/12</dc:title>
  <dc:subject>Ways and means to improve the effectiveness of the Subsidiary Body on Scientific, Technical and Technological Advice</dc:subject>
  <dc:creator>CBD</dc:creator>
  <cp:keywords/>
  <dc:description/>
  <cp:lastModifiedBy>Rodrigo Elias</cp:lastModifiedBy>
  <cp:revision>2</cp:revision>
  <cp:lastPrinted>2010-10-27T21:04:00Z</cp:lastPrinted>
  <dcterms:created xsi:type="dcterms:W3CDTF">2025-11-13T18:51:00Z</dcterms:created>
  <dcterms:modified xsi:type="dcterms:W3CDTF">2025-11-13T18:51:00Z</dcterms:modified>
</cp:coreProperties>
</file>