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0979B7" w14:paraId="674A493B" w14:textId="77777777" w:rsidTr="000979B7">
        <w:tblPrEx>
          <w:tblCellMar>
            <w:top w:w="0" w:type="dxa"/>
            <w:bottom w:w="0" w:type="dxa"/>
          </w:tblCellMar>
        </w:tblPrEx>
        <w:trPr>
          <w:gridAfter w:val="1"/>
          <w:wAfter w:w="250" w:type="dxa"/>
        </w:trPr>
        <w:tc>
          <w:tcPr>
            <w:tcW w:w="1366" w:type="dxa"/>
            <w:tcBorders>
              <w:top w:val="nil"/>
              <w:bottom w:val="single" w:sz="12" w:space="0" w:color="000000"/>
            </w:tcBorders>
          </w:tcPr>
          <w:p w14:paraId="00F9DA62" w14:textId="77777777" w:rsidR="000979B7" w:rsidRDefault="00836F8C" w:rsidP="00C15C39">
            <w:pPr>
              <w:pStyle w:val="BodyText2"/>
            </w:pPr>
            <w:bookmarkStart w:id="0" w:name="_Toc269392015"/>
            <w:bookmarkStart w:id="1" w:name="_Toc270578204"/>
            <w:r>
              <w:rPr>
                <w:noProof/>
              </w:rPr>
              <w:drawing>
                <wp:inline distT="0" distB="0" distL="0" distR="0" wp14:anchorId="4AF441EE" wp14:editId="728894BA">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C3B8652" w14:textId="77777777" w:rsidR="000979B7" w:rsidRDefault="00836F8C" w:rsidP="00C15C39">
            <w:r>
              <w:rPr>
                <w:b/>
                <w:noProof/>
              </w:rPr>
              <w:drawing>
                <wp:inline distT="0" distB="0" distL="0" distR="0" wp14:anchorId="5C3F76B4" wp14:editId="666CAF29">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629CAB6A" w14:textId="77777777" w:rsidR="000979B7" w:rsidRDefault="000979B7" w:rsidP="00C15C39">
            <w:pPr>
              <w:tabs>
                <w:tab w:val="left" w:pos="6815"/>
                <w:tab w:val="right" w:pos="7611"/>
              </w:tabs>
              <w:rPr>
                <w:rFonts w:ascii="Univers" w:hAnsi="Univers"/>
                <w:b/>
                <w:sz w:val="32"/>
              </w:rPr>
            </w:pPr>
            <w:r>
              <w:rPr>
                <w:rFonts w:ascii="Univers" w:hAnsi="Univers"/>
                <w:b/>
                <w:sz w:val="32"/>
              </w:rPr>
              <w:tab/>
            </w:r>
            <w:r>
              <w:rPr>
                <w:rFonts w:ascii="Univers" w:hAnsi="Univers"/>
                <w:b/>
                <w:sz w:val="32"/>
              </w:rPr>
              <w:tab/>
              <w:t>CBD</w:t>
            </w:r>
          </w:p>
          <w:p w14:paraId="2F68EC9F" w14:textId="77777777" w:rsidR="000979B7" w:rsidRDefault="000979B7" w:rsidP="00C15C39">
            <w:pPr>
              <w:jc w:val="right"/>
              <w:rPr>
                <w:b/>
                <w:sz w:val="28"/>
              </w:rPr>
            </w:pPr>
          </w:p>
        </w:tc>
      </w:tr>
      <w:tr w:rsidR="000979B7" w14:paraId="3E6D042F" w14:textId="77777777" w:rsidTr="000979B7">
        <w:tblPrEx>
          <w:tblCellMar>
            <w:top w:w="0" w:type="dxa"/>
            <w:bottom w:w="0" w:type="dxa"/>
          </w:tblCellMar>
        </w:tblPrEx>
        <w:trPr>
          <w:trHeight w:val="1693"/>
        </w:trPr>
        <w:tc>
          <w:tcPr>
            <w:tcW w:w="5230" w:type="dxa"/>
            <w:gridSpan w:val="3"/>
            <w:tcBorders>
              <w:top w:val="nil"/>
              <w:bottom w:val="single" w:sz="36" w:space="0" w:color="000000"/>
            </w:tcBorders>
          </w:tcPr>
          <w:p w14:paraId="27E8427D" w14:textId="77777777" w:rsidR="000979B7" w:rsidRDefault="000979B7" w:rsidP="00C15C39"/>
          <w:p w14:paraId="144B7806" w14:textId="77777777" w:rsidR="000979B7" w:rsidRPr="00A36C97" w:rsidRDefault="00836F8C" w:rsidP="00C15C39">
            <w:r w:rsidRPr="00A36C97">
              <w:rPr>
                <w:noProof/>
              </w:rPr>
              <w:drawing>
                <wp:inline distT="0" distB="0" distL="0" distR="0" wp14:anchorId="35FBBD25" wp14:editId="15941819">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E484404" w14:textId="77777777" w:rsidR="000979B7" w:rsidRDefault="000979B7" w:rsidP="00C15C39">
            <w:pPr>
              <w:rPr>
                <w:rFonts w:ascii="Univers" w:hAnsi="Univers"/>
                <w:sz w:val="32"/>
              </w:rPr>
            </w:pPr>
          </w:p>
        </w:tc>
        <w:tc>
          <w:tcPr>
            <w:tcW w:w="1540" w:type="dxa"/>
            <w:tcBorders>
              <w:top w:val="nil"/>
              <w:bottom w:val="single" w:sz="36" w:space="0" w:color="000000"/>
            </w:tcBorders>
          </w:tcPr>
          <w:p w14:paraId="25660C05" w14:textId="77777777" w:rsidR="000979B7" w:rsidRDefault="000979B7" w:rsidP="00C15C3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56E7E8FE" w14:textId="77777777" w:rsidR="000979B7" w:rsidRPr="000979B7" w:rsidRDefault="000979B7" w:rsidP="00C15C39">
            <w:pPr>
              <w:rPr>
                <w:sz w:val="22"/>
                <w:szCs w:val="22"/>
              </w:rPr>
            </w:pPr>
            <w:r w:rsidRPr="000979B7">
              <w:rPr>
                <w:sz w:val="22"/>
                <w:szCs w:val="22"/>
              </w:rPr>
              <w:t>Distr.</w:t>
            </w:r>
          </w:p>
          <w:p w14:paraId="19E23590" w14:textId="77777777" w:rsidR="000979B7" w:rsidRPr="000979B7" w:rsidRDefault="00E17836" w:rsidP="00C15C39">
            <w:pPr>
              <w:rPr>
                <w:sz w:val="22"/>
                <w:szCs w:val="22"/>
              </w:rPr>
            </w:pPr>
            <w:r>
              <w:rPr>
                <w:sz w:val="22"/>
                <w:szCs w:val="22"/>
              </w:rPr>
              <w:t>GENERAL</w:t>
            </w:r>
          </w:p>
          <w:p w14:paraId="162D8E43" w14:textId="77777777" w:rsidR="000979B7" w:rsidRPr="000979B7" w:rsidRDefault="000979B7" w:rsidP="00C15C39">
            <w:pPr>
              <w:rPr>
                <w:sz w:val="22"/>
                <w:szCs w:val="22"/>
              </w:rPr>
            </w:pPr>
          </w:p>
          <w:p w14:paraId="6CB7559D" w14:textId="77777777" w:rsidR="000979B7" w:rsidRPr="000979B7" w:rsidRDefault="000979B7" w:rsidP="00C15C39">
            <w:pPr>
              <w:rPr>
                <w:sz w:val="22"/>
                <w:szCs w:val="22"/>
              </w:rPr>
            </w:pPr>
            <w:r w:rsidRPr="000979B7">
              <w:rPr>
                <w:sz w:val="22"/>
                <w:szCs w:val="22"/>
              </w:rPr>
              <w:t>UNEP/CBD/COP/</w:t>
            </w:r>
            <w:r w:rsidR="00E17836">
              <w:rPr>
                <w:sz w:val="22"/>
                <w:szCs w:val="22"/>
              </w:rPr>
              <w:t>DEC/X/15</w:t>
            </w:r>
          </w:p>
          <w:p w14:paraId="505C477E" w14:textId="77777777" w:rsidR="000979B7" w:rsidRPr="000979B7" w:rsidRDefault="000979B7" w:rsidP="00C15C39">
            <w:pPr>
              <w:ind w:left="-21"/>
              <w:rPr>
                <w:sz w:val="22"/>
                <w:szCs w:val="22"/>
              </w:rPr>
            </w:pPr>
            <w:r w:rsidRPr="000979B7">
              <w:rPr>
                <w:sz w:val="22"/>
                <w:szCs w:val="22"/>
              </w:rPr>
              <w:t>29 October 2010</w:t>
            </w:r>
          </w:p>
          <w:p w14:paraId="7F2F9658" w14:textId="77777777" w:rsidR="000979B7" w:rsidRPr="000979B7" w:rsidRDefault="000979B7" w:rsidP="00C15C39">
            <w:pPr>
              <w:rPr>
                <w:sz w:val="22"/>
                <w:szCs w:val="22"/>
              </w:rPr>
            </w:pPr>
          </w:p>
          <w:p w14:paraId="5FA7AB8C" w14:textId="77777777" w:rsidR="000979B7" w:rsidRDefault="000979B7" w:rsidP="00C15C39">
            <w:pPr>
              <w:rPr>
                <w:b/>
                <w:bCs/>
                <w:color w:val="FF0000"/>
                <w:sz w:val="40"/>
                <w:u w:val="single"/>
              </w:rPr>
            </w:pPr>
            <w:r w:rsidRPr="000979B7">
              <w:rPr>
                <w:sz w:val="22"/>
                <w:szCs w:val="22"/>
              </w:rPr>
              <w:t>ORIGINAL:  ENGLISH</w:t>
            </w:r>
          </w:p>
        </w:tc>
      </w:tr>
    </w:tbl>
    <w:p w14:paraId="77464F3F" w14:textId="77777777" w:rsidR="000979B7" w:rsidRDefault="000979B7" w:rsidP="000979B7">
      <w:pPr>
        <w:pStyle w:val="Cornernotation"/>
        <w:ind w:right="4630"/>
      </w:pPr>
      <w:r>
        <w:rPr>
          <w:szCs w:val="22"/>
        </w:rPr>
        <w:t>CONFERENCE OF THE PARTIES TO THE</w:t>
      </w:r>
      <w:r w:rsidRPr="00B33484">
        <w:rPr>
          <w:szCs w:val="22"/>
        </w:rPr>
        <w:t xml:space="preserve"> CONVENTION ON BIOLOGICAL DIVERSITY</w:t>
      </w:r>
    </w:p>
    <w:p w14:paraId="5F5B0B5C" w14:textId="77777777" w:rsidR="000979B7" w:rsidRDefault="000979B7" w:rsidP="000979B7">
      <w:pPr>
        <w:pStyle w:val="Cornernotation"/>
      </w:pPr>
      <w:r>
        <w:t>Tenth meeting</w:t>
      </w:r>
    </w:p>
    <w:p w14:paraId="42CFC2C8" w14:textId="77777777" w:rsidR="000979B7" w:rsidRDefault="000979B7" w:rsidP="000979B7">
      <w:pPr>
        <w:pStyle w:val="Cornernotation"/>
      </w:pPr>
      <w:r>
        <w:t>Nagoya, Japan, 18-29 October 2010</w:t>
      </w:r>
    </w:p>
    <w:p w14:paraId="37703DE3" w14:textId="77777777" w:rsidR="004C16D2" w:rsidRPr="004C16D2" w:rsidRDefault="004C16D2" w:rsidP="004C16D2">
      <w:pPr>
        <w:pStyle w:val="Cornernotation"/>
      </w:pPr>
      <w:r w:rsidRPr="004C16D2">
        <w:t>Item 4.3 (f)</w:t>
      </w:r>
    </w:p>
    <w:bookmarkEnd w:id="0"/>
    <w:bookmarkEnd w:id="1"/>
    <w:p w14:paraId="6802EF06" w14:textId="77777777" w:rsidR="009F06D1" w:rsidRDefault="009F06D1" w:rsidP="009F06D1">
      <w:pPr>
        <w:pStyle w:val="Heading1"/>
      </w:pPr>
      <w:r>
        <w:t>DECISION ADOPTED BY THE CONFERENCE OF THE PARTIES TO THE CONVENTION ON BIOLOGICAL DIVERSITY AT ITS TENTH MEETING</w:t>
      </w:r>
    </w:p>
    <w:p w14:paraId="5398B6E9" w14:textId="77777777" w:rsidR="00E17836" w:rsidRPr="00517A3B" w:rsidRDefault="00E17836" w:rsidP="00E17836">
      <w:pPr>
        <w:pStyle w:val="Dec-titleoneline"/>
      </w:pPr>
      <w:bookmarkStart w:id="2" w:name="_Toc278461456"/>
      <w:r w:rsidRPr="00517A3B">
        <w:rPr>
          <w:lang w:eastAsia="en-CA"/>
        </w:rPr>
        <w:t>X/15.</w:t>
      </w:r>
      <w:r w:rsidRPr="00517A3B">
        <w:rPr>
          <w:lang w:eastAsia="en-CA"/>
        </w:rPr>
        <w:tab/>
      </w:r>
      <w:r w:rsidRPr="00517A3B">
        <w:t>Scientific and technical cooperation and the clearing-house mechanism</w:t>
      </w:r>
      <w:bookmarkEnd w:id="2"/>
    </w:p>
    <w:p w14:paraId="24ADDA8B" w14:textId="77777777" w:rsidR="00E17836" w:rsidRPr="00517A3B" w:rsidRDefault="00E17836" w:rsidP="00E17836">
      <w:pPr>
        <w:pStyle w:val="Para-Decision"/>
        <w:rPr>
          <w:rStyle w:val="Decision-Action"/>
        </w:rPr>
      </w:pPr>
      <w:r w:rsidRPr="00517A3B">
        <w:rPr>
          <w:rStyle w:val="Decision-Action"/>
        </w:rPr>
        <w:t>The Conference of the Parties,</w:t>
      </w:r>
    </w:p>
    <w:p w14:paraId="3CA5CE6E" w14:textId="77777777" w:rsidR="00E17836" w:rsidRPr="00517A3B" w:rsidRDefault="00E17836" w:rsidP="00E17836">
      <w:pPr>
        <w:pStyle w:val="Para-Decision"/>
      </w:pPr>
      <w:r w:rsidRPr="00517A3B">
        <w:rPr>
          <w:rStyle w:val="Decision-Action"/>
        </w:rPr>
        <w:t>Having considered</w:t>
      </w:r>
      <w:r w:rsidRPr="00517A3B">
        <w:t xml:space="preserve"> the report and recommendations prepared by the Executive Secretary in consultation with the informal advisory committee of the clearing-house mechanism,</w:t>
      </w:r>
      <w:r w:rsidRPr="00517A3B">
        <w:rPr>
          <w:rStyle w:val="FootnoteReference"/>
        </w:rPr>
        <w:footnoteReference w:id="1"/>
      </w:r>
    </w:p>
    <w:p w14:paraId="3FED13D3" w14:textId="77777777" w:rsidR="00E17836" w:rsidRPr="00517A3B" w:rsidRDefault="00E17836" w:rsidP="00E17836">
      <w:pPr>
        <w:pStyle w:val="Para-Decision"/>
      </w:pPr>
      <w:r w:rsidRPr="00517A3B">
        <w:rPr>
          <w:rStyle w:val="Decision-Action"/>
        </w:rPr>
        <w:t>Appreciating</w:t>
      </w:r>
      <w:r w:rsidRPr="00517A3B">
        <w:t xml:space="preserve"> the progress made so far by the Parties and the Executive Secretary in the implementation of the clearing-house mechanism,</w:t>
      </w:r>
    </w:p>
    <w:p w14:paraId="051E5288" w14:textId="77777777" w:rsidR="00E17836" w:rsidRPr="00517A3B" w:rsidRDefault="00E17836" w:rsidP="00E17836">
      <w:pPr>
        <w:pStyle w:val="Para-Decision"/>
      </w:pPr>
      <w:r w:rsidRPr="00517A3B">
        <w:rPr>
          <w:rStyle w:val="Decision-Action"/>
        </w:rPr>
        <w:t>Taking into account</w:t>
      </w:r>
      <w:r w:rsidRPr="00517A3B">
        <w:t xml:space="preserve"> the updated Strategic Plan for Biodiversity 2011-2020 which reaffirms the important supporting role of the clearing-house mechanism in the implementation of the Convention,</w:t>
      </w:r>
    </w:p>
    <w:p w14:paraId="7750ECD1" w14:textId="77777777" w:rsidR="00E17836" w:rsidRPr="00517A3B" w:rsidRDefault="00E17836" w:rsidP="00E17836">
      <w:pPr>
        <w:pStyle w:val="CharChar12"/>
        <w:numPr>
          <w:ilvl w:val="0"/>
          <w:numId w:val="0"/>
        </w:numPr>
        <w:spacing w:before="120" w:after="120"/>
        <w:ind w:firstLine="720"/>
      </w:pPr>
      <w:r w:rsidRPr="00517A3B">
        <w:t>1.</w:t>
      </w:r>
      <w:r w:rsidRPr="00517A3B">
        <w:rPr>
          <w:i/>
        </w:rPr>
        <w:tab/>
      </w:r>
      <w:r w:rsidRPr="00517A3B">
        <w:rPr>
          <w:rStyle w:val="Decision-Action"/>
        </w:rPr>
        <w:t xml:space="preserve">Adopts </w:t>
      </w:r>
      <w:r w:rsidRPr="00517A3B">
        <w:t xml:space="preserve">the mission, goals, and objectives of the clearing-house mechanism for the period 2011-2020 annexed to this decision, and </w:t>
      </w:r>
      <w:r w:rsidRPr="00517A3B">
        <w:rPr>
          <w:rStyle w:val="Decision-Action"/>
        </w:rPr>
        <w:t>welcomes</w:t>
      </w:r>
      <w:r w:rsidRPr="00517A3B">
        <w:t xml:space="preserve"> the priority activities for the intersessional period in annex II to the progress report of the Executive Secretary as well as other suggestions for further development;</w:t>
      </w:r>
      <w:r w:rsidRPr="00517A3B">
        <w:rPr>
          <w:rStyle w:val="FootnoteReference"/>
          <w:szCs w:val="22"/>
        </w:rPr>
        <w:footnoteReference w:id="2"/>
      </w:r>
    </w:p>
    <w:p w14:paraId="7699FDB7" w14:textId="77777777" w:rsidR="00E17836" w:rsidRPr="00517A3B" w:rsidRDefault="00E17836" w:rsidP="00E17836">
      <w:pPr>
        <w:pStyle w:val="CharChar12"/>
        <w:numPr>
          <w:ilvl w:val="0"/>
          <w:numId w:val="0"/>
        </w:numPr>
        <w:spacing w:before="120" w:after="120"/>
        <w:ind w:firstLine="720"/>
      </w:pPr>
      <w:r w:rsidRPr="00517A3B">
        <w:t>2.</w:t>
      </w:r>
      <w:r w:rsidRPr="00517A3B">
        <w:rPr>
          <w:i/>
        </w:rPr>
        <w:tab/>
      </w:r>
      <w:r w:rsidRPr="00517A3B">
        <w:rPr>
          <w:rStyle w:val="Decision-Action"/>
        </w:rPr>
        <w:t>Encourages</w:t>
      </w:r>
      <w:r w:rsidRPr="00517A3B">
        <w:t xml:space="preserve"> Parties to:</w:t>
      </w:r>
    </w:p>
    <w:p w14:paraId="0CA755FC" w14:textId="77777777" w:rsidR="00E17836" w:rsidRDefault="00E17836" w:rsidP="00E17836">
      <w:pPr>
        <w:pStyle w:val="Para2-Decision"/>
        <w:numPr>
          <w:ilvl w:val="0"/>
          <w:numId w:val="0"/>
        </w:numPr>
        <w:spacing w:before="120"/>
        <w:ind w:firstLine="720"/>
      </w:pPr>
      <w:r w:rsidRPr="00517A3B">
        <w:t>(a)</w:t>
      </w:r>
      <w:r w:rsidRPr="00517A3B">
        <w:tab/>
        <w:t>Continue to take the necessary steps to establish, strengthen, and ensure the sustainability of, national clearing-house mechanisms (goal 2), and to implement, as appropriate, the activities mentioned in annex II to document UNEP/CBD/COP/10/15;</w:t>
      </w:r>
    </w:p>
    <w:p w14:paraId="0A9A6BCF" w14:textId="77777777" w:rsidR="00E17836" w:rsidRDefault="00E17836" w:rsidP="00E17836">
      <w:pPr>
        <w:pStyle w:val="Para2-Decision"/>
        <w:numPr>
          <w:ilvl w:val="0"/>
          <w:numId w:val="0"/>
        </w:numPr>
        <w:spacing w:before="120"/>
        <w:ind w:firstLine="720"/>
        <w:sectPr w:rsidR="00E17836" w:rsidSect="00754398">
          <w:headerReference w:type="even" r:id="rId10"/>
          <w:headerReference w:type="default" r:id="rId11"/>
          <w:footerReference w:type="even" r:id="rId12"/>
          <w:footerReference w:type="default" r:id="rId13"/>
          <w:footerReference w:type="first" r:id="rId14"/>
          <w:pgSz w:w="12240" w:h="15840" w:code="1"/>
          <w:pgMar w:top="567" w:right="1440" w:bottom="1077" w:left="1440" w:header="289" w:footer="720" w:gutter="0"/>
          <w:cols w:space="720"/>
          <w:titlePg/>
          <w:docGrid w:linePitch="360"/>
        </w:sectPr>
      </w:pPr>
    </w:p>
    <w:p w14:paraId="61268DB5" w14:textId="77777777" w:rsidR="00E17836" w:rsidRPr="00517A3B" w:rsidRDefault="00E17836" w:rsidP="00E17836">
      <w:pPr>
        <w:pStyle w:val="Para2-Decision"/>
        <w:numPr>
          <w:ilvl w:val="0"/>
          <w:numId w:val="0"/>
        </w:numPr>
        <w:spacing w:before="120"/>
        <w:ind w:firstLine="720"/>
      </w:pPr>
    </w:p>
    <w:p w14:paraId="1F174AB9" w14:textId="77777777" w:rsidR="00E17836" w:rsidRDefault="00E17836" w:rsidP="00E17836">
      <w:pPr>
        <w:pStyle w:val="Para2-Decision"/>
        <w:numPr>
          <w:ilvl w:val="0"/>
          <w:numId w:val="0"/>
        </w:numPr>
        <w:ind w:firstLine="720"/>
      </w:pPr>
      <w:r w:rsidRPr="00517A3B">
        <w:t>(b)</w:t>
      </w:r>
      <w:r w:rsidRPr="00517A3B">
        <w:tab/>
        <w:t>Contribute, whenever possible, to cooperation initiatives aiming at developing regional, subregional, thematic, or national clearing-house mechanisms;</w:t>
      </w:r>
    </w:p>
    <w:p w14:paraId="5B9A593F" w14:textId="77777777" w:rsidR="00E17836" w:rsidRDefault="00E17836" w:rsidP="00E17836">
      <w:pPr>
        <w:pStyle w:val="Para2-Decision"/>
        <w:numPr>
          <w:ilvl w:val="0"/>
          <w:numId w:val="0"/>
        </w:numPr>
        <w:ind w:firstLine="720"/>
        <w:sectPr w:rsidR="00E17836" w:rsidSect="00E17836">
          <w:type w:val="continuous"/>
          <w:pgSz w:w="12240" w:h="15840" w:code="1"/>
          <w:pgMar w:top="1021" w:right="1440" w:bottom="1077" w:left="1440" w:header="289" w:footer="720" w:gutter="0"/>
          <w:cols w:space="720"/>
          <w:docGrid w:linePitch="360"/>
        </w:sectPr>
      </w:pPr>
    </w:p>
    <w:p w14:paraId="4B5EAF03" w14:textId="77777777" w:rsidR="00E17836" w:rsidRPr="00517A3B" w:rsidRDefault="00E17836" w:rsidP="00E17836">
      <w:pPr>
        <w:pStyle w:val="Para2-Decision"/>
        <w:numPr>
          <w:ilvl w:val="0"/>
          <w:numId w:val="0"/>
        </w:numPr>
        <w:ind w:firstLine="720"/>
      </w:pPr>
    </w:p>
    <w:p w14:paraId="0A6CD9DD" w14:textId="77777777" w:rsidR="00E17836" w:rsidRPr="00517A3B" w:rsidRDefault="00E17836" w:rsidP="00E17836">
      <w:pPr>
        <w:pStyle w:val="Para2"/>
        <w:numPr>
          <w:ilvl w:val="0"/>
          <w:numId w:val="0"/>
        </w:numPr>
        <w:ind w:firstLine="720"/>
      </w:pPr>
      <w:r w:rsidRPr="00517A3B">
        <w:t>(c)</w:t>
      </w:r>
      <w:r w:rsidRPr="00517A3B">
        <w:tab/>
        <w:t>Include support for the clearing-house mechanism when requesting funding from the Global Environment Facility for updating and implementing national biodiversity strategies and action plans;</w:t>
      </w:r>
    </w:p>
    <w:p w14:paraId="0CEEA99D" w14:textId="77777777" w:rsidR="00E17836" w:rsidRPr="00517A3B" w:rsidRDefault="00E17836" w:rsidP="00E17836">
      <w:pPr>
        <w:pStyle w:val="CharChar12"/>
        <w:numPr>
          <w:ilvl w:val="0"/>
          <w:numId w:val="0"/>
        </w:numPr>
        <w:spacing w:before="120" w:after="120"/>
        <w:ind w:firstLine="720"/>
      </w:pPr>
      <w:r w:rsidRPr="00517A3B">
        <w:t>3.</w:t>
      </w:r>
      <w:r w:rsidRPr="00517A3B">
        <w:rPr>
          <w:i/>
        </w:rPr>
        <w:tab/>
      </w:r>
      <w:r w:rsidRPr="00517A3B">
        <w:rPr>
          <w:rStyle w:val="Decision-Action"/>
        </w:rPr>
        <w:t xml:space="preserve">Encourages </w:t>
      </w:r>
      <w:r w:rsidRPr="00517A3B">
        <w:t>relevant partners to further contribute to the expansion of the clearing-house mechanism network and services (goal 3);</w:t>
      </w:r>
    </w:p>
    <w:p w14:paraId="3AED9399" w14:textId="77777777" w:rsidR="00E17836" w:rsidRPr="00517A3B" w:rsidRDefault="00E17836" w:rsidP="00E17836">
      <w:pPr>
        <w:pStyle w:val="CharChar12"/>
        <w:numPr>
          <w:ilvl w:val="0"/>
          <w:numId w:val="0"/>
        </w:numPr>
        <w:spacing w:before="120" w:after="120"/>
        <w:ind w:firstLine="720"/>
      </w:pPr>
      <w:r w:rsidRPr="00517A3B">
        <w:t>4.</w:t>
      </w:r>
      <w:r w:rsidRPr="00517A3B">
        <w:rPr>
          <w:i/>
        </w:rPr>
        <w:tab/>
      </w:r>
      <w:r w:rsidRPr="00517A3B">
        <w:rPr>
          <w:rStyle w:val="Decision-Action"/>
        </w:rPr>
        <w:t>Requests</w:t>
      </w:r>
      <w:r w:rsidRPr="00517A3B">
        <w:t xml:space="preserve"> that the Executive Secretary and the Global Environment Facility cooperate to facilitate access to funding for the clearing-house mechanism as a key component to support the implementation of the Strategic Plan for Biodiversity 2011-2020, as well as the implementation of national biodiversity strategies and action plans;</w:t>
      </w:r>
    </w:p>
    <w:p w14:paraId="47442AD3" w14:textId="77777777" w:rsidR="00E17836" w:rsidRPr="00517A3B" w:rsidRDefault="00E17836" w:rsidP="00E17836">
      <w:pPr>
        <w:pStyle w:val="CharChar12"/>
        <w:numPr>
          <w:ilvl w:val="0"/>
          <w:numId w:val="0"/>
        </w:numPr>
        <w:spacing w:before="120" w:after="120"/>
        <w:ind w:firstLine="720"/>
      </w:pPr>
      <w:r w:rsidRPr="00517A3B">
        <w:t>5.</w:t>
      </w:r>
      <w:r w:rsidRPr="00517A3B">
        <w:rPr>
          <w:i/>
        </w:rPr>
        <w:tab/>
      </w:r>
      <w:r w:rsidRPr="00517A3B">
        <w:rPr>
          <w:rStyle w:val="Decision-Action"/>
        </w:rPr>
        <w:t>Requests</w:t>
      </w:r>
      <w:r w:rsidRPr="00517A3B">
        <w:t xml:space="preserve"> the Executive Secretary, subject to available resources, to:</w:t>
      </w:r>
    </w:p>
    <w:p w14:paraId="1D2BBD1E" w14:textId="77777777" w:rsidR="00E17836" w:rsidRPr="00517A3B" w:rsidRDefault="00E17836" w:rsidP="00E17836">
      <w:pPr>
        <w:pStyle w:val="Para2-Decision"/>
        <w:numPr>
          <w:ilvl w:val="0"/>
          <w:numId w:val="0"/>
        </w:numPr>
        <w:spacing w:before="120"/>
        <w:ind w:firstLine="720"/>
      </w:pPr>
      <w:r w:rsidRPr="00517A3B">
        <w:t>(a)</w:t>
      </w:r>
      <w:r w:rsidRPr="00517A3B">
        <w:tab/>
        <w:t>Further develop the information services provided by the central clearing-house mechanism (goal 1);</w:t>
      </w:r>
    </w:p>
    <w:p w14:paraId="3202E0EC" w14:textId="77777777" w:rsidR="00E17836" w:rsidRPr="00517A3B" w:rsidRDefault="00E17836" w:rsidP="00E17836">
      <w:pPr>
        <w:pStyle w:val="Para2-Decision"/>
        <w:numPr>
          <w:ilvl w:val="0"/>
          <w:numId w:val="0"/>
        </w:numPr>
        <w:ind w:firstLine="720"/>
      </w:pPr>
      <w:r w:rsidRPr="00517A3B">
        <w:t>(b)</w:t>
      </w:r>
      <w:r w:rsidRPr="00517A3B">
        <w:tab/>
        <w:t xml:space="preserve">Prepare, in consultation with the informal advisory committee and interested Parties, a realistic work programme for the clearing-house mechanism, in line with the adopted Strategic Plan </w:t>
      </w:r>
      <w:r w:rsidRPr="00517A3B">
        <w:rPr>
          <w:szCs w:val="22"/>
          <w:lang w:bidi="th-TH"/>
        </w:rPr>
        <w:t>for Biodiversity 2011-2020</w:t>
      </w:r>
      <w:r w:rsidRPr="00517A3B">
        <w:t>;</w:t>
      </w:r>
    </w:p>
    <w:p w14:paraId="337B79FA" w14:textId="77777777" w:rsidR="00E17836" w:rsidRPr="00517A3B" w:rsidRDefault="00E17836" w:rsidP="00E17836">
      <w:pPr>
        <w:pStyle w:val="Para2-Decision"/>
        <w:numPr>
          <w:ilvl w:val="0"/>
          <w:numId w:val="0"/>
        </w:numPr>
        <w:ind w:firstLine="720"/>
      </w:pPr>
      <w:r w:rsidRPr="00517A3B">
        <w:t>(c)</w:t>
      </w:r>
      <w:r w:rsidRPr="00517A3B">
        <w:tab/>
        <w:t>Explore, in collaboration with Parties, other Governments, relevant partners and members of the Conservation Commons, ways to promote free and open access to data and information for conservation purposes, and report back on progress at the next meeting of the Conference of the Parties;</w:t>
      </w:r>
    </w:p>
    <w:p w14:paraId="23034729" w14:textId="77777777" w:rsidR="00E17836" w:rsidRPr="00517A3B" w:rsidRDefault="00E17836" w:rsidP="00E17836">
      <w:pPr>
        <w:pStyle w:val="Para2-Decision"/>
        <w:numPr>
          <w:ilvl w:val="0"/>
          <w:numId w:val="0"/>
        </w:numPr>
        <w:ind w:firstLine="720"/>
      </w:pPr>
      <w:r w:rsidRPr="00517A3B">
        <w:t>(d)</w:t>
      </w:r>
      <w:r w:rsidRPr="00517A3B">
        <w:tab/>
        <w:t>Further improve the Convention's website, and make this website readable in all United Nations languages.</w:t>
      </w:r>
    </w:p>
    <w:p w14:paraId="4FCDB37B" w14:textId="77777777" w:rsidR="00E17836" w:rsidRPr="00517A3B" w:rsidRDefault="00E17836" w:rsidP="00E17836"/>
    <w:p w14:paraId="216B4961" w14:textId="77777777" w:rsidR="00E17836" w:rsidRPr="00517A3B" w:rsidRDefault="00E17836" w:rsidP="00E17836">
      <w:pPr>
        <w:pStyle w:val="Heading-plainitalic"/>
      </w:pPr>
      <w:r>
        <w:br w:type="page"/>
      </w:r>
      <w:r w:rsidRPr="00517A3B">
        <w:lastRenderedPageBreak/>
        <w:t>Annex</w:t>
      </w:r>
    </w:p>
    <w:p w14:paraId="2BEAE3F5" w14:textId="77777777" w:rsidR="00E17836" w:rsidRPr="00517A3B" w:rsidRDefault="00E17836" w:rsidP="00E17836">
      <w:pPr>
        <w:pStyle w:val="HEADINGNOTFORTOC"/>
        <w:spacing w:before="120" w:after="0"/>
      </w:pPr>
      <w:r w:rsidRPr="00517A3B">
        <w:t>Mission, goals and objectives of the clearing-house mechanism for the period 2011-2020</w:t>
      </w:r>
    </w:p>
    <w:p w14:paraId="6D38000C" w14:textId="77777777" w:rsidR="00E17836" w:rsidRPr="00517A3B" w:rsidRDefault="00E17836" w:rsidP="00E17836">
      <w:pPr>
        <w:pStyle w:val="HEADINGNOTFORTOC"/>
      </w:pPr>
      <w:r w:rsidRPr="00517A3B">
        <w:t>Mission</w:t>
      </w:r>
    </w:p>
    <w:p w14:paraId="1866C898" w14:textId="77777777" w:rsidR="00E17836" w:rsidRPr="00517A3B" w:rsidRDefault="00E17836" w:rsidP="00E17836">
      <w:pPr>
        <w:rPr>
          <w:b/>
          <w:i/>
        </w:rPr>
      </w:pPr>
      <w:r w:rsidRPr="00517A3B">
        <w:rPr>
          <w:b/>
          <w:i/>
        </w:rPr>
        <w:t xml:space="preserve">To contribute significantly to the implementation of the Convention on Biological Diversity and its Strategic Plan </w:t>
      </w:r>
      <w:r w:rsidRPr="00517A3B">
        <w:rPr>
          <w:b/>
          <w:bCs/>
          <w:i/>
          <w:szCs w:val="22"/>
        </w:rPr>
        <w:t>for Biodiversity 2011-2020,</w:t>
      </w:r>
      <w:r w:rsidRPr="00517A3B">
        <w:rPr>
          <w:iCs/>
          <w:szCs w:val="22"/>
        </w:rPr>
        <w:t xml:space="preserve"> </w:t>
      </w:r>
      <w:r w:rsidRPr="00517A3B">
        <w:rPr>
          <w:b/>
          <w:i/>
        </w:rPr>
        <w:t>through effective information services and other appropriate means in order to promote and facilitate scientific and technical cooperation, knowledge sharing, and information exchange, and to establish a fully operational network of Parties and partners.</w:t>
      </w:r>
    </w:p>
    <w:p w14:paraId="3A2A28D7" w14:textId="77777777" w:rsidR="00E17836" w:rsidRPr="00517A3B" w:rsidRDefault="00E17836" w:rsidP="00E17836">
      <w:pPr>
        <w:pStyle w:val="HEADINGNOTFORTOC"/>
        <w:spacing w:after="0"/>
      </w:pPr>
      <w:r w:rsidRPr="00517A3B">
        <w:t>Goals and objectives</w:t>
      </w:r>
    </w:p>
    <w:p w14:paraId="7E6D8DBA" w14:textId="77777777" w:rsidR="00E17836" w:rsidRPr="00517A3B" w:rsidRDefault="00E17836" w:rsidP="00E17836">
      <w:pPr>
        <w:pStyle w:val="ElementGoal"/>
      </w:pPr>
      <w:r w:rsidRPr="00517A3B">
        <w:t>Goal 1:</w:t>
      </w:r>
      <w:r w:rsidRPr="00517A3B">
        <w:tab/>
        <w:t>The central clearing-house mechanism provides effective global information services to facilitate the implementation of the Strategic Plan for Biodiversity 2011-2020.</w:t>
      </w:r>
    </w:p>
    <w:p w14:paraId="4BE31FAA" w14:textId="77777777" w:rsidR="00E17836" w:rsidRPr="00517A3B" w:rsidRDefault="00E17836" w:rsidP="00E17836">
      <w:pPr>
        <w:pStyle w:val="ElementNumber"/>
      </w:pPr>
      <w:r w:rsidRPr="00517A3B">
        <w:t>1.1.</w:t>
      </w:r>
      <w:r w:rsidRPr="00517A3B">
        <w:tab/>
        <w:t>The CBD Secretariat has the capacity to sustain an effective central clearing-house mechanism.</w:t>
      </w:r>
    </w:p>
    <w:p w14:paraId="6342A9C7" w14:textId="77777777" w:rsidR="00E17836" w:rsidRPr="00517A3B" w:rsidRDefault="00E17836" w:rsidP="00E17836">
      <w:pPr>
        <w:pStyle w:val="ElementNumber"/>
      </w:pPr>
      <w:r w:rsidRPr="00517A3B">
        <w:t>1.2.</w:t>
      </w:r>
      <w:r w:rsidRPr="00517A3B">
        <w:tab/>
        <w:t>A high-quality CBD website is available in all United Nations languages.</w:t>
      </w:r>
    </w:p>
    <w:p w14:paraId="0F781C26" w14:textId="77777777" w:rsidR="00E17836" w:rsidRPr="00517A3B" w:rsidRDefault="00E17836" w:rsidP="00E17836">
      <w:pPr>
        <w:pStyle w:val="ElementNumber"/>
      </w:pPr>
      <w:r w:rsidRPr="00517A3B">
        <w:t>1.3.</w:t>
      </w:r>
      <w:r w:rsidRPr="00517A3B">
        <w:tab/>
        <w:t>Effective information exchange services are fully operational.</w:t>
      </w:r>
    </w:p>
    <w:p w14:paraId="0DDCA404" w14:textId="77777777" w:rsidR="00E17836" w:rsidRPr="00517A3B" w:rsidRDefault="00E17836" w:rsidP="00E17836">
      <w:pPr>
        <w:pStyle w:val="ElementNumber"/>
      </w:pPr>
      <w:r w:rsidRPr="00517A3B">
        <w:t>1.4.</w:t>
      </w:r>
      <w:r w:rsidRPr="00517A3B">
        <w:tab/>
        <w:t>The CBD Secretariat facilitates the development of a network of experts and practitioners among Parties and partners.</w:t>
      </w:r>
    </w:p>
    <w:p w14:paraId="648CE87F" w14:textId="77777777" w:rsidR="00E17836" w:rsidRPr="00517A3B" w:rsidRDefault="00E17836" w:rsidP="00E17836">
      <w:pPr>
        <w:pStyle w:val="ElementNumber"/>
      </w:pPr>
      <w:r w:rsidRPr="00517A3B">
        <w:t>1.5.</w:t>
      </w:r>
      <w:r w:rsidRPr="00517A3B">
        <w:tab/>
        <w:t>Guidance is available for Parties and partners to exchange information through the clearing</w:t>
      </w:r>
      <w:r w:rsidRPr="00517A3B">
        <w:noBreakHyphen/>
        <w:t>house mechanism network.</w:t>
      </w:r>
    </w:p>
    <w:p w14:paraId="0CC02F13" w14:textId="77777777" w:rsidR="00E17836" w:rsidRPr="00517A3B" w:rsidRDefault="00E17836" w:rsidP="00E17836">
      <w:pPr>
        <w:pStyle w:val="ElementGoal"/>
      </w:pPr>
      <w:r w:rsidRPr="00517A3B">
        <w:t>Goal 2:</w:t>
      </w:r>
      <w:r w:rsidRPr="00517A3B">
        <w:tab/>
        <w:t>National clearing-house mechanisms provide effective information services to facilitate the implementation of the national biodiversity strategies and action plans.</w:t>
      </w:r>
    </w:p>
    <w:p w14:paraId="43DAA4B3" w14:textId="77777777" w:rsidR="00E17836" w:rsidRPr="00517A3B" w:rsidRDefault="00E17836" w:rsidP="00E17836">
      <w:pPr>
        <w:pStyle w:val="ElementNumber"/>
        <w:keepNext/>
      </w:pPr>
      <w:r w:rsidRPr="00517A3B">
        <w:t>2.1.</w:t>
      </w:r>
      <w:r w:rsidRPr="00517A3B">
        <w:tab/>
        <w:t>All Parties have the capacity to sustain effective national clearing-house mechanisms.</w:t>
      </w:r>
    </w:p>
    <w:p w14:paraId="35ED34BB" w14:textId="77777777" w:rsidR="00E17836" w:rsidRPr="00517A3B" w:rsidRDefault="00E17836" w:rsidP="00E17836">
      <w:pPr>
        <w:pStyle w:val="ElementNumber"/>
        <w:keepNext/>
      </w:pPr>
      <w:r w:rsidRPr="00517A3B">
        <w:t>2.2.</w:t>
      </w:r>
      <w:r w:rsidRPr="00517A3B">
        <w:tab/>
        <w:t>High-quality national clearing-house mechanism websites are available.</w:t>
      </w:r>
    </w:p>
    <w:p w14:paraId="680CAB45" w14:textId="77777777" w:rsidR="00E17836" w:rsidRPr="00517A3B" w:rsidRDefault="00E17836" w:rsidP="00E17836">
      <w:pPr>
        <w:pStyle w:val="ElementNumber"/>
        <w:keepNext/>
      </w:pPr>
      <w:r w:rsidRPr="00517A3B">
        <w:t>2.3.</w:t>
      </w:r>
      <w:r w:rsidRPr="00517A3B">
        <w:tab/>
        <w:t>National information is exchanged through the clearing-house mechanism network.</w:t>
      </w:r>
    </w:p>
    <w:p w14:paraId="49135EE4" w14:textId="77777777" w:rsidR="00E17836" w:rsidRPr="00517A3B" w:rsidRDefault="00E17836" w:rsidP="00E17836">
      <w:pPr>
        <w:pStyle w:val="ElementNumber"/>
      </w:pPr>
      <w:r w:rsidRPr="00517A3B">
        <w:t>2.4.</w:t>
      </w:r>
      <w:r w:rsidRPr="00517A3B">
        <w:tab/>
        <w:t>Parties collaborate and share knowledge through the clearing-house mechanism network.</w:t>
      </w:r>
    </w:p>
    <w:p w14:paraId="072C2F17" w14:textId="77777777" w:rsidR="00E17836" w:rsidRPr="00517A3B" w:rsidRDefault="00E17836" w:rsidP="00E17836">
      <w:pPr>
        <w:pStyle w:val="ElementNumber"/>
      </w:pPr>
      <w:r w:rsidRPr="00517A3B">
        <w:t>2.5.</w:t>
      </w:r>
      <w:r w:rsidRPr="00517A3B">
        <w:tab/>
        <w:t>Partners and the CBD Secretariat have contributed to the development of national clearing-house mechanisms.</w:t>
      </w:r>
    </w:p>
    <w:p w14:paraId="45174C2A" w14:textId="77777777" w:rsidR="00E17836" w:rsidRPr="00517A3B" w:rsidRDefault="00E17836" w:rsidP="00E17836">
      <w:pPr>
        <w:pStyle w:val="ElementGoal"/>
      </w:pPr>
      <w:r w:rsidRPr="00517A3B">
        <w:t>Goal 3:</w:t>
      </w:r>
      <w:r w:rsidRPr="00517A3B">
        <w:tab/>
        <w:t>Partners significantly expand the clearing-house mechanism network and services.</w:t>
      </w:r>
    </w:p>
    <w:p w14:paraId="29D1B3B0" w14:textId="77777777" w:rsidR="00E17836" w:rsidRPr="00517A3B" w:rsidRDefault="00E17836" w:rsidP="00E17836">
      <w:pPr>
        <w:pStyle w:val="ElementNumber"/>
      </w:pPr>
      <w:r w:rsidRPr="00517A3B">
        <w:t>3.1.</w:t>
      </w:r>
      <w:r w:rsidRPr="00517A3B">
        <w:tab/>
        <w:t>Partners can sustain their participation in the clearing-house mechanism.</w:t>
      </w:r>
    </w:p>
    <w:p w14:paraId="6CE724E7" w14:textId="77777777" w:rsidR="00E17836" w:rsidRPr="00517A3B" w:rsidRDefault="00E17836" w:rsidP="00E17836">
      <w:pPr>
        <w:pStyle w:val="ElementNumber"/>
      </w:pPr>
      <w:r w:rsidRPr="00517A3B">
        <w:t>3.2.</w:t>
      </w:r>
      <w:r w:rsidRPr="00517A3B">
        <w:tab/>
        <w:t>High-quality regional and thematic clearing-house mechanism websites are available.</w:t>
      </w:r>
    </w:p>
    <w:p w14:paraId="7A7F9412" w14:textId="77777777" w:rsidR="00E17836" w:rsidRPr="00517A3B" w:rsidRDefault="00E17836" w:rsidP="00E17836">
      <w:pPr>
        <w:pStyle w:val="ElementNumber"/>
      </w:pPr>
      <w:r w:rsidRPr="00517A3B">
        <w:t>3.3.</w:t>
      </w:r>
      <w:r w:rsidRPr="00517A3B">
        <w:tab/>
        <w:t>Partner information is exchanged through the clearing-house mechanism network.</w:t>
      </w:r>
    </w:p>
    <w:p w14:paraId="0B6074CC" w14:textId="77777777" w:rsidR="00E17836" w:rsidRPr="00517A3B" w:rsidRDefault="00E17836" w:rsidP="00E17836">
      <w:pPr>
        <w:pStyle w:val="ElementNumber"/>
      </w:pPr>
      <w:r w:rsidRPr="00517A3B">
        <w:t>3.4.</w:t>
      </w:r>
      <w:r w:rsidRPr="00517A3B">
        <w:tab/>
        <w:t>Partners collaborate and share knowledge through the clearing-house mechanism network.</w:t>
      </w:r>
    </w:p>
    <w:p w14:paraId="0E6D6C23" w14:textId="77777777" w:rsidR="00E17836" w:rsidRPr="00517A3B" w:rsidRDefault="00E17836" w:rsidP="00E17836"/>
    <w:p w14:paraId="16DA2CC5" w14:textId="77777777" w:rsidR="00D96A74" w:rsidRPr="00D72238" w:rsidRDefault="00754398" w:rsidP="00754398">
      <w:pPr>
        <w:jc w:val="center"/>
        <w:rPr>
          <w:szCs w:val="22"/>
        </w:rPr>
      </w:pPr>
      <w:r>
        <w:rPr>
          <w:szCs w:val="22"/>
        </w:rPr>
        <w:t>-----</w:t>
      </w:r>
    </w:p>
    <w:sectPr w:rsidR="00D96A74" w:rsidRPr="00D72238" w:rsidSect="00754398">
      <w:footerReference w:type="default" r:id="rId15"/>
      <w:type w:val="continuous"/>
      <w:pgSz w:w="12240" w:h="15840" w:code="1"/>
      <w:pgMar w:top="1021" w:right="1440" w:bottom="1077" w:left="1440" w:header="28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30E0" w14:textId="77777777" w:rsidR="009F75D9" w:rsidRDefault="009F75D9">
      <w:r>
        <w:separator/>
      </w:r>
    </w:p>
  </w:endnote>
  <w:endnote w:type="continuationSeparator" w:id="0">
    <w:p w14:paraId="7D74235C" w14:textId="77777777" w:rsidR="009F75D9" w:rsidRDefault="009F7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F1BB" w14:textId="77777777" w:rsidR="00E17836" w:rsidRPr="00E17836" w:rsidRDefault="00E17836" w:rsidP="00E17836">
    <w:pPr>
      <w:pStyle w:val="Footer"/>
      <w:jc w:val="right"/>
      <w:rPr>
        <w:sz w:val="22"/>
        <w:szCs w:val="22"/>
        <w:lang w:val="en-CA"/>
      </w:rPr>
    </w:pPr>
    <w:r>
      <w:rPr>
        <w:sz w:val="22"/>
        <w:szCs w:val="22"/>
        <w:lang w:val="en-C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EA67" w14:textId="77777777" w:rsidR="00E17836" w:rsidRDefault="00E17836" w:rsidP="00E17836">
    <w:pPr>
      <w:pStyle w:val="Footer"/>
      <w:jc w:val="right"/>
      <w:rPr>
        <w:sz w:val="22"/>
        <w:szCs w:val="22"/>
        <w:lang w:val="en-CA"/>
      </w:rPr>
    </w:pPr>
    <w:r>
      <w:rPr>
        <w:sz w:val="22"/>
        <w:szCs w:val="22"/>
        <w:lang w:val="en-CA"/>
      </w:rPr>
      <w:t>/...</w:t>
    </w:r>
  </w:p>
  <w:p w14:paraId="48001C6D" w14:textId="77777777" w:rsidR="00E17836" w:rsidRDefault="00E17836" w:rsidP="00E17836">
    <w:pPr>
      <w:pStyle w:val="Footer"/>
      <w:jc w:val="right"/>
      <w:rPr>
        <w:sz w:val="22"/>
        <w:szCs w:val="22"/>
        <w:lang w:val="en-CA"/>
      </w:rPr>
    </w:pPr>
  </w:p>
  <w:p w14:paraId="474F657A" w14:textId="77777777" w:rsidR="00E17836" w:rsidRPr="00E17836" w:rsidRDefault="00E17836" w:rsidP="00E17836">
    <w:pPr>
      <w:pStyle w:val="Footer"/>
      <w:jc w:val="right"/>
      <w:rPr>
        <w:sz w:val="22"/>
        <w:szCs w:val="22"/>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752A" w14:textId="77777777" w:rsidR="00754398" w:rsidRDefault="00754398" w:rsidP="00754398">
    <w:pPr>
      <w:pStyle w:val="Footer"/>
      <w:jc w:val="right"/>
      <w:rPr>
        <w:sz w:val="22"/>
        <w:szCs w:val="22"/>
        <w:lang w:val="en-CA"/>
      </w:rPr>
    </w:pPr>
    <w:r>
      <w:rPr>
        <w:sz w:val="22"/>
        <w:szCs w:val="22"/>
        <w:lang w:val="en-CA"/>
      </w:rPr>
      <w:t>/...</w:t>
    </w:r>
  </w:p>
  <w:p w14:paraId="116B7FF6" w14:textId="77777777" w:rsidR="00754398" w:rsidRDefault="00754398" w:rsidP="00754398">
    <w:pPr>
      <w:pStyle w:val="Footer"/>
      <w:jc w:val="right"/>
      <w:rPr>
        <w:sz w:val="22"/>
        <w:szCs w:val="22"/>
        <w:lang w:val="en-CA"/>
      </w:rPr>
    </w:pPr>
  </w:p>
  <w:p w14:paraId="6418C094" w14:textId="77777777" w:rsidR="00754398" w:rsidRPr="00754398" w:rsidRDefault="00836F8C" w:rsidP="00754398">
    <w:pPr>
      <w:pStyle w:val="Footer"/>
      <w:jc w:val="right"/>
      <w:rPr>
        <w:sz w:val="22"/>
        <w:szCs w:val="22"/>
        <w:lang w:val="en-CA"/>
      </w:rPr>
    </w:pPr>
    <w:r>
      <w:rPr>
        <w:noProof/>
        <w:sz w:val="22"/>
        <w:szCs w:val="22"/>
        <w:lang w:val="en-CA" w:eastAsia="en-CA"/>
      </w:rPr>
      <mc:AlternateContent>
        <mc:Choice Requires="wps">
          <w:drawing>
            <wp:anchor distT="0" distB="0" distL="114300" distR="114300" simplePos="0" relativeHeight="251657728" behindDoc="0" locked="0" layoutInCell="1" allowOverlap="1" wp14:anchorId="4F5BB299" wp14:editId="0BDF6B0E">
              <wp:simplePos x="0" y="0"/>
              <wp:positionH relativeFrom="column">
                <wp:posOffset>0</wp:posOffset>
              </wp:positionH>
              <wp:positionV relativeFrom="paragraph">
                <wp:posOffset>-58420</wp:posOffset>
              </wp:positionV>
              <wp:extent cx="5943600" cy="365760"/>
              <wp:effectExtent l="12700" t="12700" r="12700" b="15240"/>
              <wp:wrapNone/>
              <wp:docPr id="114930066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39FFDD" w14:textId="77777777" w:rsidR="00754398" w:rsidRPr="006015AE" w:rsidRDefault="00754398" w:rsidP="00754398">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E198EAF" w14:textId="77777777" w:rsidR="00754398" w:rsidRPr="006015AE" w:rsidRDefault="00754398" w:rsidP="00754398">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BB299" id="Rectangle 6" o:spid="_x0000_s1026" style="position:absolute;left:0;text-align:left;margin-left:0;margin-top:-4.6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" strokeweight="3pt">
              <v:path arrowok="t"/>
              <v:textbox inset="0,0,0,0">
                <w:txbxContent>
                  <w:p w14:paraId="3A39FFDD" w14:textId="77777777" w:rsidR="00754398" w:rsidRPr="006015AE" w:rsidRDefault="00754398" w:rsidP="00754398">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E198EAF" w14:textId="77777777" w:rsidR="00754398" w:rsidRPr="006015AE" w:rsidRDefault="00754398" w:rsidP="00754398">
                    <w:pPr>
                      <w:rPr>
                        <w:color w:val="000000"/>
                        <w:sz w:val="16"/>
                        <w:szCs w:val="16"/>
                      </w:rP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8AE1" w14:textId="77777777" w:rsidR="00754398" w:rsidRDefault="00754398" w:rsidP="00E17836">
    <w:pPr>
      <w:pStyle w:val="Footer"/>
      <w:jc w:val="right"/>
      <w:rPr>
        <w:sz w:val="22"/>
        <w:szCs w:val="22"/>
        <w:lang w:val="en-CA"/>
      </w:rPr>
    </w:pPr>
  </w:p>
  <w:p w14:paraId="22DEC14B" w14:textId="77777777" w:rsidR="00754398" w:rsidRPr="00E17836" w:rsidRDefault="00754398" w:rsidP="00E17836">
    <w:pPr>
      <w:pStyle w:val="Footer"/>
      <w:jc w:val="right"/>
      <w:rPr>
        <w:sz w:val="22"/>
        <w:szCs w:val="22"/>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C459" w14:textId="77777777" w:rsidR="009F75D9" w:rsidRDefault="009F75D9">
      <w:r>
        <w:separator/>
      </w:r>
    </w:p>
  </w:footnote>
  <w:footnote w:type="continuationSeparator" w:id="0">
    <w:p w14:paraId="6510C30A" w14:textId="77777777" w:rsidR="009F75D9" w:rsidRDefault="009F75D9">
      <w:r>
        <w:continuationSeparator/>
      </w:r>
    </w:p>
  </w:footnote>
  <w:footnote w:id="1">
    <w:p w14:paraId="151AB8E7" w14:textId="77777777" w:rsidR="00E17836" w:rsidRPr="004E6AC5" w:rsidRDefault="00E17836" w:rsidP="00E17836">
      <w:pPr>
        <w:pStyle w:val="FootnoteText"/>
        <w:ind w:firstLine="0"/>
        <w:rPr>
          <w:lang w:val="en-US"/>
        </w:rPr>
      </w:pPr>
      <w:r>
        <w:rPr>
          <w:rStyle w:val="FootnoteReference"/>
        </w:rPr>
        <w:footnoteRef/>
      </w:r>
      <w:r>
        <w:rPr>
          <w:lang w:val="en-US"/>
        </w:rPr>
        <w:t xml:space="preserve">  </w:t>
      </w:r>
      <w:r>
        <w:t>UNEP/CBD/COP/10/15.</w:t>
      </w:r>
    </w:p>
  </w:footnote>
  <w:footnote w:id="2">
    <w:p w14:paraId="3D342DF7" w14:textId="77777777" w:rsidR="00E17836" w:rsidRPr="00BA501A" w:rsidRDefault="00E17836" w:rsidP="00E17836">
      <w:pPr>
        <w:pStyle w:val="Para1-Decision"/>
        <w:numPr>
          <w:ilvl w:val="0"/>
          <w:numId w:val="0"/>
        </w:numPr>
        <w:spacing w:after="0"/>
        <w:rPr>
          <w:sz w:val="18"/>
        </w:rPr>
      </w:pPr>
      <w:r w:rsidRPr="00F36FD2">
        <w:rPr>
          <w:rStyle w:val="FootnoteReference"/>
          <w:szCs w:val="22"/>
        </w:rPr>
        <w:footnoteRef/>
      </w:r>
      <w:r w:rsidRPr="00F36FD2">
        <w:rPr>
          <w:szCs w:val="22"/>
        </w:rPr>
        <w:t xml:space="preserve"> </w:t>
      </w:r>
      <w:r w:rsidRPr="00BA501A">
        <w:rPr>
          <w:sz w:val="18"/>
        </w:rPr>
        <w:t xml:space="preserve">The following additional </w:t>
      </w:r>
      <w:r>
        <w:rPr>
          <w:sz w:val="18"/>
        </w:rPr>
        <w:t>suggestions</w:t>
      </w:r>
      <w:r w:rsidRPr="00BA501A">
        <w:rPr>
          <w:sz w:val="18"/>
        </w:rPr>
        <w:t xml:space="preserve"> will be included in the list of priority activities:</w:t>
      </w:r>
    </w:p>
    <w:p w14:paraId="15D4317A" w14:textId="77777777" w:rsidR="00E17836" w:rsidRPr="00D34543" w:rsidRDefault="00E17836" w:rsidP="00E17836">
      <w:pPr>
        <w:pStyle w:val="Para2-Decision"/>
        <w:numPr>
          <w:ilvl w:val="1"/>
          <w:numId w:val="1"/>
        </w:numPr>
        <w:spacing w:after="0"/>
        <w:rPr>
          <w:sz w:val="18"/>
        </w:rPr>
      </w:pPr>
      <w:r w:rsidRPr="00D34543">
        <w:rPr>
          <w:sz w:val="18"/>
        </w:rPr>
        <w:t>Promote networking of Parties and partners by linking the central and national clearing-house mechanisms;</w:t>
      </w:r>
    </w:p>
    <w:p w14:paraId="087AD982" w14:textId="77777777" w:rsidR="00E17836" w:rsidRPr="00D34543" w:rsidRDefault="00E17836" w:rsidP="00E17836">
      <w:pPr>
        <w:pStyle w:val="Para2-Decision"/>
        <w:numPr>
          <w:ilvl w:val="1"/>
          <w:numId w:val="1"/>
        </w:numPr>
        <w:spacing w:after="0"/>
        <w:rPr>
          <w:sz w:val="18"/>
        </w:rPr>
      </w:pPr>
      <w:r w:rsidRPr="00D34543">
        <w:rPr>
          <w:sz w:val="18"/>
        </w:rPr>
        <w:t>Analyse and disseminate concrete and practical information as well as best practices on ongoing activities that support, facilitate, or promote technology transfer as well as scientific and technological cooperation;</w:t>
      </w:r>
    </w:p>
    <w:p w14:paraId="6BF70EF0" w14:textId="77777777" w:rsidR="00E17836" w:rsidRPr="00D34543" w:rsidRDefault="00E17836" w:rsidP="00E17836">
      <w:pPr>
        <w:pStyle w:val="Para2-Decision"/>
        <w:numPr>
          <w:ilvl w:val="1"/>
          <w:numId w:val="1"/>
        </w:numPr>
        <w:spacing w:after="0"/>
        <w:rPr>
          <w:sz w:val="18"/>
        </w:rPr>
      </w:pPr>
      <w:r w:rsidRPr="00D34543">
        <w:rPr>
          <w:sz w:val="18"/>
        </w:rPr>
        <w:t>Enhance the accessibility of national clearing-house mechanism websites through the involvement of inter</w:t>
      </w:r>
      <w:r w:rsidRPr="00D34543">
        <w:rPr>
          <w:sz w:val="18"/>
        </w:rPr>
        <w:noBreakHyphen/>
        <w:t>institutional steering committees with the participation of relevant organizations and stakeholders;</w:t>
      </w:r>
    </w:p>
    <w:p w14:paraId="00050EAB" w14:textId="77777777" w:rsidR="00E17836" w:rsidRPr="00D34543" w:rsidRDefault="00E17836" w:rsidP="00E17836">
      <w:pPr>
        <w:pStyle w:val="Para2-Decision"/>
        <w:numPr>
          <w:ilvl w:val="1"/>
          <w:numId w:val="1"/>
        </w:numPr>
        <w:spacing w:after="0"/>
        <w:rPr>
          <w:sz w:val="18"/>
        </w:rPr>
      </w:pPr>
      <w:r w:rsidRPr="00D34543">
        <w:rPr>
          <w:sz w:val="18"/>
        </w:rPr>
        <w:t xml:space="preserve">Evaluate the effectiveness of information services </w:t>
      </w:r>
      <w:r>
        <w:rPr>
          <w:sz w:val="18"/>
        </w:rPr>
        <w:t>contributing to</w:t>
      </w:r>
      <w:r w:rsidRPr="00D34543">
        <w:rPr>
          <w:sz w:val="18"/>
        </w:rPr>
        <w:t xml:space="preserve"> the implementation of national biodiversity strategies and action plan</w:t>
      </w:r>
      <w:r>
        <w:rPr>
          <w:sz w:val="18"/>
        </w:rPr>
        <w:t>s</w:t>
      </w:r>
      <w:r w:rsidRPr="00D34543">
        <w:rPr>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0A2C" w14:textId="77777777" w:rsidR="004C16D2" w:rsidRPr="004C16D2" w:rsidRDefault="004C16D2" w:rsidP="00D72238">
    <w:pPr>
      <w:pStyle w:val="Header"/>
      <w:rPr>
        <w:sz w:val="22"/>
        <w:szCs w:val="22"/>
      </w:rPr>
    </w:pPr>
    <w:r w:rsidRPr="004C16D2">
      <w:rPr>
        <w:sz w:val="22"/>
        <w:szCs w:val="22"/>
      </w:rPr>
      <w:t>UNEP/CBD/COP/10/</w:t>
    </w:r>
    <w:r w:rsidR="00E17836">
      <w:rPr>
        <w:sz w:val="22"/>
        <w:szCs w:val="22"/>
      </w:rPr>
      <w:t>DEC/X/15</w:t>
    </w:r>
  </w:p>
  <w:p w14:paraId="7D7D1851" w14:textId="77777777" w:rsidR="004C16D2" w:rsidRPr="004C16D2" w:rsidRDefault="004C16D2">
    <w:pPr>
      <w:pStyle w:val="Header"/>
      <w:rPr>
        <w:sz w:val="22"/>
        <w:szCs w:val="22"/>
      </w:rPr>
    </w:pPr>
    <w:r w:rsidRPr="004C16D2">
      <w:rPr>
        <w:sz w:val="22"/>
        <w:szCs w:val="22"/>
      </w:rPr>
      <w:t xml:space="preserve">Page </w:t>
    </w:r>
    <w:r w:rsidRPr="004C16D2">
      <w:rPr>
        <w:rStyle w:val="PageNumber"/>
        <w:sz w:val="22"/>
        <w:szCs w:val="22"/>
      </w:rPr>
      <w:fldChar w:fldCharType="begin"/>
    </w:r>
    <w:r w:rsidRPr="004C16D2">
      <w:rPr>
        <w:rStyle w:val="PageNumber"/>
        <w:sz w:val="22"/>
        <w:szCs w:val="22"/>
      </w:rPr>
      <w:instrText xml:space="preserve"> PAGE </w:instrText>
    </w:r>
    <w:r w:rsidRPr="004C16D2">
      <w:rPr>
        <w:rStyle w:val="PageNumber"/>
        <w:sz w:val="22"/>
        <w:szCs w:val="22"/>
      </w:rPr>
      <w:fldChar w:fldCharType="separate"/>
    </w:r>
    <w:r w:rsidR="001901C9">
      <w:rPr>
        <w:rStyle w:val="PageNumber"/>
        <w:noProof/>
        <w:sz w:val="22"/>
        <w:szCs w:val="22"/>
      </w:rPr>
      <w:t>2</w:t>
    </w:r>
    <w:r w:rsidRPr="004C16D2">
      <w:rPr>
        <w:rStyle w:val="PageNumber"/>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B5FB" w14:textId="77777777" w:rsidR="00E17836" w:rsidRDefault="00E17836" w:rsidP="00754398">
    <w:pPr>
      <w:pStyle w:val="Header"/>
      <w:ind w:left="6480"/>
      <w:rPr>
        <w:sz w:val="22"/>
        <w:szCs w:val="22"/>
        <w:lang w:val="en-CA"/>
      </w:rPr>
    </w:pPr>
    <w:r>
      <w:rPr>
        <w:sz w:val="22"/>
        <w:szCs w:val="22"/>
        <w:lang w:val="en-CA"/>
      </w:rPr>
      <w:t>UNEP/CBD/COP/DEC/X/15</w:t>
    </w:r>
  </w:p>
  <w:p w14:paraId="01E742E4" w14:textId="77777777" w:rsidR="00E17836" w:rsidRPr="00E17836" w:rsidRDefault="00E17836" w:rsidP="00754398">
    <w:pPr>
      <w:pStyle w:val="Header"/>
      <w:ind w:left="6480"/>
      <w:rPr>
        <w:sz w:val="22"/>
        <w:szCs w:val="22"/>
        <w:lang w:val="en-CA"/>
      </w:rPr>
    </w:pPr>
    <w:r>
      <w:rPr>
        <w:sz w:val="22"/>
        <w:szCs w:val="22"/>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1901C9">
      <w:rPr>
        <w:rStyle w:val="PageNumber"/>
        <w:noProof/>
      </w:rPr>
      <w:t>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42B4"/>
    <w:multiLevelType w:val="multilevel"/>
    <w:tmpl w:val="A9303690"/>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pStyle w:val="Heading2longmultiline"/>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4F9D0545"/>
    <w:multiLevelType w:val="hybridMultilevel"/>
    <w:tmpl w:val="51B2942A"/>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6357990">
    <w:abstractNumId w:val="0"/>
  </w:num>
  <w:num w:numId="2" w16cid:durableId="206583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65"/>
    <w:rsid w:val="000520E5"/>
    <w:rsid w:val="000979B7"/>
    <w:rsid w:val="000C1A81"/>
    <w:rsid w:val="00112413"/>
    <w:rsid w:val="00134791"/>
    <w:rsid w:val="001901C9"/>
    <w:rsid w:val="001F3FE7"/>
    <w:rsid w:val="0027552B"/>
    <w:rsid w:val="00374558"/>
    <w:rsid w:val="003C7B42"/>
    <w:rsid w:val="003D2E64"/>
    <w:rsid w:val="003F0854"/>
    <w:rsid w:val="00473473"/>
    <w:rsid w:val="004C16D2"/>
    <w:rsid w:val="004E5412"/>
    <w:rsid w:val="005332B5"/>
    <w:rsid w:val="005E0A0B"/>
    <w:rsid w:val="006173B2"/>
    <w:rsid w:val="00754398"/>
    <w:rsid w:val="007F0C56"/>
    <w:rsid w:val="00801CB9"/>
    <w:rsid w:val="00836F8C"/>
    <w:rsid w:val="008C2082"/>
    <w:rsid w:val="008D719D"/>
    <w:rsid w:val="009F06D1"/>
    <w:rsid w:val="009F75D9"/>
    <w:rsid w:val="00AD02CF"/>
    <w:rsid w:val="00AD5165"/>
    <w:rsid w:val="00B123BE"/>
    <w:rsid w:val="00B61E6C"/>
    <w:rsid w:val="00C15C39"/>
    <w:rsid w:val="00D40B73"/>
    <w:rsid w:val="00D42E0E"/>
    <w:rsid w:val="00D72238"/>
    <w:rsid w:val="00D73EDB"/>
    <w:rsid w:val="00D96A74"/>
    <w:rsid w:val="00DF4E7F"/>
    <w:rsid w:val="00E17836"/>
    <w:rsid w:val="00EF7DC0"/>
    <w:rsid w:val="00F174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A2C91"/>
  <w15:chartTrackingRefBased/>
  <w15:docId w15:val="{940C8301-BB3A-A34D-AB24-5DA30569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Heading2"/>
    <w:qFormat/>
    <w:rsid w:val="004C16D2"/>
    <w:pPr>
      <w:keepNext/>
      <w:tabs>
        <w:tab w:val="left" w:pos="720"/>
      </w:tabs>
      <w:spacing w:before="240" w:after="120"/>
      <w:jc w:val="center"/>
      <w:outlineLvl w:val="0"/>
    </w:pPr>
    <w:rPr>
      <w:b/>
      <w:caps/>
      <w:sz w:val="22"/>
      <w:lang w:val="en-GB"/>
    </w:rPr>
  </w:style>
  <w:style w:type="paragraph" w:styleId="Heading2">
    <w:name w:val="heading 2"/>
    <w:basedOn w:val="Normal"/>
    <w:next w:val="Normal"/>
    <w:qFormat/>
    <w:rsid w:val="004C16D2"/>
    <w:pPr>
      <w:keepNext/>
      <w:spacing w:before="240" w:after="60"/>
      <w:outlineLvl w:val="1"/>
    </w:pPr>
    <w:rPr>
      <w:rFonts w:ascii="Arial" w:hAnsi="Arial" w:cs="Arial"/>
      <w:b/>
      <w:bCs/>
      <w:i/>
      <w:iCs/>
      <w:sz w:val="28"/>
      <w:szCs w:val="28"/>
    </w:rPr>
  </w:style>
  <w:style w:type="paragraph" w:styleId="Heading5">
    <w:name w:val="heading 5"/>
    <w:basedOn w:val="Normal"/>
    <w:next w:val="Normal"/>
    <w:qFormat/>
    <w:rsid w:val="00AD5165"/>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ing-item">
    <w:name w:val="Heading-item"/>
    <w:basedOn w:val="Normal"/>
    <w:next w:val="BodyText"/>
    <w:rsid w:val="00AD5165"/>
    <w:pPr>
      <w:keepNext/>
      <w:spacing w:before="120" w:after="120"/>
      <w:ind w:left="709" w:hanging="709"/>
      <w:jc w:val="both"/>
    </w:pPr>
    <w:rPr>
      <w:b/>
      <w:bCs/>
      <w:i/>
      <w:iCs/>
      <w:sz w:val="22"/>
      <w:lang w:val="en-GB"/>
    </w:rPr>
  </w:style>
  <w:style w:type="paragraph" w:customStyle="1" w:styleId="Recommendation">
    <w:name w:val="Recommendation"/>
    <w:basedOn w:val="Normal"/>
    <w:rsid w:val="00AD5165"/>
    <w:pPr>
      <w:keepNext/>
      <w:tabs>
        <w:tab w:val="left" w:pos="720"/>
      </w:tabs>
      <w:spacing w:before="120" w:after="120"/>
      <w:ind w:left="1843" w:right="998" w:hanging="943"/>
      <w:outlineLvl w:val="0"/>
    </w:pPr>
    <w:rPr>
      <w:b/>
      <w:i/>
      <w:iCs/>
      <w:sz w:val="22"/>
      <w:lang w:val="en-GB"/>
    </w:rPr>
  </w:style>
  <w:style w:type="paragraph" w:styleId="BodyText">
    <w:name w:val="Body Text"/>
    <w:aliases w:val=" Car"/>
    <w:basedOn w:val="Normal"/>
    <w:rsid w:val="00AD5165"/>
    <w:pPr>
      <w:spacing w:after="120"/>
    </w:pPr>
  </w:style>
  <w:style w:type="paragraph" w:customStyle="1" w:styleId="Heading2GTI">
    <w:name w:val="Heading 2 (GTI)"/>
    <w:basedOn w:val="Heading5"/>
    <w:rsid w:val="00AD5165"/>
    <w:pPr>
      <w:keepNext/>
      <w:tabs>
        <w:tab w:val="num" w:pos="720"/>
      </w:tabs>
      <w:spacing w:before="120" w:after="120"/>
      <w:ind w:left="720" w:hanging="720"/>
      <w:jc w:val="both"/>
    </w:pPr>
    <w:rPr>
      <w:b w:val="0"/>
      <w:bCs w:val="0"/>
      <w:i w:val="0"/>
      <w:iCs w:val="0"/>
      <w:sz w:val="22"/>
      <w:lang w:val="en-CA"/>
    </w:rPr>
  </w:style>
  <w:style w:type="paragraph" w:styleId="BalloonText">
    <w:name w:val="Balloon Text"/>
    <w:basedOn w:val="Normal"/>
    <w:semiHidden/>
    <w:rsid w:val="0027552B"/>
    <w:rPr>
      <w:rFonts w:ascii="Tahoma" w:hAnsi="Tahoma" w:cs="Tahoma"/>
      <w:sz w:val="16"/>
      <w:szCs w:val="16"/>
    </w:rPr>
  </w:style>
  <w:style w:type="paragraph" w:customStyle="1" w:styleId="Cornernotation">
    <w:name w:val="Corner notation"/>
    <w:basedOn w:val="Normal"/>
    <w:rsid w:val="004C16D2"/>
    <w:pPr>
      <w:ind w:left="170" w:right="3119" w:hanging="170"/>
    </w:pPr>
    <w:rPr>
      <w:sz w:val="22"/>
      <w:lang w:val="en-GB"/>
    </w:rPr>
  </w:style>
  <w:style w:type="paragraph" w:styleId="Header">
    <w:name w:val="header"/>
    <w:basedOn w:val="Normal"/>
    <w:link w:val="HeaderChar"/>
    <w:rsid w:val="004C16D2"/>
    <w:pPr>
      <w:tabs>
        <w:tab w:val="center" w:pos="4320"/>
        <w:tab w:val="right" w:pos="8640"/>
      </w:tabs>
    </w:pPr>
  </w:style>
  <w:style w:type="paragraph" w:styleId="Footer">
    <w:name w:val="footer"/>
    <w:basedOn w:val="Normal"/>
    <w:link w:val="FooterChar"/>
    <w:rsid w:val="004C16D2"/>
    <w:pPr>
      <w:tabs>
        <w:tab w:val="center" w:pos="4320"/>
        <w:tab w:val="right" w:pos="8640"/>
      </w:tabs>
    </w:pPr>
  </w:style>
  <w:style w:type="character" w:styleId="PageNumber">
    <w:name w:val="page number"/>
    <w:basedOn w:val="DefaultParagraphFont"/>
    <w:rsid w:val="004C16D2"/>
  </w:style>
  <w:style w:type="paragraph" w:styleId="BodyText2">
    <w:name w:val="Body Text 2"/>
    <w:basedOn w:val="Normal"/>
    <w:rsid w:val="000979B7"/>
    <w:pPr>
      <w:spacing w:after="120" w:line="480" w:lineRule="auto"/>
    </w:pPr>
  </w:style>
  <w:style w:type="paragraph" w:customStyle="1" w:styleId="HEADINGNOTFORTOC">
    <w:name w:val="HEADING (NOT FOR TOC)"/>
    <w:basedOn w:val="Heading1"/>
    <w:next w:val="Heading2"/>
    <w:link w:val="HEADINGNOTFORTOCChar"/>
    <w:rsid w:val="009F06D1"/>
  </w:style>
  <w:style w:type="character" w:customStyle="1" w:styleId="FooterChar">
    <w:name w:val="Footer Char"/>
    <w:basedOn w:val="DefaultParagraphFont"/>
    <w:link w:val="Footer"/>
    <w:rsid w:val="00D72238"/>
    <w:rPr>
      <w:sz w:val="24"/>
      <w:szCs w:val="24"/>
      <w:lang w:val="en-US" w:eastAsia="en-US" w:bidi="ar-SA"/>
    </w:rPr>
  </w:style>
  <w:style w:type="paragraph" w:customStyle="1" w:styleId="Para3">
    <w:name w:val="Para3"/>
    <w:basedOn w:val="Normal"/>
    <w:rsid w:val="00D72238"/>
    <w:pPr>
      <w:tabs>
        <w:tab w:val="left" w:pos="1980"/>
      </w:tabs>
      <w:spacing w:before="80" w:after="80"/>
      <w:jc w:val="both"/>
    </w:pPr>
    <w:rPr>
      <w:sz w:val="22"/>
      <w:szCs w:val="20"/>
      <w:lang w:val="en-GB"/>
    </w:rPr>
  </w:style>
  <w:style w:type="character" w:customStyle="1" w:styleId="HeaderChar">
    <w:name w:val="Header Char"/>
    <w:basedOn w:val="DefaultParagraphFont"/>
    <w:link w:val="Header"/>
    <w:rsid w:val="00D72238"/>
    <w:rPr>
      <w:sz w:val="24"/>
      <w:szCs w:val="24"/>
      <w:lang w:val="en-US" w:eastAsia="en-US" w:bidi="ar-SA"/>
    </w:rPr>
  </w:style>
  <w:style w:type="paragraph" w:customStyle="1" w:styleId="Dec-titleoneline">
    <w:name w:val="Dec-title one line"/>
    <w:basedOn w:val="Heading2"/>
    <w:rsid w:val="00D72238"/>
    <w:pPr>
      <w:tabs>
        <w:tab w:val="left" w:pos="720"/>
      </w:tabs>
      <w:spacing w:before="120" w:after="120"/>
      <w:jc w:val="center"/>
    </w:pPr>
    <w:rPr>
      <w:rFonts w:ascii="Times New Roman" w:hAnsi="Times New Roman" w:cs="Times New Roman"/>
      <w:sz w:val="22"/>
      <w:szCs w:val="24"/>
      <w:lang w:val="en-GB"/>
    </w:rPr>
  </w:style>
  <w:style w:type="paragraph" w:customStyle="1" w:styleId="Para1">
    <w:name w:val="Para1"/>
    <w:basedOn w:val="Normal"/>
    <w:rsid w:val="00E17836"/>
    <w:pPr>
      <w:numPr>
        <w:numId w:val="1"/>
      </w:numPr>
      <w:spacing w:before="120" w:after="120"/>
      <w:jc w:val="both"/>
    </w:pPr>
    <w:rPr>
      <w:snapToGrid w:val="0"/>
      <w:sz w:val="22"/>
      <w:szCs w:val="18"/>
      <w:lang w:val="en-GB"/>
    </w:rPr>
  </w:style>
  <w:style w:type="paragraph" w:customStyle="1" w:styleId="Para2">
    <w:name w:val="Para2"/>
    <w:basedOn w:val="Para1"/>
    <w:rsid w:val="00E17836"/>
    <w:pPr>
      <w:numPr>
        <w:numId w:val="5"/>
      </w:numPr>
      <w:tabs>
        <w:tab w:val="left" w:pos="720"/>
      </w:tabs>
      <w:autoSpaceDE w:val="0"/>
      <w:autoSpaceDN w:val="0"/>
    </w:p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E17836"/>
    <w:pPr>
      <w:keepLines/>
      <w:spacing w:after="60"/>
      <w:ind w:firstLine="720"/>
      <w:jc w:val="both"/>
    </w:pPr>
    <w:rPr>
      <w:sz w:val="18"/>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E17836"/>
    <w:rPr>
      <w:sz w:val="18"/>
      <w:szCs w:val="24"/>
      <w:lang w:val="en-GB" w:eastAsia="en-US" w:bidi="ar-SA"/>
    </w:rPr>
  </w:style>
  <w:style w:type="character" w:styleId="FootnoteReference">
    <w:name w:val="footnote reference"/>
    <w:basedOn w:val="DefaultParagraphFont"/>
    <w:semiHidden/>
    <w:rsid w:val="00E17836"/>
    <w:rPr>
      <w:sz w:val="22"/>
      <w:u w:val="none"/>
      <w:vertAlign w:val="superscript"/>
    </w:rPr>
  </w:style>
  <w:style w:type="paragraph" w:customStyle="1" w:styleId="Heading2longmultiline">
    <w:name w:val="Heading 2 (long multiline)"/>
    <w:basedOn w:val="Normal"/>
    <w:rsid w:val="00E17836"/>
    <w:pPr>
      <w:keepNext/>
      <w:numPr>
        <w:ilvl w:val="7"/>
        <w:numId w:val="1"/>
      </w:numPr>
      <w:tabs>
        <w:tab w:val="left" w:pos="720"/>
      </w:tabs>
      <w:spacing w:before="120" w:after="120"/>
      <w:ind w:right="998"/>
      <w:outlineLvl w:val="0"/>
    </w:pPr>
    <w:rPr>
      <w:b/>
      <w:i/>
      <w:iCs/>
      <w:sz w:val="22"/>
      <w:lang w:val="en-GB"/>
    </w:rPr>
  </w:style>
  <w:style w:type="paragraph" w:customStyle="1" w:styleId="Heading-plainitalic">
    <w:name w:val="Heading-plain italic"/>
    <w:basedOn w:val="Normal"/>
    <w:rsid w:val="00E17836"/>
    <w:pPr>
      <w:spacing w:before="120" w:after="120"/>
      <w:jc w:val="center"/>
    </w:pPr>
    <w:rPr>
      <w:i/>
      <w:sz w:val="22"/>
      <w:lang w:val="en-GB"/>
    </w:rPr>
  </w:style>
  <w:style w:type="character" w:customStyle="1" w:styleId="HEADINGNOTFORTOCChar">
    <w:name w:val="HEADING (NOT FOR TOC) Char"/>
    <w:basedOn w:val="DefaultParagraphFont"/>
    <w:link w:val="HEADINGNOTFORTOC"/>
    <w:rsid w:val="00E17836"/>
    <w:rPr>
      <w:b/>
      <w:caps/>
      <w:sz w:val="22"/>
      <w:szCs w:val="24"/>
      <w:lang w:val="en-GB" w:eastAsia="en-US" w:bidi="ar-SA"/>
    </w:rPr>
  </w:style>
  <w:style w:type="paragraph" w:customStyle="1" w:styleId="Para2-Decision">
    <w:name w:val="Para2-Decision"/>
    <w:basedOn w:val="Para2"/>
    <w:rsid w:val="00E17836"/>
    <w:pPr>
      <w:numPr>
        <w:ilvl w:val="1"/>
        <w:numId w:val="10"/>
      </w:numPr>
      <w:tabs>
        <w:tab w:val="clear" w:pos="720"/>
      </w:tabs>
      <w:autoSpaceDE/>
      <w:autoSpaceDN/>
      <w:spacing w:before="0"/>
    </w:pPr>
  </w:style>
  <w:style w:type="paragraph" w:customStyle="1" w:styleId="ElementNumber">
    <w:name w:val="Element Number"/>
    <w:basedOn w:val="Normal"/>
    <w:rsid w:val="00E17836"/>
    <w:pPr>
      <w:spacing w:after="120"/>
      <w:ind w:left="720" w:hanging="720"/>
      <w:jc w:val="both"/>
    </w:pPr>
    <w:rPr>
      <w:sz w:val="22"/>
      <w:szCs w:val="20"/>
      <w:lang w:val="en-GB"/>
    </w:rPr>
  </w:style>
  <w:style w:type="paragraph" w:customStyle="1" w:styleId="ElementGoal">
    <w:name w:val="Element Goal"/>
    <w:basedOn w:val="ElementNumber"/>
    <w:rsid w:val="00E17836"/>
    <w:pPr>
      <w:keepNext/>
      <w:spacing w:before="240"/>
    </w:pPr>
    <w:rPr>
      <w:b/>
      <w:i/>
    </w:rPr>
  </w:style>
  <w:style w:type="paragraph" w:customStyle="1" w:styleId="Para1-Decision">
    <w:name w:val="Para1-Decision"/>
    <w:basedOn w:val="Para1"/>
    <w:rsid w:val="00E17836"/>
    <w:pPr>
      <w:numPr>
        <w:numId w:val="10"/>
      </w:numPr>
      <w:spacing w:before="0"/>
      <w:ind w:firstLine="720"/>
    </w:pPr>
  </w:style>
  <w:style w:type="paragraph" w:customStyle="1" w:styleId="Para-Decision">
    <w:name w:val="Para-Decision"/>
    <w:basedOn w:val="Normal"/>
    <w:rsid w:val="00E17836"/>
    <w:pPr>
      <w:tabs>
        <w:tab w:val="left" w:pos="720"/>
      </w:tabs>
      <w:spacing w:before="120" w:after="120"/>
      <w:ind w:firstLine="720"/>
      <w:jc w:val="both"/>
    </w:pPr>
    <w:rPr>
      <w:sz w:val="22"/>
      <w:szCs w:val="18"/>
      <w:lang w:val="en-GB"/>
    </w:rPr>
  </w:style>
  <w:style w:type="character" w:customStyle="1" w:styleId="Decision-Action">
    <w:name w:val="Decision-Action"/>
    <w:basedOn w:val="DefaultParagraphFont"/>
    <w:rsid w:val="00E17836"/>
    <w:rPr>
      <w:i/>
    </w:rPr>
  </w:style>
  <w:style w:type="paragraph" w:customStyle="1" w:styleId="CharChar12">
    <w:name w:val="Char Char12"/>
    <w:basedOn w:val="Normal"/>
    <w:rsid w:val="00E17836"/>
    <w:pPr>
      <w:numPr>
        <w:numId w:val="32"/>
      </w:numPr>
      <w:jc w:val="both"/>
    </w:pPr>
    <w:rPr>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Decision X/15</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X/15</dc:title>
  <dc:subject>Scientific and technical cooperation and the clearing-house mechanism</dc:subject>
  <dc:creator>SCBD</dc:creator>
  <cp:keywords>CHM</cp:keywords>
  <dc:description/>
  <cp:lastModifiedBy>Rodrigo Elias</cp:lastModifiedBy>
  <cp:revision>2</cp:revision>
  <cp:lastPrinted>2010-10-21T14:43:00Z</cp:lastPrinted>
  <dcterms:created xsi:type="dcterms:W3CDTF">2025-11-13T18:51:00Z</dcterms:created>
  <dcterms:modified xsi:type="dcterms:W3CDTF">2025-11-13T18:51:00Z</dcterms:modified>
</cp:coreProperties>
</file>