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326198" w14:paraId="3F16E107" w14:textId="77777777" w:rsidTr="00326198">
        <w:tblPrEx>
          <w:tblCellMar>
            <w:top w:w="0" w:type="dxa"/>
            <w:bottom w:w="0" w:type="dxa"/>
          </w:tblCellMar>
        </w:tblPrEx>
        <w:trPr>
          <w:gridAfter w:val="1"/>
          <w:wAfter w:w="250" w:type="dxa"/>
        </w:trPr>
        <w:tc>
          <w:tcPr>
            <w:tcW w:w="1366" w:type="dxa"/>
            <w:tcBorders>
              <w:top w:val="nil"/>
              <w:bottom w:val="single" w:sz="12" w:space="0" w:color="000000"/>
            </w:tcBorders>
          </w:tcPr>
          <w:p w14:paraId="2435D3F2" w14:textId="77777777" w:rsidR="00326198" w:rsidRDefault="00D44BD3" w:rsidP="001C7FBD">
            <w:pPr>
              <w:pStyle w:val="BodyText2"/>
            </w:pPr>
            <w:r>
              <w:rPr>
                <w:noProof/>
              </w:rPr>
              <w:drawing>
                <wp:inline distT="0" distB="0" distL="0" distR="0" wp14:anchorId="61A44D97" wp14:editId="6FD952A9">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4010C0EF" w14:textId="77777777" w:rsidR="00326198" w:rsidRDefault="00D44BD3" w:rsidP="001C7FBD">
            <w:r>
              <w:rPr>
                <w:b/>
                <w:noProof/>
              </w:rPr>
              <w:drawing>
                <wp:inline distT="0" distB="0" distL="0" distR="0" wp14:anchorId="25A13E18" wp14:editId="2D389C85">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5DC65861" w14:textId="77777777" w:rsidR="00326198" w:rsidRDefault="00326198" w:rsidP="001C7FBD">
            <w:pPr>
              <w:tabs>
                <w:tab w:val="left" w:pos="6815"/>
                <w:tab w:val="right" w:pos="7611"/>
              </w:tabs>
              <w:jc w:val="left"/>
              <w:rPr>
                <w:rFonts w:ascii="Univers" w:hAnsi="Univers"/>
                <w:b/>
                <w:sz w:val="32"/>
              </w:rPr>
            </w:pPr>
            <w:r>
              <w:rPr>
                <w:rFonts w:ascii="Univers" w:hAnsi="Univers"/>
                <w:b/>
                <w:sz w:val="32"/>
              </w:rPr>
              <w:tab/>
            </w:r>
            <w:r>
              <w:rPr>
                <w:rFonts w:ascii="Univers" w:hAnsi="Univers"/>
                <w:b/>
                <w:sz w:val="32"/>
              </w:rPr>
              <w:tab/>
              <w:t>CBD</w:t>
            </w:r>
          </w:p>
          <w:p w14:paraId="1D396CFD" w14:textId="77777777" w:rsidR="00326198" w:rsidRDefault="00326198" w:rsidP="001C7FBD">
            <w:pPr>
              <w:jc w:val="right"/>
              <w:rPr>
                <w:b/>
                <w:sz w:val="28"/>
              </w:rPr>
            </w:pPr>
          </w:p>
        </w:tc>
      </w:tr>
      <w:tr w:rsidR="00326198" w14:paraId="7D4A30F5" w14:textId="77777777" w:rsidTr="00326198">
        <w:tblPrEx>
          <w:tblCellMar>
            <w:top w:w="0" w:type="dxa"/>
            <w:bottom w:w="0" w:type="dxa"/>
          </w:tblCellMar>
        </w:tblPrEx>
        <w:trPr>
          <w:trHeight w:val="1693"/>
        </w:trPr>
        <w:tc>
          <w:tcPr>
            <w:tcW w:w="5230" w:type="dxa"/>
            <w:gridSpan w:val="3"/>
            <w:tcBorders>
              <w:top w:val="nil"/>
              <w:bottom w:val="single" w:sz="36" w:space="0" w:color="000000"/>
            </w:tcBorders>
          </w:tcPr>
          <w:p w14:paraId="6BC3AF71" w14:textId="77777777" w:rsidR="00326198" w:rsidRDefault="00326198" w:rsidP="001C7FBD"/>
          <w:p w14:paraId="4D2E8374" w14:textId="77777777" w:rsidR="00326198" w:rsidRPr="00A36C97" w:rsidRDefault="00D44BD3" w:rsidP="001C7FBD">
            <w:r w:rsidRPr="00A36C97">
              <w:rPr>
                <w:noProof/>
              </w:rPr>
              <w:drawing>
                <wp:inline distT="0" distB="0" distL="0" distR="0" wp14:anchorId="393F196F" wp14:editId="44BF7DAF">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0C75C74B" w14:textId="77777777" w:rsidR="00326198" w:rsidRDefault="00326198" w:rsidP="001C7FBD">
            <w:pPr>
              <w:rPr>
                <w:rFonts w:ascii="Univers" w:hAnsi="Univers"/>
                <w:sz w:val="32"/>
              </w:rPr>
            </w:pPr>
          </w:p>
        </w:tc>
        <w:tc>
          <w:tcPr>
            <w:tcW w:w="1540" w:type="dxa"/>
            <w:tcBorders>
              <w:top w:val="nil"/>
              <w:bottom w:val="single" w:sz="36" w:space="0" w:color="000000"/>
            </w:tcBorders>
          </w:tcPr>
          <w:p w14:paraId="1D6B4D08" w14:textId="77777777" w:rsidR="00326198" w:rsidRDefault="00326198" w:rsidP="001C7FBD">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3876FC01" w14:textId="77777777" w:rsidR="00326198" w:rsidRDefault="00326198" w:rsidP="00145B5E">
            <w:pPr>
              <w:ind w:left="682"/>
            </w:pPr>
            <w:r>
              <w:t>Distr.</w:t>
            </w:r>
          </w:p>
          <w:p w14:paraId="47AE92DF" w14:textId="77777777" w:rsidR="00326198" w:rsidRDefault="00072BD2" w:rsidP="00145B5E">
            <w:pPr>
              <w:ind w:left="682"/>
            </w:pPr>
            <w:r>
              <w:t>GENERAL</w:t>
            </w:r>
          </w:p>
          <w:p w14:paraId="0F454D0E" w14:textId="77777777" w:rsidR="00326198" w:rsidRDefault="00326198" w:rsidP="00145B5E">
            <w:pPr>
              <w:ind w:left="682"/>
            </w:pPr>
          </w:p>
          <w:p w14:paraId="70A9D5F8" w14:textId="77777777" w:rsidR="00326198" w:rsidRDefault="00145B5E" w:rsidP="00145B5E">
            <w:pPr>
              <w:ind w:left="682"/>
            </w:pPr>
            <w:r>
              <w:t>UNEP/CBD/COP/DEC/X/27</w:t>
            </w:r>
          </w:p>
          <w:p w14:paraId="3E827AAA" w14:textId="77777777" w:rsidR="00326198" w:rsidRDefault="00733C3E" w:rsidP="00145B5E">
            <w:pPr>
              <w:ind w:left="682"/>
            </w:pPr>
            <w:r>
              <w:t>29</w:t>
            </w:r>
            <w:r w:rsidR="00326198">
              <w:t xml:space="preserve"> October 2010</w:t>
            </w:r>
          </w:p>
          <w:p w14:paraId="2EA89111" w14:textId="77777777" w:rsidR="00326198" w:rsidRDefault="00326198" w:rsidP="00145B5E">
            <w:pPr>
              <w:ind w:left="682"/>
            </w:pPr>
          </w:p>
          <w:p w14:paraId="13D213B1" w14:textId="77777777" w:rsidR="00326198" w:rsidRDefault="00326198" w:rsidP="00145B5E">
            <w:pPr>
              <w:ind w:left="682"/>
              <w:rPr>
                <w:b/>
                <w:bCs/>
                <w:color w:val="FF0000"/>
                <w:sz w:val="40"/>
                <w:u w:val="single"/>
              </w:rPr>
            </w:pPr>
            <w:r>
              <w:t>ORIGINAL:  ENGLISH</w:t>
            </w:r>
          </w:p>
        </w:tc>
      </w:tr>
    </w:tbl>
    <w:p w14:paraId="22452808" w14:textId="77777777" w:rsidR="00326198" w:rsidRDefault="00326198" w:rsidP="00326198">
      <w:pPr>
        <w:pStyle w:val="Cornernotation"/>
        <w:ind w:right="4630"/>
      </w:pPr>
      <w:r>
        <w:rPr>
          <w:szCs w:val="22"/>
        </w:rPr>
        <w:t>CONFERENCE OF THE PARTIES TO THE</w:t>
      </w:r>
      <w:r w:rsidRPr="00B33484">
        <w:rPr>
          <w:szCs w:val="22"/>
        </w:rPr>
        <w:t xml:space="preserve"> CONVENTION ON BIOLOGICAL DIVERSITY</w:t>
      </w:r>
    </w:p>
    <w:p w14:paraId="521D8C81" w14:textId="77777777" w:rsidR="00326198" w:rsidRDefault="00326198" w:rsidP="00326198">
      <w:pPr>
        <w:pStyle w:val="Cornernotation"/>
      </w:pPr>
      <w:r>
        <w:t>Tenth meeting</w:t>
      </w:r>
    </w:p>
    <w:p w14:paraId="52A40349" w14:textId="77777777" w:rsidR="00326198" w:rsidRDefault="00326198" w:rsidP="00326198">
      <w:pPr>
        <w:pStyle w:val="Cornernotation"/>
      </w:pPr>
      <w:r>
        <w:t>Nagoya, Japan, 18-29 October 2010</w:t>
      </w:r>
    </w:p>
    <w:p w14:paraId="791ED9DD" w14:textId="77777777" w:rsidR="0048000C" w:rsidRDefault="0048000C" w:rsidP="0048000C">
      <w:pPr>
        <w:pStyle w:val="Para1"/>
        <w:numPr>
          <w:ilvl w:val="0"/>
          <w:numId w:val="0"/>
        </w:numPr>
        <w:spacing w:before="0" w:after="0"/>
        <w:jc w:val="left"/>
        <w:rPr>
          <w:i/>
          <w:szCs w:val="22"/>
        </w:rPr>
      </w:pPr>
      <w:r>
        <w:t>Agenda item 4.10</w:t>
      </w:r>
    </w:p>
    <w:p w14:paraId="2F98E507" w14:textId="77777777" w:rsidR="001B581D" w:rsidRPr="001B581D" w:rsidRDefault="001B581D" w:rsidP="00145B5E">
      <w:pPr>
        <w:pStyle w:val="Decision"/>
        <w:rPr>
          <w:i w:val="0"/>
          <w:iCs w:val="0"/>
          <w:caps w:val="0"/>
          <w:szCs w:val="22"/>
        </w:rPr>
      </w:pPr>
      <w:r w:rsidRPr="001B581D">
        <w:rPr>
          <w:i w:val="0"/>
          <w:iCs w:val="0"/>
        </w:rPr>
        <w:t>DECISION ADOPTED BY THE CONFERENCE OF THE PARTIES TO THE CONVENTION ON BIOLOGICAL DIVERSITY AT ITS TENTH MEETING</w:t>
      </w:r>
    </w:p>
    <w:p w14:paraId="17970D0B" w14:textId="77777777" w:rsidR="00151786" w:rsidRPr="00517A3B" w:rsidRDefault="00151786" w:rsidP="00151786">
      <w:pPr>
        <w:pStyle w:val="Dec-titleoneline"/>
      </w:pPr>
      <w:bookmarkStart w:id="0" w:name="_Toc278461470"/>
      <w:r w:rsidRPr="00517A3B">
        <w:t>X/27.</w:t>
      </w:r>
      <w:r w:rsidRPr="00517A3B">
        <w:tab/>
        <w:t>Preparation for the fourth review of the effectiveness of the financial mechanism</w:t>
      </w:r>
      <w:bookmarkEnd w:id="0"/>
    </w:p>
    <w:p w14:paraId="18DC2E20" w14:textId="77777777" w:rsidR="00151786" w:rsidRPr="00517A3B" w:rsidRDefault="00151786" w:rsidP="00151786">
      <w:pPr>
        <w:pStyle w:val="Para1"/>
        <w:numPr>
          <w:ilvl w:val="0"/>
          <w:numId w:val="0"/>
        </w:numPr>
        <w:ind w:firstLine="610"/>
        <w:rPr>
          <w:i/>
          <w:szCs w:val="22"/>
        </w:rPr>
      </w:pPr>
      <w:r w:rsidRPr="00517A3B">
        <w:rPr>
          <w:i/>
          <w:szCs w:val="22"/>
        </w:rPr>
        <w:t>The Conference of the Parties</w:t>
      </w:r>
    </w:p>
    <w:p w14:paraId="51E22DE8" w14:textId="77777777" w:rsidR="00151786" w:rsidRPr="00517A3B" w:rsidRDefault="00151786" w:rsidP="00151786">
      <w:pPr>
        <w:pStyle w:val="Para1"/>
        <w:numPr>
          <w:ilvl w:val="0"/>
          <w:numId w:val="0"/>
        </w:numPr>
        <w:ind w:firstLine="610"/>
        <w:rPr>
          <w:szCs w:val="22"/>
        </w:rPr>
      </w:pPr>
      <w:r w:rsidRPr="00517A3B">
        <w:rPr>
          <w:iCs/>
          <w:szCs w:val="22"/>
        </w:rPr>
        <w:t>1.</w:t>
      </w:r>
      <w:r w:rsidRPr="00517A3B">
        <w:rPr>
          <w:szCs w:val="22"/>
        </w:rPr>
        <w:tab/>
      </w:r>
      <w:r w:rsidRPr="00517A3B">
        <w:rPr>
          <w:i/>
          <w:szCs w:val="22"/>
        </w:rPr>
        <w:t>Decides</w:t>
      </w:r>
      <w:r w:rsidRPr="00517A3B">
        <w:rPr>
          <w:szCs w:val="22"/>
        </w:rPr>
        <w:t xml:space="preserve"> to adopt the terms of reference for the fourth review of the effectiveness of the financial mechanism, annexed to the present decision;</w:t>
      </w:r>
    </w:p>
    <w:p w14:paraId="6D080488" w14:textId="77777777" w:rsidR="00151786" w:rsidRPr="00517A3B" w:rsidRDefault="00151786" w:rsidP="00151786">
      <w:pPr>
        <w:pStyle w:val="Para1"/>
        <w:numPr>
          <w:ilvl w:val="0"/>
          <w:numId w:val="0"/>
        </w:numPr>
        <w:ind w:firstLine="610"/>
        <w:rPr>
          <w:szCs w:val="22"/>
        </w:rPr>
      </w:pPr>
      <w:r w:rsidRPr="00517A3B">
        <w:rPr>
          <w:iCs/>
          <w:szCs w:val="22"/>
        </w:rPr>
        <w:t>2.</w:t>
      </w:r>
      <w:r w:rsidRPr="00517A3B">
        <w:rPr>
          <w:i/>
          <w:szCs w:val="22"/>
        </w:rPr>
        <w:tab/>
        <w:t>Requests</w:t>
      </w:r>
      <w:r w:rsidRPr="00517A3B">
        <w:rPr>
          <w:szCs w:val="22"/>
        </w:rPr>
        <w:t xml:space="preserve"> the Executive Secretary to ensure the implementation of the review according to the terms of reference;</w:t>
      </w:r>
    </w:p>
    <w:p w14:paraId="67A2BAC8" w14:textId="77777777" w:rsidR="00151786" w:rsidRPr="00517A3B" w:rsidRDefault="00151786" w:rsidP="00151786">
      <w:pPr>
        <w:pStyle w:val="Para1"/>
        <w:numPr>
          <w:ilvl w:val="0"/>
          <w:numId w:val="0"/>
        </w:numPr>
        <w:ind w:firstLine="610"/>
        <w:rPr>
          <w:szCs w:val="22"/>
        </w:rPr>
      </w:pPr>
      <w:r w:rsidRPr="00517A3B">
        <w:rPr>
          <w:szCs w:val="22"/>
        </w:rPr>
        <w:t>3.</w:t>
      </w:r>
      <w:r w:rsidRPr="00517A3B">
        <w:rPr>
          <w:szCs w:val="22"/>
        </w:rPr>
        <w:tab/>
      </w:r>
      <w:r w:rsidRPr="00517A3B">
        <w:rPr>
          <w:i/>
          <w:iCs/>
          <w:szCs w:val="22"/>
        </w:rPr>
        <w:t>Decides also</w:t>
      </w:r>
      <w:r w:rsidRPr="00517A3B">
        <w:rPr>
          <w:szCs w:val="22"/>
        </w:rPr>
        <w:t xml:space="preserve"> to consider further actions, as necessary, to improve the effectiveness of the financial mechanism of the Convention, at the eleventh meeting of the Conference of the Parties.</w:t>
      </w:r>
    </w:p>
    <w:p w14:paraId="68E481B7" w14:textId="77777777" w:rsidR="00151786" w:rsidRPr="00517A3B" w:rsidRDefault="00151786" w:rsidP="00151786">
      <w:pPr>
        <w:pStyle w:val="Para1"/>
        <w:numPr>
          <w:ilvl w:val="0"/>
          <w:numId w:val="0"/>
        </w:numPr>
        <w:jc w:val="center"/>
        <w:rPr>
          <w:bCs/>
          <w:i/>
          <w:iCs/>
          <w:szCs w:val="22"/>
        </w:rPr>
      </w:pPr>
      <w:r w:rsidRPr="00517A3B">
        <w:rPr>
          <w:bCs/>
          <w:i/>
          <w:iCs/>
          <w:szCs w:val="22"/>
        </w:rPr>
        <w:t>Annex</w:t>
      </w:r>
    </w:p>
    <w:p w14:paraId="21513B60" w14:textId="77777777" w:rsidR="00151786" w:rsidRPr="00517A3B" w:rsidRDefault="00151786" w:rsidP="00151786">
      <w:pPr>
        <w:pStyle w:val="Heading"/>
        <w:rPr>
          <w:szCs w:val="22"/>
        </w:rPr>
      </w:pPr>
      <w:r w:rsidRPr="00517A3B">
        <w:rPr>
          <w:szCs w:val="22"/>
        </w:rPr>
        <w:t xml:space="preserve"> Terms of reference for the fourth review of the effectiveness of the financial mechanism</w:t>
      </w:r>
    </w:p>
    <w:p w14:paraId="445F88F3" w14:textId="77777777" w:rsidR="00151786" w:rsidRPr="00517A3B" w:rsidRDefault="00151786" w:rsidP="00151786">
      <w:pPr>
        <w:pStyle w:val="Para1"/>
        <w:numPr>
          <w:ilvl w:val="0"/>
          <w:numId w:val="0"/>
        </w:numPr>
        <w:rPr>
          <w:b/>
          <w:szCs w:val="22"/>
        </w:rPr>
      </w:pPr>
      <w:r w:rsidRPr="00517A3B">
        <w:rPr>
          <w:b/>
          <w:szCs w:val="22"/>
        </w:rPr>
        <w:t xml:space="preserve">Objectives </w:t>
      </w:r>
    </w:p>
    <w:p w14:paraId="20159929" w14:textId="77777777" w:rsidR="00151786" w:rsidRDefault="00151786" w:rsidP="00151786">
      <w:pPr>
        <w:pStyle w:val="Para1"/>
        <w:numPr>
          <w:ilvl w:val="0"/>
          <w:numId w:val="0"/>
        </w:numPr>
        <w:rPr>
          <w:szCs w:val="22"/>
        </w:rPr>
      </w:pPr>
      <w:r w:rsidRPr="00517A3B">
        <w:rPr>
          <w:szCs w:val="22"/>
        </w:rPr>
        <w:t>1.</w:t>
      </w:r>
      <w:r w:rsidRPr="00517A3B">
        <w:rPr>
          <w:szCs w:val="22"/>
        </w:rPr>
        <w:tab/>
        <w:t xml:space="preserve">In accordance with Article 21, paragraph 3, the Conference of the Parties will review the effectiveness of the mechanism, including the criteria and guidelines referred to in Article 21, paragraph 2, with a view to taking appropriate action to improve the effectiveness of the mechanism as necessary. For this purpose, effectiveness will include: </w:t>
      </w:r>
    </w:p>
    <w:p w14:paraId="77A18D49" w14:textId="77777777" w:rsidR="00151786" w:rsidRDefault="00151786" w:rsidP="00151786">
      <w:pPr>
        <w:pStyle w:val="Para1"/>
        <w:numPr>
          <w:ilvl w:val="0"/>
          <w:numId w:val="0"/>
        </w:numPr>
        <w:rPr>
          <w:szCs w:val="22"/>
        </w:rPr>
        <w:sectPr w:rsidR="00151786" w:rsidSect="00151786">
          <w:headerReference w:type="even" r:id="rId10"/>
          <w:headerReference w:type="default" r:id="rId11"/>
          <w:footerReference w:type="even" r:id="rId12"/>
          <w:footerReference w:type="default" r:id="rId13"/>
          <w:footerReference w:type="first" r:id="rId14"/>
          <w:type w:val="continuous"/>
          <w:pgSz w:w="12240" w:h="15840" w:code="1"/>
          <w:pgMar w:top="1021" w:right="1440" w:bottom="1134" w:left="1440" w:header="454" w:footer="720" w:gutter="0"/>
          <w:cols w:space="720"/>
          <w:titlePg/>
        </w:sectPr>
      </w:pPr>
    </w:p>
    <w:p w14:paraId="0BB63018" w14:textId="77777777" w:rsidR="00151786" w:rsidRPr="00517A3B" w:rsidRDefault="00151786" w:rsidP="00151786">
      <w:pPr>
        <w:pStyle w:val="Para1"/>
        <w:numPr>
          <w:ilvl w:val="0"/>
          <w:numId w:val="0"/>
        </w:numPr>
        <w:rPr>
          <w:szCs w:val="22"/>
        </w:rPr>
      </w:pPr>
      <w:r w:rsidRPr="00517A3B">
        <w:rPr>
          <w:szCs w:val="22"/>
        </w:rPr>
        <w:tab/>
        <w:t>(a)</w:t>
      </w:r>
      <w:r w:rsidRPr="00517A3B">
        <w:rPr>
          <w:szCs w:val="22"/>
        </w:rPr>
        <w:tab/>
        <w:t xml:space="preserve">The conformity of the activities of the Global Environment Facility (GEF), as the institutional structure operating the financial mechanism, with the guidance of the Conference of the Parties; </w:t>
      </w:r>
    </w:p>
    <w:p w14:paraId="675FC4E2" w14:textId="77777777" w:rsidR="00151786" w:rsidRPr="00517A3B" w:rsidRDefault="00151786" w:rsidP="00151786">
      <w:pPr>
        <w:pStyle w:val="Para1"/>
        <w:numPr>
          <w:ilvl w:val="0"/>
          <w:numId w:val="0"/>
        </w:numPr>
        <w:rPr>
          <w:szCs w:val="22"/>
        </w:rPr>
      </w:pPr>
      <w:r w:rsidRPr="00517A3B">
        <w:rPr>
          <w:szCs w:val="22"/>
        </w:rPr>
        <w:tab/>
        <w:t>(b)</w:t>
      </w:r>
      <w:r w:rsidRPr="00517A3B">
        <w:rPr>
          <w:szCs w:val="22"/>
        </w:rPr>
        <w:tab/>
        <w:t xml:space="preserve">The effectiveness of the financial mechanism in providing and mobilizing new and additional financial resources to enable developing country Parties and Parties with economies in transition to meet the agreed full incremental costs to them of implementing measures which fulfil the obligations of this Convention and to benefit from its provisions, taking into account the need for predictability, adequacy and timely flow of funds; </w:t>
      </w:r>
    </w:p>
    <w:p w14:paraId="60110CD5" w14:textId="77777777" w:rsidR="00151786" w:rsidRPr="00517A3B" w:rsidRDefault="00151786" w:rsidP="00151786">
      <w:pPr>
        <w:pStyle w:val="Para1"/>
        <w:numPr>
          <w:ilvl w:val="0"/>
          <w:numId w:val="0"/>
        </w:numPr>
        <w:rPr>
          <w:szCs w:val="22"/>
        </w:rPr>
      </w:pPr>
      <w:r w:rsidRPr="00517A3B">
        <w:rPr>
          <w:szCs w:val="22"/>
        </w:rPr>
        <w:lastRenderedPageBreak/>
        <w:tab/>
        <w:t>(c)</w:t>
      </w:r>
      <w:r w:rsidRPr="00517A3B">
        <w:rPr>
          <w:szCs w:val="22"/>
        </w:rPr>
        <w:tab/>
        <w:t xml:space="preserve">The efficiency of the financial mechanism in providing and delivering financial resources, as well as, in accordance with the guidance of the Conference of the Parties, overseeing, monitoring and evaluating the activities financed by its resources, as appropriate; </w:t>
      </w:r>
    </w:p>
    <w:p w14:paraId="09263574" w14:textId="77777777" w:rsidR="00151786" w:rsidRPr="00517A3B" w:rsidRDefault="00151786" w:rsidP="00151786">
      <w:pPr>
        <w:pStyle w:val="Para1"/>
        <w:numPr>
          <w:ilvl w:val="0"/>
          <w:numId w:val="0"/>
        </w:numPr>
        <w:rPr>
          <w:szCs w:val="22"/>
        </w:rPr>
      </w:pPr>
      <w:r w:rsidRPr="00517A3B">
        <w:rPr>
          <w:szCs w:val="22"/>
        </w:rPr>
        <w:tab/>
        <w:t>(d)</w:t>
      </w:r>
      <w:r w:rsidRPr="00517A3B">
        <w:rPr>
          <w:szCs w:val="22"/>
        </w:rPr>
        <w:tab/>
        <w:t xml:space="preserve">The efficiency and effectiveness of the  activities funded by the Global Environment Facility on the implementation of the Convention and the achievement of its three objectives, taking into account the guidance provided by the Conference of the Parties; </w:t>
      </w:r>
    </w:p>
    <w:p w14:paraId="19DD501A" w14:textId="77777777" w:rsidR="00151786" w:rsidRPr="00517A3B" w:rsidRDefault="00151786" w:rsidP="00151786">
      <w:pPr>
        <w:pStyle w:val="Para1"/>
        <w:numPr>
          <w:ilvl w:val="0"/>
          <w:numId w:val="0"/>
        </w:numPr>
        <w:ind w:left="110" w:firstLine="610"/>
        <w:rPr>
          <w:szCs w:val="22"/>
        </w:rPr>
      </w:pPr>
      <w:r w:rsidRPr="00517A3B">
        <w:rPr>
          <w:szCs w:val="22"/>
        </w:rPr>
        <w:t xml:space="preserve">(e) </w:t>
      </w:r>
      <w:r w:rsidRPr="00517A3B">
        <w:rPr>
          <w:szCs w:val="22"/>
        </w:rPr>
        <w:tab/>
        <w:t>The effectiveness and relevance of guidance from the Conference of the Parties to the Global Environment Facility;</w:t>
      </w:r>
    </w:p>
    <w:p w14:paraId="5A56A852" w14:textId="77777777" w:rsidR="00151786" w:rsidRPr="00517A3B" w:rsidRDefault="00151786" w:rsidP="00151786">
      <w:pPr>
        <w:pStyle w:val="Para1"/>
        <w:numPr>
          <w:ilvl w:val="0"/>
          <w:numId w:val="0"/>
        </w:numPr>
        <w:ind w:left="110" w:firstLine="610"/>
        <w:rPr>
          <w:szCs w:val="22"/>
        </w:rPr>
      </w:pPr>
      <w:r w:rsidRPr="00517A3B">
        <w:rPr>
          <w:szCs w:val="22"/>
        </w:rPr>
        <w:t xml:space="preserve">(f) </w:t>
      </w:r>
      <w:r w:rsidRPr="00517A3B">
        <w:rPr>
          <w:szCs w:val="22"/>
        </w:rPr>
        <w:tab/>
        <w:t>The coherence with other Rio conventions.</w:t>
      </w:r>
    </w:p>
    <w:p w14:paraId="49843871" w14:textId="77777777" w:rsidR="00151786" w:rsidRPr="00517A3B" w:rsidRDefault="00151786" w:rsidP="00151786">
      <w:pPr>
        <w:pStyle w:val="Para1"/>
        <w:numPr>
          <w:ilvl w:val="0"/>
          <w:numId w:val="0"/>
        </w:numPr>
        <w:rPr>
          <w:b/>
          <w:szCs w:val="22"/>
        </w:rPr>
      </w:pPr>
      <w:r w:rsidRPr="00517A3B">
        <w:rPr>
          <w:b/>
          <w:szCs w:val="22"/>
        </w:rPr>
        <w:t xml:space="preserve">Methodology </w:t>
      </w:r>
    </w:p>
    <w:p w14:paraId="70761B0B" w14:textId="77777777" w:rsidR="00151786" w:rsidRPr="00517A3B" w:rsidRDefault="00151786" w:rsidP="00151786">
      <w:pPr>
        <w:pStyle w:val="Para1"/>
        <w:numPr>
          <w:ilvl w:val="0"/>
          <w:numId w:val="0"/>
        </w:numPr>
        <w:rPr>
          <w:szCs w:val="22"/>
        </w:rPr>
      </w:pPr>
      <w:r w:rsidRPr="00517A3B">
        <w:rPr>
          <w:szCs w:val="22"/>
        </w:rPr>
        <w:t>2.</w:t>
      </w:r>
      <w:r w:rsidRPr="00517A3B">
        <w:rPr>
          <w:szCs w:val="22"/>
        </w:rPr>
        <w:tab/>
        <w:t xml:space="preserve">The review will cover all the activities of the institutional structure operating as the financial mechanism, in particular for the period from July 2007 to June 2010. </w:t>
      </w:r>
    </w:p>
    <w:p w14:paraId="7DF86695" w14:textId="77777777" w:rsidR="00151786" w:rsidRPr="00517A3B" w:rsidRDefault="00151786" w:rsidP="00151786">
      <w:pPr>
        <w:pStyle w:val="Para1"/>
        <w:numPr>
          <w:ilvl w:val="0"/>
          <w:numId w:val="0"/>
        </w:numPr>
        <w:rPr>
          <w:szCs w:val="22"/>
        </w:rPr>
      </w:pPr>
      <w:r w:rsidRPr="00517A3B">
        <w:rPr>
          <w:szCs w:val="22"/>
        </w:rPr>
        <w:t>3.</w:t>
      </w:r>
      <w:r w:rsidRPr="00517A3B">
        <w:rPr>
          <w:szCs w:val="22"/>
        </w:rPr>
        <w:tab/>
        <w:t xml:space="preserve">The review shall draw upon, </w:t>
      </w:r>
      <w:r w:rsidRPr="00517A3B">
        <w:rPr>
          <w:i/>
          <w:iCs/>
          <w:szCs w:val="22"/>
        </w:rPr>
        <w:t>inter alia</w:t>
      </w:r>
      <w:r w:rsidRPr="00517A3B">
        <w:rPr>
          <w:szCs w:val="22"/>
        </w:rPr>
        <w:t xml:space="preserve">, the following sources of information: </w:t>
      </w:r>
    </w:p>
    <w:p w14:paraId="3D84706B" w14:textId="77777777" w:rsidR="00151786" w:rsidRPr="00517A3B" w:rsidRDefault="00151786" w:rsidP="00151786">
      <w:pPr>
        <w:pStyle w:val="Para1"/>
        <w:numPr>
          <w:ilvl w:val="0"/>
          <w:numId w:val="0"/>
        </w:numPr>
        <w:rPr>
          <w:szCs w:val="22"/>
        </w:rPr>
      </w:pPr>
      <w:r w:rsidRPr="00517A3B">
        <w:rPr>
          <w:szCs w:val="22"/>
        </w:rPr>
        <w:tab/>
        <w:t>(a)</w:t>
      </w:r>
      <w:r w:rsidRPr="00517A3B">
        <w:rPr>
          <w:szCs w:val="22"/>
        </w:rPr>
        <w:tab/>
        <w:t xml:space="preserve">Information provided by developing country Parties, in particular the least developed countries, small island developing States, and countries that are most environmentally vulnerable, as well as Parties with economies in transition, as well as developed country Parties, regarding the financial mechanism; </w:t>
      </w:r>
    </w:p>
    <w:p w14:paraId="1CD99051" w14:textId="77777777" w:rsidR="00151786" w:rsidRPr="00517A3B" w:rsidRDefault="00151786" w:rsidP="00151786">
      <w:pPr>
        <w:pStyle w:val="Para1"/>
        <w:numPr>
          <w:ilvl w:val="0"/>
          <w:numId w:val="0"/>
        </w:numPr>
        <w:rPr>
          <w:szCs w:val="22"/>
        </w:rPr>
      </w:pPr>
      <w:r w:rsidRPr="00517A3B">
        <w:rPr>
          <w:szCs w:val="22"/>
        </w:rPr>
        <w:tab/>
        <w:t>(b)</w:t>
      </w:r>
      <w:r w:rsidRPr="00517A3B">
        <w:rPr>
          <w:szCs w:val="22"/>
        </w:rPr>
        <w:tab/>
        <w:t xml:space="preserve">Reports prepared by the Global Environment Facility, including its reports to the Conference of the Parties, as well as assessments by the GEF network organizations; </w:t>
      </w:r>
    </w:p>
    <w:p w14:paraId="618225ED" w14:textId="77777777" w:rsidR="00151786" w:rsidRPr="00517A3B" w:rsidRDefault="00151786" w:rsidP="00151786">
      <w:pPr>
        <w:pStyle w:val="Para1"/>
        <w:numPr>
          <w:ilvl w:val="0"/>
          <w:numId w:val="0"/>
        </w:numPr>
        <w:rPr>
          <w:szCs w:val="22"/>
        </w:rPr>
        <w:sectPr w:rsidR="00151786" w:rsidRPr="00517A3B" w:rsidSect="00F63E59">
          <w:type w:val="continuous"/>
          <w:pgSz w:w="12240" w:h="15840"/>
          <w:pgMar w:top="1440" w:right="1440" w:bottom="1440" w:left="1440" w:header="720" w:footer="720" w:gutter="0"/>
          <w:cols w:space="720"/>
          <w:docGrid w:linePitch="360"/>
        </w:sectPr>
      </w:pPr>
    </w:p>
    <w:p w14:paraId="58F5DF45" w14:textId="77777777" w:rsidR="00151786" w:rsidRPr="00517A3B" w:rsidRDefault="00151786" w:rsidP="00151786">
      <w:pPr>
        <w:pStyle w:val="Para1"/>
        <w:numPr>
          <w:ilvl w:val="0"/>
          <w:numId w:val="0"/>
        </w:numPr>
        <w:ind w:firstLine="610"/>
        <w:rPr>
          <w:szCs w:val="22"/>
        </w:rPr>
      </w:pPr>
      <w:r w:rsidRPr="00517A3B">
        <w:rPr>
          <w:szCs w:val="22"/>
        </w:rPr>
        <w:t>(c)</w:t>
      </w:r>
      <w:r w:rsidRPr="00517A3B">
        <w:rPr>
          <w:szCs w:val="22"/>
        </w:rPr>
        <w:tab/>
        <w:t xml:space="preserve">Reports of the GEF Evaluation Office that relate to GEF biodiversity activities within the framework of the financial mechanism, including the Fourth Overall Performance Study of the Global Environment Facility; </w:t>
      </w:r>
    </w:p>
    <w:p w14:paraId="6B8342AA" w14:textId="77777777" w:rsidR="00151786" w:rsidRPr="00517A3B" w:rsidRDefault="00151786" w:rsidP="00151786">
      <w:pPr>
        <w:pStyle w:val="Para1"/>
        <w:numPr>
          <w:ilvl w:val="0"/>
          <w:numId w:val="0"/>
        </w:numPr>
        <w:rPr>
          <w:szCs w:val="22"/>
        </w:rPr>
      </w:pPr>
      <w:r w:rsidRPr="00517A3B">
        <w:rPr>
          <w:szCs w:val="22"/>
        </w:rPr>
        <w:tab/>
        <w:t>(d)</w:t>
      </w:r>
      <w:r w:rsidRPr="00517A3B">
        <w:rPr>
          <w:szCs w:val="22"/>
        </w:rPr>
        <w:tab/>
        <w:t xml:space="preserve">Information provided by other relevant stakeholders. </w:t>
      </w:r>
    </w:p>
    <w:p w14:paraId="25A1637A" w14:textId="77777777" w:rsidR="00151786" w:rsidRPr="00517A3B" w:rsidRDefault="00151786" w:rsidP="00151786">
      <w:pPr>
        <w:pStyle w:val="Para1"/>
        <w:numPr>
          <w:ilvl w:val="0"/>
          <w:numId w:val="0"/>
        </w:numPr>
        <w:rPr>
          <w:b/>
          <w:szCs w:val="22"/>
        </w:rPr>
      </w:pPr>
      <w:r w:rsidRPr="00517A3B">
        <w:rPr>
          <w:b/>
          <w:szCs w:val="22"/>
        </w:rPr>
        <w:t xml:space="preserve">Criteria </w:t>
      </w:r>
    </w:p>
    <w:p w14:paraId="3B721291" w14:textId="77777777" w:rsidR="00151786" w:rsidRPr="00517A3B" w:rsidRDefault="00151786" w:rsidP="00151786">
      <w:pPr>
        <w:pStyle w:val="Para1"/>
        <w:numPr>
          <w:ilvl w:val="0"/>
          <w:numId w:val="0"/>
        </w:numPr>
        <w:rPr>
          <w:szCs w:val="22"/>
        </w:rPr>
      </w:pPr>
      <w:r w:rsidRPr="00517A3B">
        <w:rPr>
          <w:szCs w:val="22"/>
        </w:rPr>
        <w:t>4.</w:t>
      </w:r>
      <w:r w:rsidRPr="00517A3B">
        <w:rPr>
          <w:szCs w:val="22"/>
        </w:rPr>
        <w:tab/>
        <w:t xml:space="preserve">The effectiveness of the financial mechanism shall be assessed taking into account, </w:t>
      </w:r>
      <w:r w:rsidRPr="00517A3B">
        <w:rPr>
          <w:i/>
          <w:iCs/>
          <w:szCs w:val="22"/>
        </w:rPr>
        <w:t>inter alia</w:t>
      </w:r>
      <w:r w:rsidRPr="00517A3B">
        <w:rPr>
          <w:szCs w:val="22"/>
        </w:rPr>
        <w:t>:</w:t>
      </w:r>
    </w:p>
    <w:p w14:paraId="223F16F3" w14:textId="77777777" w:rsidR="00151786" w:rsidRPr="00517A3B" w:rsidRDefault="00151786" w:rsidP="00151786">
      <w:pPr>
        <w:pStyle w:val="Para1"/>
        <w:numPr>
          <w:ilvl w:val="0"/>
          <w:numId w:val="0"/>
        </w:numPr>
        <w:rPr>
          <w:szCs w:val="22"/>
        </w:rPr>
      </w:pPr>
      <w:r w:rsidRPr="00517A3B">
        <w:rPr>
          <w:szCs w:val="22"/>
        </w:rPr>
        <w:tab/>
        <w:t>(a)</w:t>
      </w:r>
      <w:r w:rsidRPr="00517A3B">
        <w:rPr>
          <w:szCs w:val="22"/>
        </w:rPr>
        <w:tab/>
        <w:t>The actions taken by the financial mechanism in response to the guidance of the Conference of the Parties, as consolidated in the annex to decision X/24;</w:t>
      </w:r>
    </w:p>
    <w:p w14:paraId="69602CAF" w14:textId="77777777" w:rsidR="00151786" w:rsidRPr="00517A3B" w:rsidRDefault="00151786" w:rsidP="00151786">
      <w:pPr>
        <w:pStyle w:val="Para1"/>
        <w:numPr>
          <w:ilvl w:val="0"/>
          <w:numId w:val="0"/>
        </w:numPr>
        <w:ind w:firstLine="720"/>
        <w:rPr>
          <w:szCs w:val="22"/>
        </w:rPr>
      </w:pPr>
      <w:r w:rsidRPr="00517A3B">
        <w:rPr>
          <w:szCs w:val="22"/>
        </w:rPr>
        <w:t>(b)</w:t>
      </w:r>
      <w:r w:rsidRPr="00517A3B">
        <w:rPr>
          <w:szCs w:val="22"/>
        </w:rPr>
        <w:tab/>
        <w:t>The number of developing country Parties, in particular least developed countries, small island developing States and countries that are most environmentally vulnerable, as well as Parties with economies in transition that receive timely, adequate and predictable funds to meet the agreed full incremental cost to them of implementing measures that fulfil the obligations under the Convention.</w:t>
      </w:r>
    </w:p>
    <w:p w14:paraId="299F2F8F" w14:textId="77777777" w:rsidR="00151786" w:rsidRPr="00517A3B" w:rsidRDefault="00151786" w:rsidP="00151786">
      <w:pPr>
        <w:pStyle w:val="Para1"/>
        <w:numPr>
          <w:ilvl w:val="0"/>
          <w:numId w:val="0"/>
        </w:numPr>
        <w:ind w:firstLine="720"/>
        <w:rPr>
          <w:szCs w:val="22"/>
        </w:rPr>
      </w:pPr>
      <w:r w:rsidRPr="00517A3B">
        <w:rPr>
          <w:szCs w:val="22"/>
        </w:rPr>
        <w:t xml:space="preserve">(c) </w:t>
      </w:r>
      <w:r w:rsidRPr="00517A3B">
        <w:rPr>
          <w:szCs w:val="22"/>
        </w:rPr>
        <w:tab/>
        <w:t>Views of developing country Parties, in particular least developed countries, small island developing States and countries that are most environmentally vulnerable, as well as Parties with economies in transition as to the performance and conditions for the provision of GEF resources through the Implementing and Executing Agencies;</w:t>
      </w:r>
    </w:p>
    <w:p w14:paraId="5AF04FB3" w14:textId="77777777" w:rsidR="00151786" w:rsidRPr="00517A3B" w:rsidRDefault="00151786" w:rsidP="00151786">
      <w:pPr>
        <w:pStyle w:val="Para1"/>
        <w:numPr>
          <w:ilvl w:val="0"/>
          <w:numId w:val="0"/>
        </w:numPr>
        <w:ind w:firstLine="720"/>
        <w:rPr>
          <w:szCs w:val="22"/>
        </w:rPr>
      </w:pPr>
      <w:r w:rsidRPr="00517A3B">
        <w:rPr>
          <w:szCs w:val="22"/>
        </w:rPr>
        <w:t>(d)</w:t>
      </w:r>
      <w:r w:rsidRPr="00517A3B">
        <w:rPr>
          <w:szCs w:val="22"/>
        </w:rPr>
        <w:tab/>
        <w:t xml:space="preserve"> The quantity, nature and sources of financial resources provided through the financial mechanism for the attainment of the objectives of the Convention; </w:t>
      </w:r>
    </w:p>
    <w:p w14:paraId="502E5C32" w14:textId="77777777" w:rsidR="00151786" w:rsidRPr="00517A3B" w:rsidRDefault="00151786" w:rsidP="00151786">
      <w:pPr>
        <w:pStyle w:val="Para1"/>
        <w:numPr>
          <w:ilvl w:val="0"/>
          <w:numId w:val="0"/>
        </w:numPr>
        <w:rPr>
          <w:b/>
          <w:szCs w:val="22"/>
        </w:rPr>
      </w:pPr>
      <w:r w:rsidRPr="00517A3B">
        <w:rPr>
          <w:b/>
          <w:szCs w:val="22"/>
        </w:rPr>
        <w:t xml:space="preserve">Procedures for implementation </w:t>
      </w:r>
    </w:p>
    <w:p w14:paraId="1D93BFA9" w14:textId="77777777" w:rsidR="00151786" w:rsidRPr="00517A3B" w:rsidRDefault="00151786" w:rsidP="00151786">
      <w:pPr>
        <w:pStyle w:val="Para1"/>
        <w:numPr>
          <w:ilvl w:val="0"/>
          <w:numId w:val="0"/>
        </w:numPr>
        <w:rPr>
          <w:szCs w:val="22"/>
        </w:rPr>
      </w:pPr>
      <w:r w:rsidRPr="00517A3B">
        <w:rPr>
          <w:szCs w:val="22"/>
        </w:rPr>
        <w:t>5.</w:t>
      </w:r>
      <w:r w:rsidRPr="00517A3B">
        <w:rPr>
          <w:szCs w:val="22"/>
        </w:rPr>
        <w:tab/>
        <w:t xml:space="preserve">Under the authority and with the support of the Conference of the Parties, the Executive Secretary shall contract an experienced independent evaluator to undertake the review, in accordance with the above objectives, methodology and criteria. </w:t>
      </w:r>
    </w:p>
    <w:p w14:paraId="482C7389" w14:textId="77777777" w:rsidR="00151786" w:rsidRPr="00517A3B" w:rsidRDefault="00151786" w:rsidP="00151786">
      <w:pPr>
        <w:pStyle w:val="Para1"/>
        <w:numPr>
          <w:ilvl w:val="0"/>
          <w:numId w:val="0"/>
        </w:numPr>
        <w:rPr>
          <w:szCs w:val="22"/>
        </w:rPr>
      </w:pPr>
      <w:r w:rsidRPr="00517A3B">
        <w:rPr>
          <w:szCs w:val="22"/>
        </w:rPr>
        <w:lastRenderedPageBreak/>
        <w:t>6.</w:t>
      </w:r>
      <w:r w:rsidRPr="00517A3B">
        <w:rPr>
          <w:szCs w:val="22"/>
        </w:rPr>
        <w:tab/>
        <w:t xml:space="preserve">The evaluator will design a questionnaire using the criteria adopted in the present terms of reference, to be sent to the Parties and other stakeholders as soon as practicable, and prepare a compilation and synthesis of the information received. </w:t>
      </w:r>
    </w:p>
    <w:p w14:paraId="6C593100" w14:textId="77777777" w:rsidR="00151786" w:rsidRPr="00517A3B" w:rsidRDefault="00151786" w:rsidP="00151786">
      <w:pPr>
        <w:pStyle w:val="Para1"/>
        <w:numPr>
          <w:ilvl w:val="0"/>
          <w:numId w:val="0"/>
        </w:numPr>
        <w:rPr>
          <w:szCs w:val="22"/>
        </w:rPr>
      </w:pPr>
      <w:r w:rsidRPr="00517A3B">
        <w:rPr>
          <w:szCs w:val="22"/>
        </w:rPr>
        <w:t>7.</w:t>
      </w:r>
      <w:r w:rsidRPr="00517A3B">
        <w:rPr>
          <w:szCs w:val="22"/>
        </w:rPr>
        <w:tab/>
        <w:t xml:space="preserve">The evaluator will undertake such desk studies, interviews, field visits and collaboration with the GEF Evaluation Office, as may be required, for the preparation of the review, subject to the availability of resources. </w:t>
      </w:r>
    </w:p>
    <w:p w14:paraId="34B9ABDC" w14:textId="77777777" w:rsidR="00151786" w:rsidRPr="00517A3B" w:rsidRDefault="00151786" w:rsidP="00151786">
      <w:pPr>
        <w:pStyle w:val="Para1"/>
        <w:numPr>
          <w:ilvl w:val="0"/>
          <w:numId w:val="0"/>
        </w:numPr>
        <w:rPr>
          <w:szCs w:val="22"/>
        </w:rPr>
      </w:pPr>
      <w:r w:rsidRPr="00517A3B">
        <w:rPr>
          <w:szCs w:val="22"/>
        </w:rPr>
        <w:t>8.</w:t>
      </w:r>
      <w:r w:rsidRPr="00517A3B">
        <w:rPr>
          <w:szCs w:val="22"/>
        </w:rPr>
        <w:tab/>
        <w:t>The evaluator will undertake regional and subregional consultations with Parties, taking advantage of regional and subregional workshops organized by the Convention Secretariat during the evaluation period;</w:t>
      </w:r>
    </w:p>
    <w:p w14:paraId="5202EF1D" w14:textId="77777777" w:rsidR="00151786" w:rsidRPr="00517A3B" w:rsidRDefault="00151786" w:rsidP="00151786">
      <w:pPr>
        <w:pStyle w:val="Para1"/>
        <w:numPr>
          <w:ilvl w:val="0"/>
          <w:numId w:val="0"/>
        </w:numPr>
        <w:rPr>
          <w:szCs w:val="22"/>
        </w:rPr>
      </w:pPr>
      <w:r w:rsidRPr="00517A3B">
        <w:rPr>
          <w:szCs w:val="22"/>
        </w:rPr>
        <w:t>9.</w:t>
      </w:r>
      <w:r w:rsidRPr="00517A3B">
        <w:rPr>
          <w:szCs w:val="22"/>
        </w:rPr>
        <w:tab/>
        <w:t xml:space="preserve">The draft synthesis report and recommendations of the evaluator will be made available to GEF for its review and comments.  Such comments shall be included in the documentation and identified by source. </w:t>
      </w:r>
    </w:p>
    <w:p w14:paraId="559BFD5B" w14:textId="77777777" w:rsidR="00151786" w:rsidRPr="00517A3B" w:rsidRDefault="00151786" w:rsidP="00151786">
      <w:pPr>
        <w:pStyle w:val="Para1"/>
        <w:numPr>
          <w:ilvl w:val="0"/>
          <w:numId w:val="0"/>
        </w:numPr>
        <w:rPr>
          <w:szCs w:val="22"/>
        </w:rPr>
      </w:pPr>
      <w:r w:rsidRPr="00517A3B">
        <w:rPr>
          <w:szCs w:val="22"/>
        </w:rPr>
        <w:t>10.</w:t>
      </w:r>
      <w:r w:rsidRPr="00517A3B">
        <w:rPr>
          <w:szCs w:val="22"/>
        </w:rPr>
        <w:tab/>
        <w:t>Based on the synthesis report and recommendations of the independent evaluator, the Executive Secretary shall prepare, in consultation with the GEF, a draft decision on the fourth review of the financial mechanism, including specific suggestions for action to improve the effectiveness of the mechanism if necessary, for the consideration of the Conference of the Parties at its eleventh meeting.</w:t>
      </w:r>
    </w:p>
    <w:p w14:paraId="5C537362" w14:textId="77777777" w:rsidR="00151786" w:rsidRPr="00517A3B" w:rsidRDefault="00151786" w:rsidP="00151786">
      <w:pPr>
        <w:rPr>
          <w:szCs w:val="22"/>
        </w:rPr>
      </w:pPr>
      <w:r w:rsidRPr="00517A3B">
        <w:rPr>
          <w:szCs w:val="22"/>
        </w:rPr>
        <w:t>11.</w:t>
      </w:r>
      <w:r w:rsidRPr="00517A3B">
        <w:rPr>
          <w:szCs w:val="22"/>
        </w:rPr>
        <w:tab/>
        <w:t>The Executive Secretary shall submit all the relevant documents to Parties at least three months prior to the eleventh meeting of the Conference of the Parties.</w:t>
      </w:r>
    </w:p>
    <w:p w14:paraId="087E62F4" w14:textId="77777777" w:rsidR="00151786" w:rsidRPr="00151786" w:rsidRDefault="00151786" w:rsidP="0048000C">
      <w:pPr>
        <w:jc w:val="center"/>
        <w:rPr>
          <w:szCs w:val="22"/>
        </w:rPr>
      </w:pPr>
    </w:p>
    <w:p w14:paraId="73A6D0C7" w14:textId="77777777" w:rsidR="0048000C" w:rsidRPr="0094377C" w:rsidRDefault="0048000C" w:rsidP="0048000C">
      <w:pPr>
        <w:jc w:val="center"/>
        <w:rPr>
          <w:szCs w:val="22"/>
        </w:rPr>
      </w:pPr>
      <w:r>
        <w:rPr>
          <w:szCs w:val="22"/>
          <w:lang w:val="en-US"/>
        </w:rPr>
        <w:t>-----</w:t>
      </w:r>
    </w:p>
    <w:sectPr w:rsidR="0048000C" w:rsidRPr="0094377C" w:rsidSect="00326198">
      <w:footerReference w:type="even" r:id="rId15"/>
      <w:footerReference w:type="default" r:id="rId1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39DA2" w14:textId="77777777" w:rsidR="008500D2" w:rsidRDefault="008500D2">
      <w:r>
        <w:separator/>
      </w:r>
    </w:p>
  </w:endnote>
  <w:endnote w:type="continuationSeparator" w:id="0">
    <w:p w14:paraId="42ADA2AA" w14:textId="77777777" w:rsidR="008500D2" w:rsidRDefault="008500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vers">
    <w:panose1 w:val="020B0503020202020204"/>
    <w:charset w:val="00"/>
    <w:family w:val="swiss"/>
    <w:pitch w:val="variable"/>
    <w:sig w:usb0="80000287" w:usb1="00000000" w:usb2="00000000" w:usb3="00000000" w:csb0="0000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D597B" w14:textId="77777777" w:rsidR="00151786" w:rsidRPr="00043593" w:rsidRDefault="00151786" w:rsidP="00151786">
    <w:pPr>
      <w:pStyle w:val="Footer"/>
      <w:jc w:val="right"/>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4930D" w14:textId="77777777" w:rsidR="00151786" w:rsidRDefault="00151786" w:rsidP="00151786">
    <w:pPr>
      <w:pStyle w:val="Footer"/>
      <w:jc w:val="right"/>
      <w:rPr>
        <w:lang w:val="en-CA"/>
      </w:rPr>
    </w:pPr>
    <w:r>
      <w:rPr>
        <w:lang w:val="en-CA"/>
      </w:rPr>
      <w:t>/...</w:t>
    </w:r>
  </w:p>
  <w:p w14:paraId="4FA9FF43" w14:textId="77777777" w:rsidR="00151786" w:rsidRPr="00151786" w:rsidRDefault="00151786" w:rsidP="00151786">
    <w:pPr>
      <w:pStyle w:val="Footer"/>
      <w:jc w:val="right"/>
      <w:rPr>
        <w:lang w:val="en-C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BA141" w14:textId="77777777" w:rsidR="00151786" w:rsidRDefault="00151786" w:rsidP="00151786">
    <w:pPr>
      <w:pStyle w:val="Footer"/>
      <w:jc w:val="right"/>
      <w:rPr>
        <w:lang w:val="en-US"/>
      </w:rPr>
    </w:pPr>
    <w:r>
      <w:rPr>
        <w:lang w:val="en-US"/>
      </w:rPr>
      <w:t>/…</w:t>
    </w:r>
  </w:p>
  <w:p w14:paraId="1E660FE2" w14:textId="77777777" w:rsidR="00151786" w:rsidRPr="00C07993" w:rsidRDefault="00D44BD3" w:rsidP="00F63E59">
    <w:pPr>
      <w:pStyle w:val="Footer"/>
      <w:rPr>
        <w:lang w:val="en-US"/>
      </w:rPr>
    </w:pPr>
    <w:r>
      <w:rPr>
        <w:noProof/>
        <w:lang w:val="en-US"/>
      </w:rPr>
      <mc:AlternateContent>
        <mc:Choice Requires="wps">
          <w:drawing>
            <wp:anchor distT="0" distB="0" distL="114300" distR="114300" simplePos="0" relativeHeight="251657728" behindDoc="0" locked="0" layoutInCell="1" allowOverlap="1" wp14:anchorId="43E3729D" wp14:editId="07B0BFB7">
              <wp:simplePos x="0" y="0"/>
              <wp:positionH relativeFrom="column">
                <wp:posOffset>0</wp:posOffset>
              </wp:positionH>
              <wp:positionV relativeFrom="paragraph">
                <wp:posOffset>46355</wp:posOffset>
              </wp:positionV>
              <wp:extent cx="5943600" cy="365760"/>
              <wp:effectExtent l="12700" t="12700" r="12700" b="15240"/>
              <wp:wrapNone/>
              <wp:docPr id="146364883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2B77852" w14:textId="77777777" w:rsidR="00151786" w:rsidRPr="006015AE" w:rsidRDefault="00151786" w:rsidP="00F63E59">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738F950A" w14:textId="77777777" w:rsidR="00151786" w:rsidRPr="006015AE" w:rsidRDefault="00151786" w:rsidP="00F63E59">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E3729D" id="Rectangle 4" o:spid="_x0000_s1026" style="position:absolute;left:0;text-align:left;margin-left:0;margin-top:3.65pt;width:468pt;height:28.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" strokeweight="3pt">
              <v:path arrowok="t"/>
              <v:textbox inset="0,0,0,0">
                <w:txbxContent>
                  <w:p w14:paraId="22B77852" w14:textId="77777777" w:rsidR="00151786" w:rsidRPr="006015AE" w:rsidRDefault="00151786" w:rsidP="00F63E59">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738F950A" w14:textId="77777777" w:rsidR="00151786" w:rsidRPr="006015AE" w:rsidRDefault="00151786" w:rsidP="00F63E59">
                    <w:pPr>
                      <w:rPr>
                        <w:color w:val="000000"/>
                        <w:sz w:val="16"/>
                        <w:szCs w:val="16"/>
                      </w:rPr>
                    </w:pPr>
                  </w:p>
                </w:txbxContent>
              </v:textbox>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9049F" w14:textId="77777777" w:rsidR="0048000C" w:rsidRPr="0048000C" w:rsidRDefault="0048000C" w:rsidP="0048000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25BE5" w14:textId="77777777" w:rsidR="00072BD2" w:rsidRPr="00151786" w:rsidRDefault="00072BD2" w:rsidP="00151786">
    <w:pPr>
      <w:pStyle w:val="Footer"/>
      <w:jc w:val="right"/>
      <w:rPr>
        <w:lang w:val="en-C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721A3" w14:textId="77777777" w:rsidR="008500D2" w:rsidRDefault="008500D2">
      <w:r>
        <w:separator/>
      </w:r>
    </w:p>
  </w:footnote>
  <w:footnote w:type="continuationSeparator" w:id="0">
    <w:p w14:paraId="3A412481" w14:textId="77777777" w:rsidR="008500D2" w:rsidRDefault="008500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12519" w14:textId="77777777" w:rsidR="00151786" w:rsidRDefault="00151786" w:rsidP="00151786">
    <w:pPr>
      <w:pStyle w:val="Header"/>
      <w:rPr>
        <w:lang w:val="en-US"/>
      </w:rPr>
    </w:pPr>
    <w:r>
      <w:rPr>
        <w:lang w:val="en-US"/>
      </w:rPr>
      <w:t>UNEP/CBD/COP/DEC/X/27</w:t>
    </w:r>
  </w:p>
  <w:p w14:paraId="64690F2A" w14:textId="77777777" w:rsidR="00151786" w:rsidRPr="0048000C" w:rsidRDefault="00151786">
    <w:pPr>
      <w:pStyle w:val="Header"/>
      <w:rPr>
        <w:lang w:val="en-US"/>
      </w:rPr>
    </w:pPr>
    <w:r>
      <w:rPr>
        <w:lang w:val="en-US"/>
      </w:rPr>
      <w:t xml:space="preserve">Page </w:t>
    </w:r>
    <w:r>
      <w:rPr>
        <w:rStyle w:val="PageNumber"/>
      </w:rPr>
      <w:fldChar w:fldCharType="begin"/>
    </w:r>
    <w:r>
      <w:rPr>
        <w:rStyle w:val="PageNumber"/>
      </w:rPr>
      <w:instrText xml:space="preserve"> PAGE </w:instrText>
    </w:r>
    <w:r>
      <w:rPr>
        <w:rStyle w:val="PageNumber"/>
      </w:rPr>
      <w:fldChar w:fldCharType="separate"/>
    </w:r>
    <w:r w:rsidR="00B47460">
      <w:rPr>
        <w:rStyle w:val="PageNumber"/>
        <w:noProof/>
      </w:rPr>
      <w:t>2</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58784" w14:textId="77777777" w:rsidR="00151786" w:rsidRDefault="00151786" w:rsidP="00151786">
    <w:pPr>
      <w:pStyle w:val="Header"/>
      <w:ind w:left="6480"/>
      <w:rPr>
        <w:lang w:val="en-US"/>
      </w:rPr>
    </w:pPr>
    <w:r>
      <w:rPr>
        <w:lang w:val="en-US"/>
      </w:rPr>
      <w:t>UNEP/CBD/COP/DEC/X/27</w:t>
    </w:r>
  </w:p>
  <w:p w14:paraId="005CBB68" w14:textId="77777777" w:rsidR="00151786" w:rsidRPr="0048000C" w:rsidRDefault="00151786" w:rsidP="00151786">
    <w:pPr>
      <w:pStyle w:val="Header"/>
      <w:ind w:left="6480"/>
      <w:rPr>
        <w:lang w:val="en-US"/>
      </w:rPr>
    </w:pPr>
    <w:r>
      <w:rPr>
        <w:lang w:val="en-US"/>
      </w:rPr>
      <w:t xml:space="preserve">Page </w:t>
    </w:r>
    <w:r>
      <w:rPr>
        <w:rStyle w:val="PageNumber"/>
      </w:rPr>
      <w:fldChar w:fldCharType="begin"/>
    </w:r>
    <w:r>
      <w:rPr>
        <w:rStyle w:val="PageNumber"/>
      </w:rPr>
      <w:instrText xml:space="preserve"> PAGE </w:instrText>
    </w:r>
    <w:r>
      <w:rPr>
        <w:rStyle w:val="PageNumber"/>
      </w:rPr>
      <w:fldChar w:fldCharType="separate"/>
    </w:r>
    <w:r w:rsidR="00B47460">
      <w:rPr>
        <w:rStyle w:val="PageNumber"/>
        <w:noProof/>
      </w:rPr>
      <w:t>3</w:t>
    </w:r>
    <w:r>
      <w:rPr>
        <w:rStyle w:val="PageNumber"/>
      </w:rPr>
      <w:fldChar w:fldCharType="end"/>
    </w:r>
  </w:p>
  <w:p w14:paraId="008E4034" w14:textId="77777777" w:rsidR="00151786" w:rsidRDefault="001517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0442B4"/>
    <w:multiLevelType w:val="multilevel"/>
    <w:tmpl w:val="3384AF14"/>
    <w:lvl w:ilvl="0">
      <w:start w:val="1"/>
      <w:numFmt w:val="decimal"/>
      <w:pStyle w:val="Para1"/>
      <w:lvlText w:val="%1."/>
      <w:lvlJc w:val="left"/>
      <w:pPr>
        <w:tabs>
          <w:tab w:val="num" w:pos="470"/>
        </w:tabs>
        <w:ind w:left="110" w:firstLine="0"/>
      </w:pPr>
      <w:rPr>
        <w:rFonts w:ascii="Times New Roman" w:hAnsi="Times New Roman" w:hint="default"/>
        <w:b w:val="0"/>
        <w:i w:val="0"/>
        <w:sz w:val="22"/>
      </w:rPr>
    </w:lvl>
    <w:lvl w:ilvl="1">
      <w:start w:val="1"/>
      <w:numFmt w:val="lowerLetter"/>
      <w:lvlText w:val="(%2)"/>
      <w:lvlJc w:val="left"/>
      <w:pPr>
        <w:tabs>
          <w:tab w:val="num" w:pos="1550"/>
        </w:tabs>
        <w:ind w:left="110" w:firstLine="720"/>
      </w:pPr>
      <w:rPr>
        <w:rFonts w:hint="default"/>
        <w:b w:val="0"/>
        <w:i w:val="0"/>
      </w:rPr>
    </w:lvl>
    <w:lvl w:ilvl="2">
      <w:start w:val="1"/>
      <w:numFmt w:val="lowerLetter"/>
      <w:pStyle w:val="Para3"/>
      <w:lvlText w:val="(%3)"/>
      <w:lvlJc w:val="right"/>
      <w:pPr>
        <w:tabs>
          <w:tab w:val="num" w:pos="1757"/>
        </w:tabs>
        <w:ind w:left="0" w:firstLine="1418"/>
      </w:pPr>
      <w:rPr>
        <w:rFonts w:ascii="Times New Roman" w:hAnsi="Times New Roman" w:hint="default"/>
        <w:b w:val="0"/>
        <w:i w:val="0"/>
        <w:sz w:val="22"/>
      </w:rPr>
    </w:lvl>
    <w:lvl w:ilvl="3">
      <w:start w:val="1"/>
      <w:numFmt w:val="bullet"/>
      <w:lvlText w:val=""/>
      <w:lvlJc w:val="left"/>
      <w:pPr>
        <w:tabs>
          <w:tab w:val="num" w:pos="2270"/>
        </w:tabs>
        <w:ind w:left="2270" w:hanging="720"/>
      </w:pPr>
      <w:rPr>
        <w:rFonts w:ascii="Symbol" w:hAnsi="Symbol" w:hint="default"/>
        <w:color w:val="auto"/>
        <w:sz w:val="28"/>
      </w:rPr>
    </w:lvl>
    <w:lvl w:ilvl="4">
      <w:start w:val="1"/>
      <w:numFmt w:val="lowerLetter"/>
      <w:lvlText w:val="(%5)"/>
      <w:lvlJc w:val="left"/>
      <w:pPr>
        <w:tabs>
          <w:tab w:val="num" w:pos="1910"/>
        </w:tabs>
        <w:ind w:left="1910" w:hanging="360"/>
      </w:pPr>
      <w:rPr>
        <w:rFonts w:hint="default"/>
      </w:rPr>
    </w:lvl>
    <w:lvl w:ilvl="5">
      <w:start w:val="1"/>
      <w:numFmt w:val="lowerRoman"/>
      <w:lvlText w:val="(%6)"/>
      <w:lvlJc w:val="left"/>
      <w:pPr>
        <w:tabs>
          <w:tab w:val="num" w:pos="2270"/>
        </w:tabs>
        <w:ind w:left="2270" w:hanging="360"/>
      </w:pPr>
      <w:rPr>
        <w:rFonts w:hint="default"/>
      </w:rPr>
    </w:lvl>
    <w:lvl w:ilvl="6">
      <w:start w:val="1"/>
      <w:numFmt w:val="decimal"/>
      <w:lvlText w:val="%7."/>
      <w:lvlJc w:val="left"/>
      <w:pPr>
        <w:tabs>
          <w:tab w:val="num" w:pos="2630"/>
        </w:tabs>
        <w:ind w:left="2630" w:hanging="360"/>
      </w:pPr>
      <w:rPr>
        <w:rFonts w:hint="default"/>
      </w:rPr>
    </w:lvl>
    <w:lvl w:ilvl="7">
      <w:start w:val="1"/>
      <w:numFmt w:val="lowerLetter"/>
      <w:lvlText w:val="%8."/>
      <w:lvlJc w:val="left"/>
      <w:pPr>
        <w:tabs>
          <w:tab w:val="num" w:pos="2990"/>
        </w:tabs>
        <w:ind w:left="2990" w:hanging="360"/>
      </w:pPr>
      <w:rPr>
        <w:rFonts w:hint="default"/>
      </w:rPr>
    </w:lvl>
    <w:lvl w:ilvl="8">
      <w:start w:val="1"/>
      <w:numFmt w:val="lowerRoman"/>
      <w:lvlText w:val="%9."/>
      <w:lvlJc w:val="left"/>
      <w:pPr>
        <w:tabs>
          <w:tab w:val="num" w:pos="3350"/>
        </w:tabs>
        <w:ind w:left="3350" w:hanging="360"/>
      </w:pPr>
      <w:rPr>
        <w:rFonts w:hint="default"/>
      </w:rPr>
    </w:lvl>
  </w:abstractNum>
  <w:num w:numId="1" w16cid:durableId="332341323">
    <w:abstractNumId w:val="0"/>
  </w:num>
  <w:num w:numId="2" w16cid:durableId="486550757">
    <w:abstractNumId w:val="0"/>
  </w:num>
  <w:num w:numId="3" w16cid:durableId="2078937767">
    <w:abstractNumId w:val="0"/>
  </w:num>
  <w:num w:numId="4" w16cid:durableId="1054767436">
    <w:abstractNumId w:val="0"/>
  </w:num>
  <w:num w:numId="5" w16cid:durableId="534319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FBB"/>
    <w:rsid w:val="000139C3"/>
    <w:rsid w:val="000261B9"/>
    <w:rsid w:val="00043593"/>
    <w:rsid w:val="0006759B"/>
    <w:rsid w:val="00072BD2"/>
    <w:rsid w:val="000C1E9A"/>
    <w:rsid w:val="000E2308"/>
    <w:rsid w:val="001045AD"/>
    <w:rsid w:val="00132A5D"/>
    <w:rsid w:val="00145B5E"/>
    <w:rsid w:val="00147D33"/>
    <w:rsid w:val="00151786"/>
    <w:rsid w:val="00166AF4"/>
    <w:rsid w:val="00176114"/>
    <w:rsid w:val="001B581D"/>
    <w:rsid w:val="001C7357"/>
    <w:rsid w:val="001C7FBD"/>
    <w:rsid w:val="002368C0"/>
    <w:rsid w:val="0029413C"/>
    <w:rsid w:val="002B0031"/>
    <w:rsid w:val="002C6DB3"/>
    <w:rsid w:val="002F3271"/>
    <w:rsid w:val="00324F33"/>
    <w:rsid w:val="00326198"/>
    <w:rsid w:val="0038362F"/>
    <w:rsid w:val="003B24A0"/>
    <w:rsid w:val="003C552B"/>
    <w:rsid w:val="003F742F"/>
    <w:rsid w:val="004165EE"/>
    <w:rsid w:val="00424719"/>
    <w:rsid w:val="00446195"/>
    <w:rsid w:val="004700F6"/>
    <w:rsid w:val="0048000C"/>
    <w:rsid w:val="0049033C"/>
    <w:rsid w:val="004957EE"/>
    <w:rsid w:val="004F68FD"/>
    <w:rsid w:val="0053564A"/>
    <w:rsid w:val="00541D15"/>
    <w:rsid w:val="00555D1F"/>
    <w:rsid w:val="005565CD"/>
    <w:rsid w:val="00575C30"/>
    <w:rsid w:val="00582EA6"/>
    <w:rsid w:val="005D48C2"/>
    <w:rsid w:val="005E18BC"/>
    <w:rsid w:val="00607A93"/>
    <w:rsid w:val="00633FCC"/>
    <w:rsid w:val="0064592D"/>
    <w:rsid w:val="00660139"/>
    <w:rsid w:val="00691E03"/>
    <w:rsid w:val="006E7AEA"/>
    <w:rsid w:val="006F244B"/>
    <w:rsid w:val="00702CB7"/>
    <w:rsid w:val="00703D7B"/>
    <w:rsid w:val="0071036C"/>
    <w:rsid w:val="00733677"/>
    <w:rsid w:val="00733C3E"/>
    <w:rsid w:val="00756272"/>
    <w:rsid w:val="00793685"/>
    <w:rsid w:val="007950FB"/>
    <w:rsid w:val="007D6D1F"/>
    <w:rsid w:val="007E2D5E"/>
    <w:rsid w:val="007E51FA"/>
    <w:rsid w:val="007F4CDF"/>
    <w:rsid w:val="007F7D98"/>
    <w:rsid w:val="00801F64"/>
    <w:rsid w:val="00803548"/>
    <w:rsid w:val="00824F46"/>
    <w:rsid w:val="008500D2"/>
    <w:rsid w:val="00876847"/>
    <w:rsid w:val="00883099"/>
    <w:rsid w:val="008A3F54"/>
    <w:rsid w:val="008A4BAF"/>
    <w:rsid w:val="008B32CB"/>
    <w:rsid w:val="008B3ADE"/>
    <w:rsid w:val="008B3D00"/>
    <w:rsid w:val="008B4ACE"/>
    <w:rsid w:val="008C3DD7"/>
    <w:rsid w:val="008C4A83"/>
    <w:rsid w:val="008D0FBB"/>
    <w:rsid w:val="00906898"/>
    <w:rsid w:val="0091525E"/>
    <w:rsid w:val="00930455"/>
    <w:rsid w:val="0094377C"/>
    <w:rsid w:val="009A2447"/>
    <w:rsid w:val="009E6E28"/>
    <w:rsid w:val="00A2017D"/>
    <w:rsid w:val="00A613F1"/>
    <w:rsid w:val="00A8138A"/>
    <w:rsid w:val="00A95387"/>
    <w:rsid w:val="00AB6A01"/>
    <w:rsid w:val="00AC144C"/>
    <w:rsid w:val="00AD2A0B"/>
    <w:rsid w:val="00AD6B2C"/>
    <w:rsid w:val="00AE7D5A"/>
    <w:rsid w:val="00B42B3D"/>
    <w:rsid w:val="00B47460"/>
    <w:rsid w:val="00B51DD2"/>
    <w:rsid w:val="00B735EA"/>
    <w:rsid w:val="00B844E7"/>
    <w:rsid w:val="00B94F1C"/>
    <w:rsid w:val="00B964A7"/>
    <w:rsid w:val="00BA5115"/>
    <w:rsid w:val="00BB63B2"/>
    <w:rsid w:val="00BD583C"/>
    <w:rsid w:val="00C00BC1"/>
    <w:rsid w:val="00C041D7"/>
    <w:rsid w:val="00C07993"/>
    <w:rsid w:val="00C15AA2"/>
    <w:rsid w:val="00C35D27"/>
    <w:rsid w:val="00C613B4"/>
    <w:rsid w:val="00CA2913"/>
    <w:rsid w:val="00CA5D1D"/>
    <w:rsid w:val="00CB03FD"/>
    <w:rsid w:val="00CD5373"/>
    <w:rsid w:val="00D24C48"/>
    <w:rsid w:val="00D44BD3"/>
    <w:rsid w:val="00D57C81"/>
    <w:rsid w:val="00D64A1B"/>
    <w:rsid w:val="00D8757F"/>
    <w:rsid w:val="00DC13DC"/>
    <w:rsid w:val="00DC180C"/>
    <w:rsid w:val="00DD67CF"/>
    <w:rsid w:val="00DE1B59"/>
    <w:rsid w:val="00DF1E5D"/>
    <w:rsid w:val="00DF2995"/>
    <w:rsid w:val="00E3118D"/>
    <w:rsid w:val="00E72DDF"/>
    <w:rsid w:val="00E75EE3"/>
    <w:rsid w:val="00E84CFF"/>
    <w:rsid w:val="00E926E2"/>
    <w:rsid w:val="00EA2C03"/>
    <w:rsid w:val="00EB2CF2"/>
    <w:rsid w:val="00EB5F2E"/>
    <w:rsid w:val="00F635F4"/>
    <w:rsid w:val="00F63E59"/>
    <w:rsid w:val="00F773D8"/>
    <w:rsid w:val="00FD7637"/>
    <w:rsid w:val="00FF0C15"/>
    <w:rsid w:val="00FF5C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7F6AFF"/>
  <w15:chartTrackingRefBased/>
  <w15:docId w15:val="{27FB4C77-56A4-1B4B-932D-34D21CEC0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0FBB"/>
    <w:pPr>
      <w:jc w:val="both"/>
    </w:pPr>
    <w:rPr>
      <w:sz w:val="22"/>
      <w:szCs w:val="24"/>
      <w:lang w:val="en-GB"/>
    </w:rPr>
  </w:style>
  <w:style w:type="paragraph" w:styleId="Heading1">
    <w:name w:val="heading 1"/>
    <w:basedOn w:val="Normal"/>
    <w:next w:val="Normal"/>
    <w:qFormat/>
    <w:rsid w:val="008D0FBB"/>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145B5E"/>
    <w:pPr>
      <w:keepNext/>
      <w:spacing w:before="240" w:after="60"/>
      <w:outlineLvl w:val="1"/>
    </w:pPr>
    <w:rPr>
      <w:rFonts w:ascii="Arial" w:hAnsi="Arial" w:cs="Arial"/>
      <w:b/>
      <w:bCs/>
      <w:i/>
      <w:i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Para1">
    <w:name w:val="Para1"/>
    <w:basedOn w:val="Normal"/>
    <w:link w:val="Para1Char"/>
    <w:rsid w:val="008D0FBB"/>
    <w:pPr>
      <w:numPr>
        <w:numId w:val="1"/>
      </w:numPr>
      <w:spacing w:before="120" w:after="120"/>
    </w:pPr>
    <w:rPr>
      <w:snapToGrid w:val="0"/>
      <w:szCs w:val="18"/>
    </w:rPr>
  </w:style>
  <w:style w:type="paragraph" w:styleId="BodyText">
    <w:name w:val="Body Text"/>
    <w:basedOn w:val="Normal"/>
    <w:rsid w:val="008D0FBB"/>
    <w:pPr>
      <w:spacing w:before="120" w:after="120"/>
      <w:ind w:firstLine="720"/>
    </w:pPr>
    <w:rPr>
      <w:iCs/>
    </w:rPr>
  </w:style>
  <w:style w:type="paragraph" w:customStyle="1" w:styleId="Para3">
    <w:name w:val="Para3"/>
    <w:basedOn w:val="Normal"/>
    <w:rsid w:val="008D0FBB"/>
    <w:pPr>
      <w:numPr>
        <w:ilvl w:val="2"/>
        <w:numId w:val="1"/>
      </w:numPr>
      <w:tabs>
        <w:tab w:val="left" w:pos="1980"/>
      </w:tabs>
      <w:spacing w:before="80" w:after="80"/>
    </w:pPr>
    <w:rPr>
      <w:szCs w:val="20"/>
    </w:rPr>
  </w:style>
  <w:style w:type="character" w:customStyle="1" w:styleId="Para1Char">
    <w:name w:val="Para1 Char"/>
    <w:basedOn w:val="DefaultParagraphFont"/>
    <w:link w:val="Para1"/>
    <w:rsid w:val="008D0FBB"/>
    <w:rPr>
      <w:snapToGrid w:val="0"/>
      <w:sz w:val="22"/>
      <w:szCs w:val="18"/>
      <w:lang w:val="en-GB" w:eastAsia="en-US" w:bidi="ar-SA"/>
    </w:rPr>
  </w:style>
  <w:style w:type="paragraph" w:customStyle="1" w:styleId="Recommendation">
    <w:name w:val="Recommendation"/>
    <w:basedOn w:val="Normal"/>
    <w:rsid w:val="008D0FBB"/>
    <w:pPr>
      <w:keepNext/>
      <w:tabs>
        <w:tab w:val="left" w:pos="720"/>
      </w:tabs>
      <w:spacing w:before="120" w:after="120"/>
      <w:ind w:left="1843" w:right="998" w:hanging="943"/>
      <w:jc w:val="left"/>
      <w:outlineLvl w:val="0"/>
    </w:pPr>
    <w:rPr>
      <w:b/>
      <w:i/>
      <w:iCs/>
    </w:rPr>
  </w:style>
  <w:style w:type="paragraph" w:customStyle="1" w:styleId="Heading">
    <w:name w:val="Heading"/>
    <w:basedOn w:val="Heading1"/>
    <w:next w:val="Normal"/>
    <w:rsid w:val="008D0FBB"/>
    <w:pPr>
      <w:tabs>
        <w:tab w:val="left" w:pos="720"/>
      </w:tabs>
      <w:spacing w:after="120"/>
      <w:jc w:val="center"/>
    </w:pPr>
    <w:rPr>
      <w:rFonts w:ascii="Times New Roman" w:hAnsi="Times New Roman" w:cs="Times New Roman"/>
      <w:bCs w:val="0"/>
      <w:caps/>
      <w:kern w:val="0"/>
      <w:sz w:val="22"/>
      <w:szCs w:val="24"/>
    </w:rPr>
  </w:style>
  <w:style w:type="paragraph" w:customStyle="1" w:styleId="Heading-item">
    <w:name w:val="Heading-item"/>
    <w:basedOn w:val="Normal"/>
    <w:next w:val="BodyText"/>
    <w:rsid w:val="008D0FBB"/>
    <w:pPr>
      <w:keepNext/>
      <w:spacing w:before="120" w:after="120"/>
      <w:ind w:left="709" w:hanging="709"/>
    </w:pPr>
    <w:rPr>
      <w:b/>
      <w:bCs/>
      <w:i/>
      <w:iCs/>
    </w:rPr>
  </w:style>
  <w:style w:type="paragraph" w:styleId="BalloonText">
    <w:name w:val="Balloon Text"/>
    <w:basedOn w:val="Normal"/>
    <w:semiHidden/>
    <w:rsid w:val="0091525E"/>
    <w:rPr>
      <w:rFonts w:ascii="Tahoma" w:hAnsi="Tahoma" w:cs="Tahoma"/>
      <w:sz w:val="16"/>
      <w:szCs w:val="16"/>
    </w:rPr>
  </w:style>
  <w:style w:type="character" w:styleId="CommentReference">
    <w:name w:val="annotation reference"/>
    <w:basedOn w:val="DefaultParagraphFont"/>
    <w:semiHidden/>
    <w:rsid w:val="0091525E"/>
    <w:rPr>
      <w:sz w:val="16"/>
      <w:szCs w:val="16"/>
    </w:rPr>
  </w:style>
  <w:style w:type="paragraph" w:styleId="CommentText">
    <w:name w:val="annotation text"/>
    <w:basedOn w:val="Normal"/>
    <w:semiHidden/>
    <w:rsid w:val="0091525E"/>
    <w:rPr>
      <w:sz w:val="20"/>
      <w:szCs w:val="20"/>
    </w:rPr>
  </w:style>
  <w:style w:type="paragraph" w:styleId="CommentSubject">
    <w:name w:val="annotation subject"/>
    <w:basedOn w:val="CommentText"/>
    <w:next w:val="CommentText"/>
    <w:semiHidden/>
    <w:rsid w:val="0091525E"/>
    <w:rPr>
      <w:b/>
      <w:bCs/>
    </w:rPr>
  </w:style>
  <w:style w:type="paragraph" w:styleId="Footer">
    <w:name w:val="footer"/>
    <w:basedOn w:val="Normal"/>
    <w:link w:val="FooterChar"/>
    <w:rsid w:val="00555D1F"/>
    <w:pPr>
      <w:tabs>
        <w:tab w:val="center" w:pos="4320"/>
        <w:tab w:val="right" w:pos="8640"/>
      </w:tabs>
    </w:pPr>
  </w:style>
  <w:style w:type="character" w:styleId="PageNumber">
    <w:name w:val="page number"/>
    <w:basedOn w:val="DefaultParagraphFont"/>
    <w:rsid w:val="00555D1F"/>
  </w:style>
  <w:style w:type="paragraph" w:styleId="Header">
    <w:name w:val="header"/>
    <w:basedOn w:val="Normal"/>
    <w:link w:val="HeaderChar"/>
    <w:rsid w:val="00555D1F"/>
    <w:pPr>
      <w:tabs>
        <w:tab w:val="center" w:pos="4320"/>
        <w:tab w:val="right" w:pos="8640"/>
      </w:tabs>
    </w:pPr>
  </w:style>
  <w:style w:type="paragraph" w:customStyle="1" w:styleId="Cornernotation">
    <w:name w:val="Corner notation"/>
    <w:basedOn w:val="Normal"/>
    <w:rsid w:val="0048000C"/>
    <w:pPr>
      <w:ind w:left="170" w:right="3119" w:hanging="170"/>
      <w:jc w:val="left"/>
    </w:pPr>
  </w:style>
  <w:style w:type="paragraph" w:styleId="FootnoteText">
    <w:name w:val="footnote text"/>
    <w:basedOn w:val="Normal"/>
    <w:semiHidden/>
    <w:rsid w:val="00906898"/>
    <w:rPr>
      <w:sz w:val="20"/>
      <w:szCs w:val="20"/>
    </w:rPr>
  </w:style>
  <w:style w:type="character" w:styleId="FootnoteReference">
    <w:name w:val="footnote reference"/>
    <w:basedOn w:val="DefaultParagraphFont"/>
    <w:semiHidden/>
    <w:rsid w:val="00906898"/>
    <w:rPr>
      <w:vertAlign w:val="superscript"/>
    </w:rPr>
  </w:style>
  <w:style w:type="paragraph" w:styleId="BodyText2">
    <w:name w:val="Body Text 2"/>
    <w:basedOn w:val="Normal"/>
    <w:rsid w:val="00326198"/>
    <w:pPr>
      <w:spacing w:after="120" w:line="480" w:lineRule="auto"/>
    </w:pPr>
  </w:style>
  <w:style w:type="paragraph" w:customStyle="1" w:styleId="Decision">
    <w:name w:val="Decision"/>
    <w:basedOn w:val="Heading2"/>
    <w:rsid w:val="00145B5E"/>
    <w:pPr>
      <w:tabs>
        <w:tab w:val="left" w:pos="720"/>
      </w:tabs>
      <w:spacing w:before="120" w:after="120"/>
      <w:jc w:val="center"/>
    </w:pPr>
    <w:rPr>
      <w:rFonts w:ascii="Times New Roman" w:hAnsi="Times New Roman" w:cs="Times New Roman"/>
      <w:caps/>
      <w:sz w:val="22"/>
      <w:szCs w:val="24"/>
    </w:rPr>
  </w:style>
  <w:style w:type="character" w:styleId="Hyperlink">
    <w:name w:val="Hyperlink"/>
    <w:basedOn w:val="DefaultParagraphFont"/>
    <w:rsid w:val="001B581D"/>
    <w:rPr>
      <w:color w:val="0000FF"/>
      <w:u w:val="single"/>
    </w:rPr>
  </w:style>
  <w:style w:type="character" w:customStyle="1" w:styleId="FooterChar">
    <w:name w:val="Footer Char"/>
    <w:basedOn w:val="DefaultParagraphFont"/>
    <w:link w:val="Footer"/>
    <w:rsid w:val="00151786"/>
    <w:rPr>
      <w:sz w:val="22"/>
      <w:szCs w:val="24"/>
      <w:lang w:val="en-GB" w:eastAsia="en-US" w:bidi="ar-SA"/>
    </w:rPr>
  </w:style>
  <w:style w:type="character" w:customStyle="1" w:styleId="HeaderChar">
    <w:name w:val="Header Char"/>
    <w:basedOn w:val="DefaultParagraphFont"/>
    <w:link w:val="Header"/>
    <w:rsid w:val="00151786"/>
    <w:rPr>
      <w:sz w:val="22"/>
      <w:szCs w:val="24"/>
      <w:lang w:val="en-GB" w:eastAsia="en-US" w:bidi="ar-SA"/>
    </w:rPr>
  </w:style>
  <w:style w:type="paragraph" w:customStyle="1" w:styleId="Heading2longmultiline">
    <w:name w:val="Heading 2 (long multiline)"/>
    <w:basedOn w:val="Normal"/>
    <w:rsid w:val="00151786"/>
    <w:pPr>
      <w:keepNext/>
      <w:tabs>
        <w:tab w:val="left" w:pos="720"/>
        <w:tab w:val="num" w:pos="2880"/>
      </w:tabs>
      <w:spacing w:before="120" w:after="120"/>
      <w:ind w:left="2880" w:right="998" w:hanging="360"/>
      <w:jc w:val="left"/>
      <w:outlineLvl w:val="0"/>
    </w:pPr>
    <w:rPr>
      <w:b/>
      <w:i/>
      <w:iCs/>
    </w:rPr>
  </w:style>
  <w:style w:type="paragraph" w:customStyle="1" w:styleId="Dec-titleoneline">
    <w:name w:val="Dec-title one line"/>
    <w:basedOn w:val="Heading2"/>
    <w:rsid w:val="00151786"/>
    <w:pPr>
      <w:tabs>
        <w:tab w:val="left" w:pos="720"/>
      </w:tabs>
      <w:spacing w:before="120" w:after="120"/>
      <w:jc w:val="center"/>
    </w:pPr>
    <w:rPr>
      <w:rFonts w:ascii="Times New Roman" w:hAnsi="Times New Roman" w:cs="Times New Roman"/>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4236710">
      <w:bodyDiv w:val="1"/>
      <w:marLeft w:val="0"/>
      <w:marRight w:val="0"/>
      <w:marTop w:val="0"/>
      <w:marBottom w:val="0"/>
      <w:divBdr>
        <w:top w:val="none" w:sz="0" w:space="0" w:color="auto"/>
        <w:left w:val="none" w:sz="0" w:space="0" w:color="auto"/>
        <w:bottom w:val="none" w:sz="0" w:space="0" w:color="auto"/>
        <w:right w:val="none" w:sz="0" w:space="0" w:color="auto"/>
      </w:divBdr>
      <w:divsChild>
        <w:div w:id="520825414">
          <w:marLeft w:val="0"/>
          <w:marRight w:val="0"/>
          <w:marTop w:val="0"/>
          <w:marBottom w:val="0"/>
          <w:divBdr>
            <w:top w:val="none" w:sz="0" w:space="0" w:color="auto"/>
            <w:left w:val="none" w:sz="0" w:space="0" w:color="auto"/>
            <w:bottom w:val="none" w:sz="0" w:space="0" w:color="auto"/>
            <w:right w:val="none" w:sz="0" w:space="0" w:color="auto"/>
          </w:divBdr>
          <w:divsChild>
            <w:div w:id="1475030040">
              <w:marLeft w:val="0"/>
              <w:marRight w:val="0"/>
              <w:marTop w:val="0"/>
              <w:marBottom w:val="0"/>
              <w:divBdr>
                <w:top w:val="none" w:sz="0" w:space="0" w:color="auto"/>
                <w:left w:val="none" w:sz="0" w:space="0" w:color="auto"/>
                <w:bottom w:val="none" w:sz="0" w:space="0" w:color="auto"/>
                <w:right w:val="none" w:sz="0" w:space="0" w:color="auto"/>
              </w:divBdr>
              <w:divsChild>
                <w:div w:id="1329361723">
                  <w:marLeft w:val="0"/>
                  <w:marRight w:val="0"/>
                  <w:marTop w:val="0"/>
                  <w:marBottom w:val="0"/>
                  <w:divBdr>
                    <w:top w:val="none" w:sz="0" w:space="0" w:color="auto"/>
                    <w:left w:val="none" w:sz="0" w:space="0" w:color="auto"/>
                    <w:bottom w:val="none" w:sz="0" w:space="0" w:color="auto"/>
                    <w:right w:val="none" w:sz="0" w:space="0" w:color="auto"/>
                  </w:divBdr>
                  <w:divsChild>
                    <w:div w:id="1424648805">
                      <w:marLeft w:val="2380"/>
                      <w:marRight w:val="0"/>
                      <w:marTop w:val="0"/>
                      <w:marBottom w:val="0"/>
                      <w:divBdr>
                        <w:top w:val="none" w:sz="0" w:space="0" w:color="auto"/>
                        <w:left w:val="none" w:sz="0" w:space="0" w:color="auto"/>
                        <w:bottom w:val="none" w:sz="0" w:space="0" w:color="auto"/>
                        <w:right w:val="none" w:sz="0" w:space="0" w:color="auto"/>
                      </w:divBdr>
                      <w:divsChild>
                        <w:div w:id="260187508">
                          <w:marLeft w:val="0"/>
                          <w:marRight w:val="0"/>
                          <w:marTop w:val="0"/>
                          <w:marBottom w:val="0"/>
                          <w:divBdr>
                            <w:top w:val="none" w:sz="0" w:space="0" w:color="auto"/>
                            <w:left w:val="none" w:sz="0" w:space="0" w:color="auto"/>
                            <w:bottom w:val="single" w:sz="36" w:space="0" w:color="FFFFFF"/>
                            <w:right w:val="none" w:sz="0" w:space="0" w:color="auto"/>
                          </w:divBdr>
                          <w:divsChild>
                            <w:div w:id="1029180991">
                              <w:marLeft w:val="0"/>
                              <w:marRight w:val="0"/>
                              <w:marTop w:val="0"/>
                              <w:marBottom w:val="0"/>
                              <w:divBdr>
                                <w:top w:val="none" w:sz="0" w:space="0" w:color="auto"/>
                                <w:left w:val="none" w:sz="0" w:space="0" w:color="auto"/>
                                <w:bottom w:val="none" w:sz="0" w:space="0" w:color="auto"/>
                                <w:right w:val="none" w:sz="0" w:space="0" w:color="auto"/>
                              </w:divBdr>
                              <w:divsChild>
                                <w:div w:id="2061517927">
                                  <w:marLeft w:val="0"/>
                                  <w:marRight w:val="0"/>
                                  <w:marTop w:val="0"/>
                                  <w:marBottom w:val="0"/>
                                  <w:divBdr>
                                    <w:top w:val="none" w:sz="0" w:space="0" w:color="auto"/>
                                    <w:left w:val="none" w:sz="0" w:space="0" w:color="auto"/>
                                    <w:bottom w:val="none" w:sz="0" w:space="0" w:color="auto"/>
                                    <w:right w:val="none" w:sz="0" w:space="0" w:color="auto"/>
                                  </w:divBdr>
                                  <w:divsChild>
                                    <w:div w:id="384137681">
                                      <w:marLeft w:val="0"/>
                                      <w:marRight w:val="0"/>
                                      <w:marTop w:val="0"/>
                                      <w:marBottom w:val="0"/>
                                      <w:divBdr>
                                        <w:top w:val="none" w:sz="0" w:space="0" w:color="auto"/>
                                        <w:left w:val="none" w:sz="0" w:space="0" w:color="auto"/>
                                        <w:bottom w:val="none" w:sz="0" w:space="0" w:color="auto"/>
                                        <w:right w:val="none" w:sz="0" w:space="0" w:color="auto"/>
                                      </w:divBdr>
                                      <w:divsChild>
                                        <w:div w:id="103770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0249466">
      <w:bodyDiv w:val="1"/>
      <w:marLeft w:val="0"/>
      <w:marRight w:val="0"/>
      <w:marTop w:val="0"/>
      <w:marBottom w:val="0"/>
      <w:divBdr>
        <w:top w:val="none" w:sz="0" w:space="0" w:color="auto"/>
        <w:left w:val="none" w:sz="0" w:space="0" w:color="auto"/>
        <w:bottom w:val="none" w:sz="0" w:space="0" w:color="auto"/>
        <w:right w:val="none" w:sz="0" w:space="0" w:color="auto"/>
      </w:divBdr>
      <w:divsChild>
        <w:div w:id="813985335">
          <w:marLeft w:val="0"/>
          <w:marRight w:val="0"/>
          <w:marTop w:val="0"/>
          <w:marBottom w:val="0"/>
          <w:divBdr>
            <w:top w:val="none" w:sz="0" w:space="0" w:color="auto"/>
            <w:left w:val="none" w:sz="0" w:space="0" w:color="auto"/>
            <w:bottom w:val="none" w:sz="0" w:space="0" w:color="auto"/>
            <w:right w:val="none" w:sz="0" w:space="0" w:color="auto"/>
          </w:divBdr>
          <w:divsChild>
            <w:div w:id="674648441">
              <w:marLeft w:val="0"/>
              <w:marRight w:val="0"/>
              <w:marTop w:val="0"/>
              <w:marBottom w:val="0"/>
              <w:divBdr>
                <w:top w:val="none" w:sz="0" w:space="0" w:color="auto"/>
                <w:left w:val="none" w:sz="0" w:space="0" w:color="auto"/>
                <w:bottom w:val="none" w:sz="0" w:space="0" w:color="auto"/>
                <w:right w:val="none" w:sz="0" w:space="0" w:color="auto"/>
              </w:divBdr>
              <w:divsChild>
                <w:div w:id="562107458">
                  <w:marLeft w:val="0"/>
                  <w:marRight w:val="0"/>
                  <w:marTop w:val="0"/>
                  <w:marBottom w:val="0"/>
                  <w:divBdr>
                    <w:top w:val="none" w:sz="0" w:space="0" w:color="auto"/>
                    <w:left w:val="none" w:sz="0" w:space="0" w:color="auto"/>
                    <w:bottom w:val="none" w:sz="0" w:space="0" w:color="auto"/>
                    <w:right w:val="none" w:sz="0" w:space="0" w:color="auto"/>
                  </w:divBdr>
                  <w:divsChild>
                    <w:div w:id="373576587">
                      <w:marLeft w:val="2380"/>
                      <w:marRight w:val="0"/>
                      <w:marTop w:val="0"/>
                      <w:marBottom w:val="0"/>
                      <w:divBdr>
                        <w:top w:val="none" w:sz="0" w:space="0" w:color="auto"/>
                        <w:left w:val="none" w:sz="0" w:space="0" w:color="auto"/>
                        <w:bottom w:val="none" w:sz="0" w:space="0" w:color="auto"/>
                        <w:right w:val="none" w:sz="0" w:space="0" w:color="auto"/>
                      </w:divBdr>
                      <w:divsChild>
                        <w:div w:id="965235154">
                          <w:marLeft w:val="0"/>
                          <w:marRight w:val="0"/>
                          <w:marTop w:val="0"/>
                          <w:marBottom w:val="0"/>
                          <w:divBdr>
                            <w:top w:val="none" w:sz="0" w:space="0" w:color="auto"/>
                            <w:left w:val="none" w:sz="0" w:space="0" w:color="auto"/>
                            <w:bottom w:val="single" w:sz="36" w:space="0" w:color="FFFFFF"/>
                            <w:right w:val="none" w:sz="0" w:space="0" w:color="auto"/>
                          </w:divBdr>
                          <w:divsChild>
                            <w:div w:id="1748991970">
                              <w:marLeft w:val="0"/>
                              <w:marRight w:val="0"/>
                              <w:marTop w:val="0"/>
                              <w:marBottom w:val="0"/>
                              <w:divBdr>
                                <w:top w:val="none" w:sz="0" w:space="0" w:color="auto"/>
                                <w:left w:val="none" w:sz="0" w:space="0" w:color="auto"/>
                                <w:bottom w:val="none" w:sz="0" w:space="0" w:color="auto"/>
                                <w:right w:val="none" w:sz="0" w:space="0" w:color="auto"/>
                              </w:divBdr>
                              <w:divsChild>
                                <w:div w:id="1735161120">
                                  <w:marLeft w:val="0"/>
                                  <w:marRight w:val="0"/>
                                  <w:marTop w:val="0"/>
                                  <w:marBottom w:val="0"/>
                                  <w:divBdr>
                                    <w:top w:val="none" w:sz="0" w:space="0" w:color="auto"/>
                                    <w:left w:val="none" w:sz="0" w:space="0" w:color="auto"/>
                                    <w:bottom w:val="none" w:sz="0" w:space="0" w:color="auto"/>
                                    <w:right w:val="none" w:sz="0" w:space="0" w:color="auto"/>
                                  </w:divBdr>
                                  <w:divsChild>
                                    <w:div w:id="1300302758">
                                      <w:marLeft w:val="0"/>
                                      <w:marRight w:val="0"/>
                                      <w:marTop w:val="0"/>
                                      <w:marBottom w:val="0"/>
                                      <w:divBdr>
                                        <w:top w:val="none" w:sz="0" w:space="0" w:color="auto"/>
                                        <w:left w:val="none" w:sz="0" w:space="0" w:color="auto"/>
                                        <w:bottom w:val="none" w:sz="0" w:space="0" w:color="auto"/>
                                        <w:right w:val="none" w:sz="0" w:space="0" w:color="auto"/>
                                      </w:divBdr>
                                      <w:divsChild>
                                        <w:div w:id="43394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991</Words>
  <Characters>5652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Decision</vt:lpstr>
    </vt:vector>
  </TitlesOfParts>
  <Company/>
  <LinksUpToDate>false</LinksUpToDate>
  <CharactersWithSpaces>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dc:title>
  <dc:subject>Preparation for the fourth review of the effectiveness of the financial mechanism</dc:subject>
  <dc:creator>SCBD</dc:creator>
  <cp:keywords/>
  <dc:description/>
  <cp:lastModifiedBy>Rodrigo Elias</cp:lastModifiedBy>
  <cp:revision>2</cp:revision>
  <cp:lastPrinted>2010-10-27T21:51:00Z</cp:lastPrinted>
  <dcterms:created xsi:type="dcterms:W3CDTF">2025-11-13T18:52:00Z</dcterms:created>
  <dcterms:modified xsi:type="dcterms:W3CDTF">2025-11-13T18:52:00Z</dcterms:modified>
</cp:coreProperties>
</file>