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87" w:type="dxa"/>
        <w:tblInd w:w="-612" w:type="dxa"/>
        <w:tblBorders>
          <w:bottom w:val="single" w:sz="36" w:space="0" w:color="000000"/>
        </w:tblBorders>
        <w:tblLayout w:type="fixed"/>
        <w:tblLook w:val="0000" w:firstRow="0" w:lastRow="0" w:firstColumn="0" w:lastColumn="0" w:noHBand="0" w:noVBand="0"/>
      </w:tblPr>
      <w:tblGrid>
        <w:gridCol w:w="1366"/>
        <w:gridCol w:w="1244"/>
        <w:gridCol w:w="2620"/>
        <w:gridCol w:w="1540"/>
        <w:gridCol w:w="3667"/>
        <w:gridCol w:w="250"/>
      </w:tblGrid>
      <w:tr w:rsidR="00F51A0B" w14:paraId="4FFE0108" w14:textId="77777777" w:rsidTr="00F51A0B">
        <w:tblPrEx>
          <w:tblCellMar>
            <w:top w:w="0" w:type="dxa"/>
            <w:bottom w:w="0" w:type="dxa"/>
          </w:tblCellMar>
        </w:tblPrEx>
        <w:trPr>
          <w:gridAfter w:val="1"/>
          <w:wAfter w:w="250" w:type="dxa"/>
        </w:trPr>
        <w:tc>
          <w:tcPr>
            <w:tcW w:w="1366" w:type="dxa"/>
            <w:tcBorders>
              <w:top w:val="nil"/>
              <w:bottom w:val="single" w:sz="12" w:space="0" w:color="000000"/>
            </w:tcBorders>
          </w:tcPr>
          <w:p w14:paraId="3A419CAA" w14:textId="77777777" w:rsidR="00F51A0B" w:rsidRDefault="003D19DE" w:rsidP="00F51A0B">
            <w:pPr>
              <w:pStyle w:val="BodyText2"/>
            </w:pPr>
            <w:r>
              <w:rPr>
                <w:noProof/>
              </w:rPr>
              <w:drawing>
                <wp:inline distT="0" distB="0" distL="0" distR="0" wp14:anchorId="006CBFAD" wp14:editId="39BB28BB">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0223EB12" w14:textId="77777777" w:rsidR="00F51A0B" w:rsidRDefault="003D19DE" w:rsidP="00F51A0B">
            <w:r>
              <w:rPr>
                <w:b/>
                <w:noProof/>
              </w:rPr>
              <w:drawing>
                <wp:inline distT="0" distB="0" distL="0" distR="0" wp14:anchorId="559C3DED" wp14:editId="66DFFB5E">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827" w:type="dxa"/>
            <w:gridSpan w:val="3"/>
            <w:tcBorders>
              <w:top w:val="nil"/>
              <w:bottom w:val="single" w:sz="12" w:space="0" w:color="000000"/>
            </w:tcBorders>
          </w:tcPr>
          <w:p w14:paraId="36FDC5B1" w14:textId="77777777" w:rsidR="00F51A0B" w:rsidRDefault="00F51A0B" w:rsidP="00F51A0B">
            <w:pPr>
              <w:tabs>
                <w:tab w:val="left" w:pos="6815"/>
                <w:tab w:val="right" w:pos="7611"/>
              </w:tabs>
              <w:jc w:val="left"/>
              <w:rPr>
                <w:rFonts w:ascii="Univers" w:hAnsi="Univers"/>
                <w:b/>
                <w:sz w:val="32"/>
              </w:rPr>
            </w:pPr>
            <w:r>
              <w:rPr>
                <w:rFonts w:ascii="Univers" w:hAnsi="Univers"/>
                <w:b/>
                <w:sz w:val="32"/>
              </w:rPr>
              <w:tab/>
            </w:r>
            <w:r>
              <w:rPr>
                <w:rFonts w:ascii="Univers" w:hAnsi="Univers"/>
                <w:b/>
                <w:sz w:val="32"/>
              </w:rPr>
              <w:tab/>
              <w:t>CBD</w:t>
            </w:r>
          </w:p>
          <w:p w14:paraId="4095DAF7" w14:textId="77777777" w:rsidR="00F51A0B" w:rsidRDefault="00F51A0B" w:rsidP="00F51A0B">
            <w:pPr>
              <w:jc w:val="right"/>
              <w:rPr>
                <w:b/>
                <w:sz w:val="28"/>
              </w:rPr>
            </w:pPr>
          </w:p>
        </w:tc>
      </w:tr>
      <w:tr w:rsidR="00F51A0B" w14:paraId="266BDB1C" w14:textId="77777777" w:rsidTr="00F51A0B">
        <w:tblPrEx>
          <w:tblCellMar>
            <w:top w:w="0" w:type="dxa"/>
            <w:bottom w:w="0" w:type="dxa"/>
          </w:tblCellMar>
        </w:tblPrEx>
        <w:trPr>
          <w:trHeight w:val="1693"/>
        </w:trPr>
        <w:tc>
          <w:tcPr>
            <w:tcW w:w="5230" w:type="dxa"/>
            <w:gridSpan w:val="3"/>
            <w:tcBorders>
              <w:top w:val="nil"/>
              <w:bottom w:val="single" w:sz="36" w:space="0" w:color="000000"/>
            </w:tcBorders>
          </w:tcPr>
          <w:p w14:paraId="5E7A7ECC" w14:textId="77777777" w:rsidR="00F51A0B" w:rsidRDefault="00F51A0B" w:rsidP="00F51A0B"/>
          <w:p w14:paraId="1C5F51B8" w14:textId="77777777" w:rsidR="00F51A0B" w:rsidRPr="00A36C97" w:rsidRDefault="003D19DE" w:rsidP="00F51A0B">
            <w:r w:rsidRPr="00A36C97">
              <w:rPr>
                <w:noProof/>
              </w:rPr>
              <w:drawing>
                <wp:inline distT="0" distB="0" distL="0" distR="0" wp14:anchorId="3CF21A9C" wp14:editId="2EF3B07C">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0FCED21E" w14:textId="77777777" w:rsidR="00F51A0B" w:rsidRDefault="00F51A0B" w:rsidP="00F51A0B">
            <w:pPr>
              <w:rPr>
                <w:rFonts w:ascii="Univers" w:hAnsi="Univers"/>
                <w:sz w:val="32"/>
              </w:rPr>
            </w:pPr>
          </w:p>
        </w:tc>
        <w:tc>
          <w:tcPr>
            <w:tcW w:w="1540" w:type="dxa"/>
            <w:tcBorders>
              <w:top w:val="nil"/>
              <w:bottom w:val="single" w:sz="36" w:space="0" w:color="000000"/>
            </w:tcBorders>
          </w:tcPr>
          <w:p w14:paraId="0C5F8D50" w14:textId="77777777" w:rsidR="00F51A0B" w:rsidRDefault="00F51A0B" w:rsidP="00F51A0B">
            <w:pPr>
              <w:pStyle w:val="Header"/>
              <w:tabs>
                <w:tab w:val="clear" w:pos="4320"/>
                <w:tab w:val="clear" w:pos="8640"/>
              </w:tabs>
              <w:rPr>
                <w:b/>
                <w:sz w:val="32"/>
                <w:szCs w:val="32"/>
              </w:rPr>
            </w:pPr>
          </w:p>
        </w:tc>
        <w:tc>
          <w:tcPr>
            <w:tcW w:w="3917" w:type="dxa"/>
            <w:gridSpan w:val="2"/>
            <w:tcBorders>
              <w:top w:val="nil"/>
              <w:bottom w:val="single" w:sz="36" w:space="0" w:color="000000"/>
            </w:tcBorders>
          </w:tcPr>
          <w:p w14:paraId="48BCE352" w14:textId="77777777" w:rsidR="00F51A0B" w:rsidRDefault="00F51A0B" w:rsidP="00F51A0B">
            <w:pPr>
              <w:ind w:left="502"/>
            </w:pPr>
            <w:r>
              <w:t>Distr.</w:t>
            </w:r>
          </w:p>
          <w:p w14:paraId="11698F8B" w14:textId="77777777" w:rsidR="00F51A0B" w:rsidRDefault="001A0D89" w:rsidP="00F51A0B">
            <w:pPr>
              <w:ind w:left="502"/>
            </w:pPr>
            <w:r>
              <w:t>GENERAL</w:t>
            </w:r>
          </w:p>
          <w:p w14:paraId="19B4774E" w14:textId="77777777" w:rsidR="00F51A0B" w:rsidRDefault="00F51A0B" w:rsidP="00F51A0B">
            <w:pPr>
              <w:ind w:left="502"/>
            </w:pPr>
          </w:p>
          <w:p w14:paraId="3B519A77" w14:textId="77777777" w:rsidR="00F51A0B" w:rsidRDefault="00E333F5" w:rsidP="001A0D89">
            <w:pPr>
              <w:ind w:left="502"/>
            </w:pPr>
            <w:r>
              <w:t>UNEP/CBD/COP/</w:t>
            </w:r>
            <w:r w:rsidR="001A0D89">
              <w:t>DEC/X/32</w:t>
            </w:r>
          </w:p>
          <w:p w14:paraId="449FAABC" w14:textId="77777777" w:rsidR="00F51A0B" w:rsidRDefault="00F51A0B" w:rsidP="00F51A0B">
            <w:pPr>
              <w:ind w:left="502"/>
            </w:pPr>
            <w:r>
              <w:t>29 October 2010</w:t>
            </w:r>
          </w:p>
          <w:p w14:paraId="3C65D087" w14:textId="77777777" w:rsidR="00F51A0B" w:rsidRDefault="00F51A0B" w:rsidP="00F51A0B">
            <w:pPr>
              <w:ind w:left="502"/>
            </w:pPr>
          </w:p>
          <w:p w14:paraId="28FDA9E7" w14:textId="77777777" w:rsidR="00F51A0B" w:rsidRDefault="00F51A0B" w:rsidP="00F51A0B">
            <w:pPr>
              <w:ind w:left="502"/>
              <w:rPr>
                <w:b/>
                <w:bCs/>
                <w:color w:val="FF0000"/>
                <w:sz w:val="40"/>
                <w:u w:val="single"/>
              </w:rPr>
            </w:pPr>
            <w:r>
              <w:t>ORIGINAL:  ENGLISH</w:t>
            </w:r>
          </w:p>
        </w:tc>
      </w:tr>
    </w:tbl>
    <w:p w14:paraId="12C192FF" w14:textId="77777777" w:rsidR="00F51A0B" w:rsidRDefault="00F51A0B" w:rsidP="00F51A0B">
      <w:pPr>
        <w:pStyle w:val="Cornernotation"/>
        <w:ind w:right="4630"/>
      </w:pPr>
      <w:r>
        <w:rPr>
          <w:szCs w:val="22"/>
        </w:rPr>
        <w:t>CONFERENCE OF THE PARTIES TO THE</w:t>
      </w:r>
      <w:r w:rsidRPr="00B33484">
        <w:rPr>
          <w:szCs w:val="22"/>
        </w:rPr>
        <w:t xml:space="preserve"> CONVENTION ON BIOLOGICAL DIVERSITY</w:t>
      </w:r>
    </w:p>
    <w:p w14:paraId="2731019A" w14:textId="77777777" w:rsidR="00F51A0B" w:rsidRDefault="00F51A0B" w:rsidP="00F51A0B">
      <w:pPr>
        <w:pStyle w:val="Cornernotation"/>
      </w:pPr>
      <w:r>
        <w:t>Tenth meeting</w:t>
      </w:r>
    </w:p>
    <w:p w14:paraId="1E1736EE" w14:textId="77777777" w:rsidR="00F51A0B" w:rsidRDefault="00F51A0B" w:rsidP="00F51A0B">
      <w:pPr>
        <w:pStyle w:val="Cornernotation"/>
      </w:pPr>
      <w:r>
        <w:t>Nagoya, Japan, 18-29 October 2010</w:t>
      </w:r>
    </w:p>
    <w:p w14:paraId="7BA314F6" w14:textId="77777777" w:rsidR="0095026D" w:rsidRDefault="0069760C" w:rsidP="0069760C">
      <w:pPr>
        <w:pStyle w:val="Para1"/>
        <w:numPr>
          <w:ilvl w:val="0"/>
          <w:numId w:val="0"/>
        </w:numPr>
        <w:jc w:val="left"/>
        <w:sectPr w:rsidR="0095026D" w:rsidSect="001A0D89">
          <w:headerReference w:type="even" r:id="rId10"/>
          <w:headerReference w:type="default" r:id="rId11"/>
          <w:footerReference w:type="even" r:id="rId12"/>
          <w:footerReference w:type="default" r:id="rId13"/>
          <w:footerReference w:type="first" r:id="rId14"/>
          <w:pgSz w:w="12240" w:h="15840" w:code="1"/>
          <w:pgMar w:top="567" w:right="1440" w:bottom="1140" w:left="1440" w:header="454" w:footer="720" w:gutter="0"/>
          <w:cols w:space="720"/>
          <w:titlePg/>
          <w:docGrid w:linePitch="360"/>
        </w:sectPr>
      </w:pPr>
      <w:r>
        <w:t xml:space="preserve">Agenda item </w:t>
      </w:r>
      <w:r w:rsidR="009D67C2">
        <w:t>5.5</w:t>
      </w:r>
    </w:p>
    <w:p w14:paraId="3A680CAA" w14:textId="77777777" w:rsidR="001A0D89" w:rsidRPr="00386CBF" w:rsidRDefault="001A0D89" w:rsidP="001A0D89">
      <w:pPr>
        <w:pStyle w:val="Heading1"/>
        <w:rPr>
          <w:szCs w:val="22"/>
        </w:rPr>
      </w:pPr>
      <w:bookmarkStart w:id="0" w:name="_Ref41991441"/>
      <w:r w:rsidRPr="00386CBF">
        <w:rPr>
          <w:szCs w:val="22"/>
        </w:rPr>
        <w:t>DECISION ADOPTED BY THE CONFERENCE OF THE PARTIES TO THE CONVENTION ON BIOLOGICAL DIVERSITY AT ITS TENTH MEETING</w:t>
      </w:r>
    </w:p>
    <w:p w14:paraId="44BAB3CB" w14:textId="77777777" w:rsidR="001A0D89" w:rsidRPr="00517A3B" w:rsidRDefault="001A0D89" w:rsidP="001A0D89">
      <w:pPr>
        <w:pStyle w:val="Dec-titleoneline"/>
      </w:pPr>
      <w:r w:rsidRPr="00517A3B">
        <w:t>X/32.</w:t>
      </w:r>
      <w:r w:rsidRPr="00517A3B">
        <w:tab/>
        <w:t>Sustainable use of biodiversity</w:t>
      </w:r>
    </w:p>
    <w:p w14:paraId="49904B03" w14:textId="77777777" w:rsidR="001A0D89" w:rsidRPr="00517A3B" w:rsidRDefault="001A0D89" w:rsidP="001A0D89">
      <w:pPr>
        <w:pStyle w:val="Para1"/>
        <w:numPr>
          <w:ilvl w:val="0"/>
          <w:numId w:val="0"/>
        </w:numPr>
        <w:rPr>
          <w:rFonts w:ascii="Arial" w:hAnsi="Arial"/>
          <w:i/>
          <w:iCs/>
          <w:color w:val="000000"/>
          <w:sz w:val="20"/>
        </w:rPr>
      </w:pPr>
      <w:r w:rsidRPr="00517A3B">
        <w:tab/>
      </w:r>
      <w:r w:rsidRPr="00517A3B">
        <w:rPr>
          <w:i/>
          <w:iCs/>
        </w:rPr>
        <w:t>The Conference of the Parties,</w:t>
      </w:r>
    </w:p>
    <w:p w14:paraId="3F9A8AE1" w14:textId="77777777" w:rsidR="001A0D89" w:rsidRPr="00517A3B" w:rsidRDefault="001A0D89" w:rsidP="001A0D89">
      <w:pPr>
        <w:pStyle w:val="Para1"/>
        <w:numPr>
          <w:ilvl w:val="0"/>
          <w:numId w:val="0"/>
        </w:numPr>
        <w:ind w:firstLine="660"/>
      </w:pPr>
      <w:r w:rsidRPr="00517A3B">
        <w:t>1.</w:t>
      </w:r>
      <w:r w:rsidRPr="00517A3B">
        <w:tab/>
      </w:r>
      <w:r w:rsidRPr="00517A3B">
        <w:rPr>
          <w:i/>
        </w:rPr>
        <w:t xml:space="preserve">Takes note </w:t>
      </w:r>
      <w:r w:rsidRPr="00517A3B">
        <w:t xml:space="preserve">of the recommendations of the Liaison Group on Bushmeat </w:t>
      </w:r>
      <w:r w:rsidRPr="00517A3B">
        <w:rPr>
          <w:szCs w:val="22"/>
        </w:rPr>
        <w:t>for the conservation and sustainable use of bushmeat</w:t>
      </w:r>
      <w:r w:rsidRPr="00517A3B">
        <w:t>, as annexed to the note by the Executive Secretary on review of implementation of Article 10 of the Convention (sustainable use of biodiversity and application of the Addis Ababa Principles and Guidelines prepared for the fourteenth meeting of the Subsidiary Body on Scientific, Technical and Technological Advice;</w:t>
      </w:r>
      <w:r w:rsidRPr="001A0D89">
        <w:rPr>
          <w:rStyle w:val="FootnoteReference"/>
          <w:snapToGrid/>
          <w:sz w:val="22"/>
          <w:szCs w:val="22"/>
          <w:u w:val="none"/>
          <w:vertAlign w:val="superscript"/>
        </w:rPr>
        <w:footnoteReference w:id="1"/>
      </w:r>
      <w:r w:rsidRPr="00517A3B">
        <w:t xml:space="preserve">  </w:t>
      </w:r>
    </w:p>
    <w:p w14:paraId="26CEBCF2" w14:textId="77777777" w:rsidR="001A0D89" w:rsidRPr="00517A3B" w:rsidRDefault="001A0D89" w:rsidP="001A0D89">
      <w:pPr>
        <w:pStyle w:val="Para1"/>
        <w:numPr>
          <w:ilvl w:val="0"/>
          <w:numId w:val="0"/>
        </w:numPr>
        <w:ind w:left="660"/>
        <w:rPr>
          <w:i/>
          <w:iCs/>
          <w:szCs w:val="22"/>
        </w:rPr>
      </w:pPr>
      <w:r w:rsidRPr="00517A3B">
        <w:rPr>
          <w:iCs/>
          <w:szCs w:val="22"/>
        </w:rPr>
        <w:t>2.</w:t>
      </w:r>
      <w:r w:rsidRPr="00517A3B">
        <w:rPr>
          <w:iCs/>
          <w:szCs w:val="22"/>
        </w:rPr>
        <w:tab/>
      </w:r>
      <w:r w:rsidRPr="00517A3B">
        <w:rPr>
          <w:i/>
          <w:iCs/>
          <w:szCs w:val="22"/>
        </w:rPr>
        <w:t xml:space="preserve">Invites </w:t>
      </w:r>
      <w:r w:rsidRPr="00517A3B">
        <w:rPr>
          <w:iCs/>
          <w:szCs w:val="22"/>
        </w:rPr>
        <w:t>Parties and other Governments to:</w:t>
      </w:r>
      <w:r w:rsidRPr="00517A3B">
        <w:rPr>
          <w:i/>
          <w:iCs/>
          <w:szCs w:val="22"/>
        </w:rPr>
        <w:t xml:space="preserve"> </w:t>
      </w:r>
    </w:p>
    <w:p w14:paraId="64335645" w14:textId="77777777" w:rsidR="001A0D89" w:rsidRPr="00517A3B" w:rsidRDefault="001A0D89" w:rsidP="001A0D89">
      <w:pPr>
        <w:pStyle w:val="Para1"/>
        <w:numPr>
          <w:ilvl w:val="0"/>
          <w:numId w:val="0"/>
        </w:numPr>
        <w:tabs>
          <w:tab w:val="left" w:pos="1418"/>
        </w:tabs>
        <w:ind w:firstLine="660"/>
        <w:rPr>
          <w:szCs w:val="22"/>
          <w:lang w:bidi="th-TH"/>
        </w:rPr>
      </w:pPr>
      <w:r w:rsidRPr="00517A3B">
        <w:rPr>
          <w:szCs w:val="22"/>
          <w:lang w:bidi="th-TH"/>
        </w:rPr>
        <w:t>(a)</w:t>
      </w:r>
      <w:r w:rsidRPr="00517A3B">
        <w:rPr>
          <w:szCs w:val="22"/>
          <w:lang w:bidi="th-TH"/>
        </w:rPr>
        <w:tab/>
        <w:t>Implement the recommendations of the Liaison Group on Bushmeat for the conse</w:t>
      </w:r>
      <w:r w:rsidRPr="00517A3B">
        <w:rPr>
          <w:szCs w:val="22"/>
          <w:lang w:bidi="th-TH"/>
        </w:rPr>
        <w:t>r</w:t>
      </w:r>
      <w:r w:rsidRPr="00517A3B">
        <w:rPr>
          <w:szCs w:val="22"/>
          <w:lang w:bidi="th-TH"/>
        </w:rPr>
        <w:t xml:space="preserve">vation and sustainable use of bushmeat, where appropriate, </w:t>
      </w:r>
      <w:r w:rsidRPr="00517A3B">
        <w:rPr>
          <w:szCs w:val="22"/>
        </w:rPr>
        <w:t>while taking into consideration Article 10 (c) as related to customary sustainable hunting practices for the livelihoods of indigenous and local comm</w:t>
      </w:r>
      <w:r w:rsidRPr="00517A3B">
        <w:rPr>
          <w:szCs w:val="22"/>
        </w:rPr>
        <w:t>u</w:t>
      </w:r>
      <w:r w:rsidRPr="00517A3B">
        <w:rPr>
          <w:szCs w:val="22"/>
        </w:rPr>
        <w:t>nities</w:t>
      </w:r>
      <w:r w:rsidRPr="00517A3B">
        <w:rPr>
          <w:szCs w:val="22"/>
          <w:lang w:bidi="th-TH"/>
        </w:rPr>
        <w:t xml:space="preserve">; </w:t>
      </w:r>
    </w:p>
    <w:p w14:paraId="20818469" w14:textId="77777777" w:rsidR="001A0D89" w:rsidRPr="00517A3B" w:rsidRDefault="001A0D89" w:rsidP="001A0D89">
      <w:pPr>
        <w:pStyle w:val="Para1"/>
        <w:numPr>
          <w:ilvl w:val="0"/>
          <w:numId w:val="0"/>
        </w:numPr>
        <w:tabs>
          <w:tab w:val="left" w:pos="1418"/>
        </w:tabs>
        <w:ind w:firstLine="660"/>
        <w:rPr>
          <w:szCs w:val="22"/>
          <w:lang w:bidi="th-TH"/>
        </w:rPr>
      </w:pPr>
      <w:r w:rsidRPr="00517A3B">
        <w:rPr>
          <w:lang w:bidi="th-TH"/>
        </w:rPr>
        <w:t>(b)</w:t>
      </w:r>
      <w:r w:rsidRPr="00517A3B">
        <w:rPr>
          <w:lang w:bidi="th-TH"/>
        </w:rPr>
        <w:tab/>
        <w:t>Further integrate the values of biodiversity and ecosystem services into national policies, plans, and strategies for relevant economic sectors, for example through the Addis Ababa Principles and Guidelines</w:t>
      </w:r>
      <w:r>
        <w:rPr>
          <w:lang w:bidi="th-TH"/>
        </w:rPr>
        <w:t xml:space="preserve"> for the Sustainable Use of Biodiversity</w:t>
      </w:r>
      <w:r w:rsidRPr="00517A3B">
        <w:rPr>
          <w:lang w:bidi="th-TH"/>
        </w:rPr>
        <w:t>,</w:t>
      </w:r>
      <w:r w:rsidRPr="001A0D89">
        <w:rPr>
          <w:rStyle w:val="FootnoteReference"/>
          <w:u w:val="none"/>
          <w:lang w:bidi="th-TH"/>
        </w:rPr>
        <w:t xml:space="preserve"> </w:t>
      </w:r>
      <w:r w:rsidRPr="001A0D89">
        <w:rPr>
          <w:rStyle w:val="FootnoteReference"/>
          <w:snapToGrid/>
          <w:sz w:val="22"/>
          <w:szCs w:val="22"/>
          <w:u w:val="none"/>
          <w:vertAlign w:val="superscript"/>
        </w:rPr>
        <w:footnoteReference w:id="2"/>
      </w:r>
      <w:r w:rsidRPr="00517A3B">
        <w:rPr>
          <w:lang w:bidi="th-TH"/>
        </w:rPr>
        <w:t xml:space="preserve"> in order to promote su</w:t>
      </w:r>
      <w:r w:rsidRPr="00517A3B">
        <w:rPr>
          <w:lang w:bidi="th-TH"/>
        </w:rPr>
        <w:t>s</w:t>
      </w:r>
      <w:r w:rsidRPr="00517A3B">
        <w:rPr>
          <w:lang w:bidi="th-TH"/>
        </w:rPr>
        <w:t xml:space="preserve">tainable use of components of biodiversity, and strengthen the implementation of existing plans; </w:t>
      </w:r>
    </w:p>
    <w:p w14:paraId="23C186D7" w14:textId="77777777" w:rsidR="001A0D89" w:rsidRPr="00517A3B" w:rsidRDefault="001A0D89" w:rsidP="001A0D89">
      <w:pPr>
        <w:pStyle w:val="Para1"/>
        <w:numPr>
          <w:ilvl w:val="0"/>
          <w:numId w:val="0"/>
        </w:numPr>
        <w:tabs>
          <w:tab w:val="left" w:pos="1418"/>
        </w:tabs>
        <w:ind w:firstLine="660"/>
        <w:rPr>
          <w:szCs w:val="22"/>
          <w:lang w:bidi="th-TH"/>
        </w:rPr>
      </w:pPr>
      <w:r w:rsidRPr="00517A3B">
        <w:rPr>
          <w:szCs w:val="22"/>
          <w:lang w:bidi="th-TH"/>
        </w:rPr>
        <w:t>(c)</w:t>
      </w:r>
      <w:r w:rsidRPr="00517A3B">
        <w:rPr>
          <w:szCs w:val="22"/>
          <w:lang w:bidi="th-TH"/>
        </w:rPr>
        <w:tab/>
        <w:t>Develop or further improve criteria, indicators and other relevant monitoring schemes and assessments on the sustainable use of bi</w:t>
      </w:r>
      <w:r w:rsidRPr="00517A3B">
        <w:rPr>
          <w:szCs w:val="22"/>
          <w:lang w:bidi="th-TH"/>
        </w:rPr>
        <w:t>o</w:t>
      </w:r>
      <w:r w:rsidRPr="00517A3B">
        <w:rPr>
          <w:szCs w:val="22"/>
          <w:lang w:bidi="th-TH"/>
        </w:rPr>
        <w:t>diversity, as appropriate; and identify and utilize targets and indicators at the national level that contribute to the relevant targets and indic</w:t>
      </w:r>
      <w:r w:rsidRPr="00517A3B">
        <w:rPr>
          <w:szCs w:val="22"/>
          <w:lang w:bidi="th-TH"/>
        </w:rPr>
        <w:t>a</w:t>
      </w:r>
      <w:r w:rsidRPr="00517A3B">
        <w:rPr>
          <w:szCs w:val="22"/>
          <w:lang w:bidi="th-TH"/>
        </w:rPr>
        <w:t xml:space="preserve">tors of the Strategic Plan for Biodiversity 2011-2020; </w:t>
      </w:r>
    </w:p>
    <w:p w14:paraId="525E9FA6" w14:textId="77777777" w:rsidR="001A0D89" w:rsidRPr="00517A3B" w:rsidRDefault="001A0D89" w:rsidP="001A0D89">
      <w:pPr>
        <w:pStyle w:val="Para1"/>
        <w:numPr>
          <w:ilvl w:val="0"/>
          <w:numId w:val="0"/>
        </w:numPr>
        <w:tabs>
          <w:tab w:val="left" w:pos="1418"/>
        </w:tabs>
        <w:ind w:firstLine="660"/>
      </w:pPr>
      <w:r w:rsidRPr="00517A3B">
        <w:rPr>
          <w:szCs w:val="22"/>
          <w:lang w:bidi="th-TH"/>
        </w:rPr>
        <w:t>(d)</w:t>
      </w:r>
      <w:r w:rsidRPr="00517A3B" w:rsidDel="00D43D47">
        <w:rPr>
          <w:szCs w:val="22"/>
          <w:lang w:bidi="th-TH"/>
        </w:rPr>
        <w:t xml:space="preserve"> </w:t>
      </w:r>
      <w:r w:rsidRPr="00517A3B">
        <w:rPr>
          <w:lang w:bidi="th-TH"/>
        </w:rPr>
        <w:tab/>
        <w:t>Increase human and financial capacity as appropriate for the application of the Addis Ababa Principles and Guidelines and other provisions of the Conve</w:t>
      </w:r>
      <w:r w:rsidRPr="00517A3B">
        <w:rPr>
          <w:lang w:bidi="th-TH"/>
        </w:rPr>
        <w:t>n</w:t>
      </w:r>
      <w:r w:rsidRPr="00517A3B">
        <w:rPr>
          <w:lang w:bidi="th-TH"/>
        </w:rPr>
        <w:t xml:space="preserve">tion related to sustainable use of biodiversity, </w:t>
      </w:r>
      <w:r w:rsidRPr="00517A3B">
        <w:rPr>
          <w:i/>
          <w:lang w:bidi="th-TH"/>
        </w:rPr>
        <w:t>inter alia</w:t>
      </w:r>
      <w:r w:rsidRPr="00517A3B">
        <w:rPr>
          <w:lang w:bidi="th-TH"/>
        </w:rPr>
        <w:t>, by establishing and enforcing management plans; enhancing cross-sectoral integration and coordination; improving the operationaliz</w:t>
      </w:r>
      <w:r w:rsidRPr="00517A3B">
        <w:rPr>
          <w:lang w:bidi="th-TH"/>
        </w:rPr>
        <w:t>a</w:t>
      </w:r>
      <w:r w:rsidRPr="00517A3B">
        <w:rPr>
          <w:lang w:bidi="th-TH"/>
        </w:rPr>
        <w:t xml:space="preserve">tion of the definition of sustainable use; </w:t>
      </w:r>
      <w:r w:rsidRPr="00517A3B">
        <w:rPr>
          <w:lang w:bidi="th-TH"/>
        </w:rPr>
        <w:lastRenderedPageBreak/>
        <w:t>improving the understanding and implementation of concepts of adaptive manag</w:t>
      </w:r>
      <w:r w:rsidRPr="00517A3B">
        <w:rPr>
          <w:lang w:bidi="th-TH"/>
        </w:rPr>
        <w:t>e</w:t>
      </w:r>
      <w:r w:rsidRPr="00517A3B">
        <w:rPr>
          <w:lang w:bidi="th-TH"/>
        </w:rPr>
        <w:t xml:space="preserve">ment; and combating unsustainable and unauthorized activities; </w:t>
      </w:r>
    </w:p>
    <w:p w14:paraId="131F9054" w14:textId="77777777" w:rsidR="001A0D89" w:rsidRPr="00517A3B" w:rsidRDefault="001A0D89" w:rsidP="001A0D89">
      <w:pPr>
        <w:pStyle w:val="Para1"/>
        <w:numPr>
          <w:ilvl w:val="0"/>
          <w:numId w:val="0"/>
        </w:numPr>
        <w:tabs>
          <w:tab w:val="left" w:pos="1418"/>
        </w:tabs>
        <w:ind w:firstLine="660"/>
      </w:pPr>
      <w:r w:rsidRPr="00517A3B">
        <w:rPr>
          <w:szCs w:val="22"/>
          <w:lang w:bidi="th-TH"/>
        </w:rPr>
        <w:t>(e)</w:t>
      </w:r>
      <w:r w:rsidRPr="00517A3B">
        <w:rPr>
          <w:szCs w:val="22"/>
          <w:lang w:bidi="th-TH"/>
        </w:rPr>
        <w:tab/>
        <w:t>Address obstacles and devise solutions to protect and encourage customary sustainable use of biodiversity by indigenous and local communities, for example by incorporating customary sustainable use of biological diversity by indigenous and local communities into national biodiversity strategies, policies, and actions plans, with the full and effective participation of indigenous and local communities in decision</w:t>
      </w:r>
      <w:r w:rsidRPr="00517A3B">
        <w:rPr>
          <w:szCs w:val="22"/>
          <w:lang w:bidi="th-TH"/>
        </w:rPr>
        <w:noBreakHyphen/>
        <w:t>making and management of biological resources;</w:t>
      </w:r>
      <w:r w:rsidRPr="00517A3B" w:rsidDel="00707713">
        <w:rPr>
          <w:szCs w:val="22"/>
          <w:lang w:bidi="th-TH"/>
        </w:rPr>
        <w:t xml:space="preserve"> </w:t>
      </w:r>
    </w:p>
    <w:p w14:paraId="3CF0A502" w14:textId="77777777" w:rsidR="001A0D89" w:rsidRPr="00517A3B" w:rsidRDefault="001A0D89" w:rsidP="001A0D89">
      <w:pPr>
        <w:pStyle w:val="Para1"/>
        <w:numPr>
          <w:ilvl w:val="0"/>
          <w:numId w:val="0"/>
        </w:numPr>
        <w:tabs>
          <w:tab w:val="left" w:pos="1418"/>
        </w:tabs>
        <w:ind w:firstLine="660"/>
      </w:pPr>
      <w:r w:rsidRPr="00517A3B">
        <w:t xml:space="preserve">(f) </w:t>
      </w:r>
      <w:r w:rsidRPr="00517A3B">
        <w:tab/>
      </w:r>
      <w:r w:rsidRPr="00517A3B">
        <w:rPr>
          <w:rFonts w:eastAsia="MS Gothic"/>
          <w:bCs/>
          <w:color w:val="000000"/>
        </w:rPr>
        <w:t>Recognize the value of human-influenced natural environments, such as farmlands and secondary forests, including those that have been created and maintained by indigenous and local communities, and promote efforts in such areas that contribute to the achievement of all objectives of the Convention, in particular the sustainable use and conservation of biodiversity and traditional knowledge;</w:t>
      </w:r>
    </w:p>
    <w:p w14:paraId="76F703EE" w14:textId="77777777" w:rsidR="001A0D89" w:rsidRPr="00517A3B" w:rsidRDefault="001A0D89" w:rsidP="001A0D89">
      <w:pPr>
        <w:pStyle w:val="Para1"/>
        <w:numPr>
          <w:ilvl w:val="0"/>
          <w:numId w:val="0"/>
        </w:numPr>
        <w:tabs>
          <w:tab w:val="left" w:pos="1418"/>
        </w:tabs>
        <w:ind w:firstLine="660"/>
        <w:rPr>
          <w:szCs w:val="22"/>
          <w:lang w:bidi="th-TH"/>
        </w:rPr>
      </w:pPr>
      <w:r w:rsidRPr="00517A3B">
        <w:rPr>
          <w:szCs w:val="22"/>
          <w:lang w:bidi="th-TH"/>
        </w:rPr>
        <w:t>(</w:t>
      </w:r>
      <w:r w:rsidRPr="00517A3B">
        <w:rPr>
          <w:szCs w:val="22"/>
          <w:u w:val="single"/>
          <w:lang w:bidi="th-TH"/>
        </w:rPr>
        <w:t>g</w:t>
      </w:r>
      <w:r w:rsidRPr="00517A3B">
        <w:rPr>
          <w:szCs w:val="22"/>
          <w:lang w:bidi="th-TH"/>
        </w:rPr>
        <w:t>)</w:t>
      </w:r>
      <w:r w:rsidRPr="00517A3B">
        <w:rPr>
          <w:szCs w:val="22"/>
          <w:lang w:bidi="th-TH"/>
        </w:rPr>
        <w:tab/>
        <w:t>Where appropriate, review, revise and update national biodiversity strategies and action plans, taking into account the Strategic Plan for Biodiversity 2011-2020, to further coordinate at the national level and engage di</w:t>
      </w:r>
      <w:r w:rsidRPr="00517A3B">
        <w:rPr>
          <w:szCs w:val="22"/>
          <w:lang w:bidi="th-TH"/>
        </w:rPr>
        <w:t>f</w:t>
      </w:r>
      <w:r w:rsidRPr="00517A3B">
        <w:rPr>
          <w:szCs w:val="22"/>
          <w:lang w:bidi="th-TH"/>
        </w:rPr>
        <w:t xml:space="preserve">ferent sectors (including, </w:t>
      </w:r>
      <w:r w:rsidRPr="00517A3B">
        <w:rPr>
          <w:i/>
          <w:szCs w:val="22"/>
          <w:lang w:bidi="th-TH"/>
        </w:rPr>
        <w:t>inter alia</w:t>
      </w:r>
      <w:r w:rsidRPr="00517A3B">
        <w:rPr>
          <w:szCs w:val="22"/>
          <w:lang w:bidi="th-TH"/>
        </w:rPr>
        <w:t>, energy, the financial sector,</w:t>
      </w:r>
      <w:r w:rsidRPr="00517A3B">
        <w:rPr>
          <w:i/>
          <w:szCs w:val="22"/>
          <w:lang w:bidi="th-TH"/>
        </w:rPr>
        <w:t xml:space="preserve"> </w:t>
      </w:r>
      <w:r w:rsidRPr="00517A3B">
        <w:rPr>
          <w:szCs w:val="22"/>
          <w:lang w:bidi="th-TH"/>
        </w:rPr>
        <w:t>forestry, wildlife management, fisheries, water supply, agr</w:t>
      </w:r>
      <w:r w:rsidRPr="00517A3B">
        <w:rPr>
          <w:szCs w:val="22"/>
          <w:lang w:bidi="th-TH"/>
        </w:rPr>
        <w:t>i</w:t>
      </w:r>
      <w:r w:rsidRPr="00517A3B">
        <w:rPr>
          <w:szCs w:val="22"/>
          <w:lang w:bidi="th-TH"/>
        </w:rPr>
        <w:t>culture, disaster prevention, health, and climate change) to fully account for the value of biod</w:t>
      </w:r>
      <w:r w:rsidRPr="00517A3B">
        <w:rPr>
          <w:szCs w:val="22"/>
          <w:lang w:bidi="th-TH"/>
        </w:rPr>
        <w:t>i</w:t>
      </w:r>
      <w:r w:rsidRPr="00517A3B">
        <w:rPr>
          <w:szCs w:val="22"/>
          <w:lang w:bidi="th-TH"/>
        </w:rPr>
        <w:t xml:space="preserve">versity and ecosystem services in decision-making; </w:t>
      </w:r>
    </w:p>
    <w:p w14:paraId="7D5EC93A" w14:textId="77777777" w:rsidR="001A0D89" w:rsidRPr="00517A3B" w:rsidRDefault="001A0D89" w:rsidP="001A0D89">
      <w:pPr>
        <w:pStyle w:val="Para1"/>
        <w:numPr>
          <w:ilvl w:val="0"/>
          <w:numId w:val="0"/>
        </w:numPr>
        <w:tabs>
          <w:tab w:val="left" w:pos="660"/>
        </w:tabs>
        <w:ind w:firstLine="660"/>
        <w:rPr>
          <w:szCs w:val="22"/>
          <w:lang w:bidi="th-TH"/>
        </w:rPr>
      </w:pPr>
      <w:r w:rsidRPr="00517A3B" w:rsidDel="00051CEF">
        <w:rPr>
          <w:szCs w:val="22"/>
          <w:lang w:bidi="th-TH"/>
        </w:rPr>
        <w:t xml:space="preserve"> </w:t>
      </w:r>
      <w:r w:rsidRPr="00517A3B">
        <w:rPr>
          <w:szCs w:val="22"/>
          <w:lang w:bidi="th-TH"/>
        </w:rPr>
        <w:t xml:space="preserve">(h) </w:t>
      </w:r>
      <w:r w:rsidRPr="00517A3B">
        <w:rPr>
          <w:szCs w:val="22"/>
          <w:lang w:bidi="th-TH"/>
        </w:rPr>
        <w:tab/>
        <w:t>With reference to the programme of work on incentive measures (decisions V/15 and IX/6 as well as related decisions of the Conference of the Parties) and national biodiversity strategies and action plans, review and revise, and update where appropriate, national incentive mea</w:t>
      </w:r>
      <w:r w:rsidRPr="00517A3B">
        <w:rPr>
          <w:szCs w:val="22"/>
          <w:lang w:bidi="th-TH"/>
        </w:rPr>
        <w:t>s</w:t>
      </w:r>
      <w:r w:rsidRPr="00517A3B">
        <w:rPr>
          <w:szCs w:val="22"/>
          <w:lang w:bidi="th-TH"/>
        </w:rPr>
        <w:t xml:space="preserve">ures and frameworks with a view to: </w:t>
      </w:r>
      <w:r w:rsidRPr="00517A3B">
        <w:rPr>
          <w:szCs w:val="22"/>
        </w:rPr>
        <w:t xml:space="preserve">mainstreaming the sustainable use of biodiversity into production, private and financial sectors; and </w:t>
      </w:r>
      <w:r w:rsidRPr="00517A3B">
        <w:rPr>
          <w:szCs w:val="22"/>
          <w:lang w:bidi="th-TH"/>
        </w:rPr>
        <w:t xml:space="preserve">identifying and removing or mitigating incentives that are harmful to biodiversity. The strengthened existing incentives, as well as new incentives, should be consistent and in harmony with the three objectives of the Convention and other relevant international obligations; </w:t>
      </w:r>
    </w:p>
    <w:p w14:paraId="385ABB5E" w14:textId="77777777" w:rsidR="001A0D89" w:rsidRPr="00517A3B" w:rsidRDefault="001A0D89" w:rsidP="001A0D89">
      <w:pPr>
        <w:pStyle w:val="Para1"/>
        <w:numPr>
          <w:ilvl w:val="0"/>
          <w:numId w:val="0"/>
        </w:numPr>
        <w:tabs>
          <w:tab w:val="left" w:pos="660"/>
        </w:tabs>
        <w:rPr>
          <w:szCs w:val="22"/>
          <w:lang w:bidi="th-TH"/>
        </w:rPr>
      </w:pPr>
      <w:r w:rsidRPr="00517A3B">
        <w:rPr>
          <w:sz w:val="28"/>
          <w:szCs w:val="28"/>
        </w:rPr>
        <w:t xml:space="preserve"> </w:t>
      </w:r>
      <w:r w:rsidRPr="00517A3B">
        <w:rPr>
          <w:sz w:val="28"/>
          <w:szCs w:val="28"/>
        </w:rPr>
        <w:tab/>
      </w:r>
      <w:r w:rsidRPr="00517A3B">
        <w:rPr>
          <w:szCs w:val="22"/>
          <w:lang w:bidi="th-TH"/>
        </w:rPr>
        <w:t>(</w:t>
      </w:r>
      <w:r w:rsidRPr="00517A3B">
        <w:rPr>
          <w:szCs w:val="22"/>
          <w:u w:val="single"/>
          <w:lang w:bidi="th-TH"/>
        </w:rPr>
        <w:t>i</w:t>
      </w:r>
      <w:r w:rsidRPr="00517A3B">
        <w:rPr>
          <w:szCs w:val="22"/>
          <w:lang w:bidi="th-TH"/>
        </w:rPr>
        <w:t>)</w:t>
      </w:r>
      <w:r w:rsidRPr="00517A3B">
        <w:rPr>
          <w:szCs w:val="22"/>
          <w:lang w:bidi="th-TH"/>
        </w:rPr>
        <w:tab/>
        <w:t xml:space="preserve">Encourage, </w:t>
      </w:r>
      <w:r w:rsidRPr="00517A3B">
        <w:rPr>
          <w:i/>
          <w:szCs w:val="22"/>
          <w:lang w:bidi="th-TH"/>
        </w:rPr>
        <w:t>inter alia</w:t>
      </w:r>
      <w:r w:rsidRPr="00517A3B">
        <w:rPr>
          <w:szCs w:val="22"/>
          <w:lang w:bidi="th-TH"/>
        </w:rPr>
        <w:t>, the application of the “polluter-pays principle”, and effective market-based instruments that have the potential to support the sustainable use of biodiversity and improve the sustainability of supply chains, such as voluntary certification schemes, responsible consumption practices, green procurement by public administrations, improving chain-of-custody, including traceability of commodities derived from biodiversity, and other authentication schemes including markers identifying products of indigenous and local communities, consistent and in harmony with the three objectives of the Convention and other relevant international obligations;</w:t>
      </w:r>
    </w:p>
    <w:p w14:paraId="0BD2E463" w14:textId="77777777" w:rsidR="001A0D89" w:rsidRPr="00517A3B" w:rsidRDefault="001A0D89" w:rsidP="001A0D89">
      <w:pPr>
        <w:pStyle w:val="Para1"/>
        <w:numPr>
          <w:ilvl w:val="0"/>
          <w:numId w:val="0"/>
        </w:numPr>
        <w:tabs>
          <w:tab w:val="left" w:pos="660"/>
        </w:tabs>
        <w:rPr>
          <w:szCs w:val="22"/>
        </w:rPr>
      </w:pPr>
      <w:r w:rsidRPr="00517A3B">
        <w:rPr>
          <w:szCs w:val="22"/>
          <w:lang w:bidi="th-TH"/>
        </w:rPr>
        <w:tab/>
        <w:t>(j)</w:t>
      </w:r>
      <w:r w:rsidRPr="00517A3B">
        <w:rPr>
          <w:szCs w:val="22"/>
          <w:lang w:bidi="th-TH"/>
        </w:rPr>
        <w:tab/>
        <w:t>Support the implementation of pilot projects on the sustainable use of biodiversity, taking into account the ecosystem approach, with the objective of generating successful management models that take into account conservation of biodiversity at large scales;</w:t>
      </w:r>
    </w:p>
    <w:p w14:paraId="34905846" w14:textId="77777777" w:rsidR="001A0D89" w:rsidRPr="00517A3B" w:rsidRDefault="001A0D89" w:rsidP="001A0D89">
      <w:pPr>
        <w:pStyle w:val="Para1"/>
        <w:numPr>
          <w:ilvl w:val="0"/>
          <w:numId w:val="0"/>
        </w:numPr>
        <w:ind w:left="660"/>
        <w:rPr>
          <w:szCs w:val="22"/>
          <w:lang w:bidi="th-TH"/>
        </w:rPr>
      </w:pPr>
      <w:r w:rsidRPr="00517A3B">
        <w:rPr>
          <w:szCs w:val="22"/>
          <w:lang w:bidi="th-TH"/>
        </w:rPr>
        <w:t>3.</w:t>
      </w:r>
      <w:r w:rsidRPr="00517A3B">
        <w:rPr>
          <w:szCs w:val="22"/>
          <w:lang w:bidi="th-TH"/>
        </w:rPr>
        <w:tab/>
      </w:r>
      <w:r w:rsidRPr="00517A3B">
        <w:rPr>
          <w:i/>
          <w:szCs w:val="22"/>
          <w:lang w:bidi="th-TH"/>
        </w:rPr>
        <w:t xml:space="preserve">Invites </w:t>
      </w:r>
      <w:r w:rsidRPr="00517A3B">
        <w:rPr>
          <w:iCs/>
          <w:szCs w:val="22"/>
        </w:rPr>
        <w:t>Parties, other Governments, and relevant international and other organizations to</w:t>
      </w:r>
      <w:r w:rsidRPr="00517A3B">
        <w:rPr>
          <w:szCs w:val="22"/>
          <w:lang w:bidi="th-TH"/>
        </w:rPr>
        <w:t xml:space="preserve">: </w:t>
      </w:r>
    </w:p>
    <w:p w14:paraId="209732A6" w14:textId="77777777" w:rsidR="001A0D89" w:rsidRPr="00517A3B" w:rsidRDefault="001A0D89" w:rsidP="001A0D89">
      <w:pPr>
        <w:pStyle w:val="Para1"/>
        <w:numPr>
          <w:ilvl w:val="0"/>
          <w:numId w:val="0"/>
        </w:numPr>
        <w:ind w:firstLine="660"/>
        <w:rPr>
          <w:szCs w:val="22"/>
          <w:lang w:bidi="th-TH"/>
        </w:rPr>
      </w:pPr>
      <w:r w:rsidRPr="00517A3B">
        <w:rPr>
          <w:szCs w:val="22"/>
          <w:lang w:bidi="th-TH"/>
        </w:rPr>
        <w:t>(a)</w:t>
      </w:r>
      <w:r w:rsidRPr="00517A3B">
        <w:rPr>
          <w:szCs w:val="22"/>
          <w:lang w:bidi="th-TH"/>
        </w:rPr>
        <w:tab/>
        <w:t>Make</w:t>
      </w:r>
      <w:r w:rsidRPr="00517A3B">
        <w:t xml:space="preserve"> use of the LifeWeb initiative as a clearing-house for financing protected areas, as appropriate;</w:t>
      </w:r>
    </w:p>
    <w:p w14:paraId="637ECD24" w14:textId="77777777" w:rsidR="001A0D89" w:rsidRPr="00517A3B" w:rsidRDefault="001A0D89" w:rsidP="001A0D89">
      <w:pPr>
        <w:pStyle w:val="Para1"/>
        <w:numPr>
          <w:ilvl w:val="0"/>
          <w:numId w:val="0"/>
        </w:numPr>
        <w:ind w:firstLine="660"/>
        <w:rPr>
          <w:szCs w:val="22"/>
          <w:lang w:bidi="th-TH"/>
        </w:rPr>
      </w:pPr>
      <w:r w:rsidRPr="00517A3B">
        <w:rPr>
          <w:szCs w:val="22"/>
          <w:lang w:bidi="th-TH"/>
        </w:rPr>
        <w:t>(b)</w:t>
      </w:r>
      <w:r w:rsidRPr="00517A3B">
        <w:rPr>
          <w:szCs w:val="22"/>
          <w:lang w:bidi="th-TH"/>
        </w:rPr>
        <w:tab/>
        <w:t>Promote the Business and Biodiversity Initiative as a means to further integrate sustainable use of biodiversity in the private sector;</w:t>
      </w:r>
    </w:p>
    <w:p w14:paraId="1290B8D2" w14:textId="77777777" w:rsidR="001A0D89" w:rsidRPr="00517A3B" w:rsidRDefault="001A0D89" w:rsidP="001A0D89">
      <w:pPr>
        <w:pStyle w:val="Para1"/>
        <w:numPr>
          <w:ilvl w:val="0"/>
          <w:numId w:val="0"/>
        </w:numPr>
        <w:ind w:firstLine="660"/>
        <w:rPr>
          <w:szCs w:val="22"/>
          <w:lang w:bidi="th-TH"/>
        </w:rPr>
      </w:pPr>
      <w:r w:rsidRPr="00517A3B">
        <w:rPr>
          <w:szCs w:val="22"/>
          <w:lang w:bidi="th-TH"/>
        </w:rPr>
        <w:t>(c)</w:t>
      </w:r>
      <w:r w:rsidRPr="00517A3B">
        <w:rPr>
          <w:szCs w:val="22"/>
          <w:lang w:bidi="th-TH"/>
        </w:rPr>
        <w:tab/>
        <w:t xml:space="preserve">Encourage the private sector to adopt and apply the </w:t>
      </w:r>
      <w:r w:rsidRPr="00517A3B">
        <w:rPr>
          <w:lang w:bidi="th-TH"/>
        </w:rPr>
        <w:t xml:space="preserve">Addis Ababa Principles and Guidelines </w:t>
      </w:r>
      <w:r w:rsidRPr="00517A3B">
        <w:rPr>
          <w:szCs w:val="22"/>
          <w:lang w:bidi="th-TH"/>
        </w:rPr>
        <w:t xml:space="preserve">and compatible provisions of the Convention in sectoral and corporate strategies, standards and practices, and facilitate such efforts of the private sector; </w:t>
      </w:r>
    </w:p>
    <w:p w14:paraId="550F027D" w14:textId="77777777" w:rsidR="001A0D89" w:rsidRPr="00517A3B" w:rsidRDefault="001A0D89" w:rsidP="001A0D89">
      <w:pPr>
        <w:pStyle w:val="Para1"/>
        <w:numPr>
          <w:ilvl w:val="0"/>
          <w:numId w:val="0"/>
        </w:numPr>
        <w:ind w:firstLine="660"/>
        <w:rPr>
          <w:szCs w:val="22"/>
          <w:lang w:bidi="th-TH"/>
        </w:rPr>
        <w:sectPr w:rsidR="001A0D89" w:rsidRPr="00517A3B" w:rsidSect="00484398">
          <w:headerReference w:type="even" r:id="rId15"/>
          <w:headerReference w:type="default" r:id="rId16"/>
          <w:footerReference w:type="even" r:id="rId17"/>
          <w:footerReference w:type="default" r:id="rId18"/>
          <w:footerReference w:type="first" r:id="rId19"/>
          <w:type w:val="continuous"/>
          <w:pgSz w:w="12240" w:h="15840" w:code="1"/>
          <w:pgMar w:top="1138" w:right="1440" w:bottom="1138" w:left="1440" w:header="720" w:footer="720" w:gutter="0"/>
          <w:cols w:space="720"/>
          <w:docGrid w:linePitch="360"/>
        </w:sectPr>
      </w:pPr>
      <w:r w:rsidRPr="00517A3B">
        <w:rPr>
          <w:szCs w:val="22"/>
          <w:lang w:bidi="th-TH"/>
        </w:rPr>
        <w:t>(d)</w:t>
      </w:r>
      <w:r w:rsidRPr="00517A3B">
        <w:rPr>
          <w:i/>
          <w:szCs w:val="22"/>
          <w:lang w:bidi="th-TH"/>
        </w:rPr>
        <w:t xml:space="preserve"> </w:t>
      </w:r>
      <w:r w:rsidRPr="00517A3B">
        <w:rPr>
          <w:i/>
          <w:szCs w:val="22"/>
          <w:lang w:bidi="th-TH"/>
        </w:rPr>
        <w:tab/>
      </w:r>
      <w:r w:rsidRPr="00517A3B">
        <w:rPr>
          <w:szCs w:val="22"/>
          <w:lang w:bidi="th-TH"/>
        </w:rPr>
        <w:t>Recognize and support the contribution of landscape-level initiatives such as the Man and Biosphere Programme of the United Nations Educational, Scientific and Cultural Organization, the International Model Forest Network, and other similar initiatives for fostering the establishment of partnerships for the dissemination of knowledge, building capacity and promoting sustainable use, including customary use, and for the sustainable management of natural resources;</w:t>
      </w:r>
    </w:p>
    <w:p w14:paraId="3BDF6A13" w14:textId="77777777" w:rsidR="001A0D89" w:rsidRPr="00517A3B" w:rsidRDefault="001A0D89" w:rsidP="001A0D89">
      <w:pPr>
        <w:pStyle w:val="Para1"/>
        <w:numPr>
          <w:ilvl w:val="0"/>
          <w:numId w:val="0"/>
        </w:numPr>
        <w:ind w:firstLine="660"/>
        <w:rPr>
          <w:szCs w:val="22"/>
          <w:lang w:bidi="th-TH"/>
        </w:rPr>
      </w:pPr>
      <w:r w:rsidRPr="00517A3B">
        <w:rPr>
          <w:szCs w:val="22"/>
          <w:lang w:bidi="th-TH"/>
        </w:rPr>
        <w:lastRenderedPageBreak/>
        <w:t xml:space="preserve">(e) </w:t>
      </w:r>
      <w:r w:rsidRPr="00517A3B">
        <w:rPr>
          <w:szCs w:val="22"/>
          <w:lang w:bidi="th-TH"/>
        </w:rPr>
        <w:tab/>
        <w:t xml:space="preserve">Welcome and strengthen initiatives that link biodiversity, development, and poverty alleviation, for example the BioTrade initiative of </w:t>
      </w:r>
      <w:r w:rsidRPr="00517A3B">
        <w:rPr>
          <w:bCs/>
          <w:szCs w:val="22"/>
          <w:lang w:bidi="th-TH"/>
        </w:rPr>
        <w:t>United Nations Conference on Trade and Development</w:t>
      </w:r>
      <w:r w:rsidRPr="00517A3B">
        <w:rPr>
          <w:szCs w:val="22"/>
          <w:lang w:bidi="th-TH"/>
        </w:rPr>
        <w:t xml:space="preserve">;  </w:t>
      </w:r>
    </w:p>
    <w:p w14:paraId="04F52DA1" w14:textId="77777777" w:rsidR="001A0D89" w:rsidRPr="00517A3B" w:rsidRDefault="001A0D89" w:rsidP="001A0D89">
      <w:pPr>
        <w:pStyle w:val="Para1"/>
        <w:numPr>
          <w:ilvl w:val="0"/>
          <w:numId w:val="0"/>
        </w:numPr>
        <w:rPr>
          <w:i/>
        </w:rPr>
      </w:pPr>
      <w:r w:rsidRPr="00517A3B">
        <w:rPr>
          <w:iCs/>
        </w:rPr>
        <w:tab/>
        <w:t xml:space="preserve">4. </w:t>
      </w:r>
      <w:r w:rsidRPr="00517A3B">
        <w:rPr>
          <w:iCs/>
        </w:rPr>
        <w:tab/>
      </w:r>
      <w:r w:rsidRPr="00517A3B">
        <w:rPr>
          <w:i/>
        </w:rPr>
        <w:t>R</w:t>
      </w:r>
      <w:r w:rsidRPr="00517A3B">
        <w:rPr>
          <w:i/>
          <w:iCs/>
        </w:rPr>
        <w:t>equests</w:t>
      </w:r>
      <w:r w:rsidRPr="00517A3B">
        <w:t xml:space="preserve"> the Executive Secretary to:</w:t>
      </w:r>
    </w:p>
    <w:p w14:paraId="4CE41AFB" w14:textId="77777777" w:rsidR="001A0D89" w:rsidRPr="00517A3B" w:rsidRDefault="001A0D89" w:rsidP="001A0D89">
      <w:pPr>
        <w:pStyle w:val="Para1"/>
        <w:numPr>
          <w:ilvl w:val="0"/>
          <w:numId w:val="0"/>
        </w:numPr>
        <w:tabs>
          <w:tab w:val="left" w:pos="660"/>
        </w:tabs>
        <w:ind w:firstLine="720"/>
        <w:rPr>
          <w:rFonts w:eastAsia="MS Gothic"/>
          <w:bCs/>
          <w:color w:val="000000"/>
          <w:szCs w:val="22"/>
        </w:rPr>
      </w:pPr>
      <w:r w:rsidRPr="00517A3B">
        <w:t xml:space="preserve">(a) </w:t>
      </w:r>
      <w:r w:rsidRPr="00517A3B">
        <w:tab/>
      </w:r>
      <w:r w:rsidRPr="00517A3B">
        <w:rPr>
          <w:rFonts w:eastAsia="MS Gothic"/>
          <w:bCs/>
          <w:color w:val="000000"/>
          <w:szCs w:val="22"/>
        </w:rPr>
        <w:t>In order to support current and future livelihood needs and to reduce unsustainable use of bushmeat, develop, through the Liaison Group on Bushmeat and in cooperation with the Food and Agriculture Organization of the United Nations, the United Nations Development Programme, the Center for International Forestry Research and other relevant organizations and based on available case-studies, options for small-scale food and income alternatives in tropical and sub</w:t>
      </w:r>
      <w:r w:rsidRPr="00517A3B">
        <w:rPr>
          <w:rFonts w:eastAsia="MS Gothic"/>
          <w:bCs/>
          <w:color w:val="000000"/>
          <w:szCs w:val="22"/>
        </w:rPr>
        <w:noBreakHyphen/>
        <w:t xml:space="preserve">tropical countries based on the sustainable use of biodiversity, and submit a report for the consideration by </w:t>
      </w:r>
      <w:r w:rsidRPr="00517A3B">
        <w:rPr>
          <w:szCs w:val="22"/>
        </w:rPr>
        <w:t xml:space="preserve">the Subsidiary Body on Scientific, Technical and Technological Advice </w:t>
      </w:r>
      <w:r w:rsidRPr="00517A3B">
        <w:rPr>
          <w:rFonts w:eastAsia="MS Gothic"/>
          <w:bCs/>
          <w:color w:val="000000"/>
          <w:szCs w:val="22"/>
        </w:rPr>
        <w:t>at a meeting prior to the eleventh meeting of the Conference of the Parties, and to submit to that meeting a revised version of the recommendations of the Liaison Group on Bushmeat referred to in paragraph 1 above;</w:t>
      </w:r>
    </w:p>
    <w:p w14:paraId="65EBF070" w14:textId="77777777" w:rsidR="001A0D89" w:rsidRPr="00517A3B" w:rsidRDefault="001A0D89" w:rsidP="001A0D89">
      <w:pPr>
        <w:pStyle w:val="Para1"/>
        <w:numPr>
          <w:ilvl w:val="0"/>
          <w:numId w:val="0"/>
        </w:numPr>
        <w:tabs>
          <w:tab w:val="left" w:pos="660"/>
        </w:tabs>
        <w:ind w:firstLine="720"/>
        <w:rPr>
          <w:rFonts w:eastAsia="MS Gothic"/>
          <w:bCs/>
          <w:color w:val="000000"/>
          <w:szCs w:val="22"/>
        </w:rPr>
      </w:pPr>
      <w:r w:rsidRPr="00517A3B">
        <w:rPr>
          <w:rFonts w:eastAsia="MS Gothic"/>
          <w:bCs/>
          <w:color w:val="000000"/>
          <w:szCs w:val="22"/>
        </w:rPr>
        <w:t xml:space="preserve">(b) </w:t>
      </w:r>
      <w:r w:rsidRPr="00517A3B">
        <w:rPr>
          <w:rFonts w:eastAsia="MS Gothic"/>
          <w:bCs/>
          <w:color w:val="000000"/>
          <w:szCs w:val="22"/>
        </w:rPr>
        <w:tab/>
        <w:t>Compile information on how to improve sustainable use of biodiversity in a landscape perspective, including on sectoral policies, international guidelines, and best practices for sustainable agriculture and forestry, including a review of relevant criteria and indicators, and report on the results to the Subsidiary Body on Scientific, Technical and Technological Advice at a meeting prior to the eleventh meeting of the Conference of the Parties. This work should be carried out in collaboration with relevant organizations, including but not limited to: the Food and Agriculture Organization of the United Nations</w:t>
      </w:r>
      <w:r w:rsidRPr="00517A3B" w:rsidDel="009267C3">
        <w:rPr>
          <w:rFonts w:eastAsia="MS Gothic"/>
          <w:bCs/>
          <w:color w:val="000000"/>
          <w:szCs w:val="22"/>
        </w:rPr>
        <w:t xml:space="preserve"> </w:t>
      </w:r>
      <w:r w:rsidRPr="00517A3B">
        <w:rPr>
          <w:rFonts w:eastAsia="MS Gothic"/>
          <w:bCs/>
          <w:color w:val="000000"/>
          <w:szCs w:val="22"/>
        </w:rPr>
        <w:t xml:space="preserve">and its Committees on Forestry and on Agriculture, the Commission on Genetic Resources for Food and Agriculture, the secretariat of the International Treaty on Plant Genetic Resources for Food and Agriculture, the United Nations Forum on Forests, the Wildlife Trade Monitoring Network (TRAFFIC), </w:t>
      </w:r>
      <w:r w:rsidRPr="00517A3B">
        <w:rPr>
          <w:szCs w:val="22"/>
        </w:rPr>
        <w:t>the International Union for Conservation of Nature (IUCN)</w:t>
      </w:r>
      <w:r w:rsidRPr="00517A3B">
        <w:rPr>
          <w:rFonts w:eastAsia="MS Gothic"/>
          <w:bCs/>
          <w:color w:val="000000"/>
          <w:szCs w:val="22"/>
        </w:rPr>
        <w:t xml:space="preserve">, and the members of the Collaborative Partnership on Forests;  </w:t>
      </w:r>
    </w:p>
    <w:p w14:paraId="2773F00D" w14:textId="77777777" w:rsidR="001A0D89" w:rsidRPr="00517A3B" w:rsidRDefault="001A0D89" w:rsidP="001A0D89">
      <w:pPr>
        <w:pStyle w:val="Para1"/>
        <w:keepNext/>
        <w:numPr>
          <w:ilvl w:val="0"/>
          <w:numId w:val="0"/>
        </w:numPr>
        <w:jc w:val="left"/>
        <w:rPr>
          <w:bCs/>
          <w:i/>
          <w:szCs w:val="22"/>
        </w:rPr>
      </w:pPr>
      <w:r w:rsidRPr="00517A3B">
        <w:rPr>
          <w:bCs/>
          <w:i/>
          <w:szCs w:val="22"/>
        </w:rPr>
        <w:t>Satoyama Initiative</w:t>
      </w:r>
    </w:p>
    <w:p w14:paraId="25CCE3C3" w14:textId="77777777" w:rsidR="001A0D89" w:rsidRPr="00517A3B" w:rsidRDefault="001A0D89" w:rsidP="001A0D89">
      <w:pPr>
        <w:pStyle w:val="Para1"/>
        <w:numPr>
          <w:ilvl w:val="0"/>
          <w:numId w:val="0"/>
        </w:numPr>
        <w:ind w:firstLine="660"/>
        <w:rPr>
          <w:szCs w:val="22"/>
        </w:rPr>
      </w:pPr>
      <w:r w:rsidRPr="00517A3B">
        <w:rPr>
          <w:szCs w:val="22"/>
        </w:rPr>
        <w:t xml:space="preserve">5. </w:t>
      </w:r>
      <w:r w:rsidRPr="00517A3B">
        <w:rPr>
          <w:szCs w:val="22"/>
        </w:rPr>
        <w:tab/>
      </w:r>
      <w:r w:rsidRPr="00517A3B">
        <w:rPr>
          <w:i/>
          <w:szCs w:val="22"/>
        </w:rPr>
        <w:t>Notes</w:t>
      </w:r>
      <w:r w:rsidRPr="00517A3B">
        <w:rPr>
          <w:szCs w:val="22"/>
        </w:rPr>
        <w:t xml:space="preserve"> </w:t>
      </w:r>
      <w:r w:rsidRPr="00517A3B">
        <w:rPr>
          <w:i/>
          <w:szCs w:val="22"/>
        </w:rPr>
        <w:t>with appreciation</w:t>
      </w:r>
      <w:r w:rsidRPr="00517A3B">
        <w:rPr>
          <w:szCs w:val="22"/>
        </w:rPr>
        <w:t xml:space="preserve"> the leading role played by the Government of Japan and the United Nations University Institute of Advanced Studies in facilitating and coordinating the development of the </w:t>
      </w:r>
      <w:r w:rsidRPr="00517A3B">
        <w:rPr>
          <w:i/>
          <w:szCs w:val="22"/>
        </w:rPr>
        <w:t>Satoyama</w:t>
      </w:r>
      <w:r w:rsidRPr="00517A3B">
        <w:rPr>
          <w:szCs w:val="22"/>
        </w:rPr>
        <w:t xml:space="preserve"> Initiative;</w:t>
      </w:r>
      <w:r w:rsidRPr="001A0D89">
        <w:rPr>
          <w:rStyle w:val="FootnoteReference"/>
          <w:snapToGrid/>
          <w:sz w:val="22"/>
          <w:szCs w:val="22"/>
          <w:u w:val="none"/>
          <w:vertAlign w:val="superscript"/>
        </w:rPr>
        <w:footnoteReference w:id="3"/>
      </w:r>
      <w:r w:rsidRPr="00517A3B">
        <w:rPr>
          <w:szCs w:val="22"/>
        </w:rPr>
        <w:t xml:space="preserve"> </w:t>
      </w:r>
    </w:p>
    <w:p w14:paraId="404A7CCB" w14:textId="77777777" w:rsidR="001A0D89" w:rsidRPr="00517A3B" w:rsidRDefault="001A0D89" w:rsidP="001A0D89">
      <w:pPr>
        <w:pStyle w:val="Para1"/>
        <w:numPr>
          <w:ilvl w:val="0"/>
          <w:numId w:val="0"/>
        </w:numPr>
        <w:ind w:firstLine="660"/>
        <w:rPr>
          <w:szCs w:val="22"/>
        </w:rPr>
      </w:pPr>
      <w:r w:rsidRPr="00517A3B">
        <w:rPr>
          <w:szCs w:val="22"/>
        </w:rPr>
        <w:t xml:space="preserve">6. </w:t>
      </w:r>
      <w:r w:rsidRPr="00517A3B">
        <w:rPr>
          <w:szCs w:val="22"/>
        </w:rPr>
        <w:tab/>
      </w:r>
      <w:r w:rsidRPr="00517A3B">
        <w:rPr>
          <w:i/>
          <w:szCs w:val="22"/>
        </w:rPr>
        <w:t>Recognizes</w:t>
      </w:r>
      <w:r w:rsidRPr="00517A3B">
        <w:rPr>
          <w:szCs w:val="22"/>
        </w:rPr>
        <w:t xml:space="preserve"> the </w:t>
      </w:r>
      <w:r w:rsidRPr="00517A3B">
        <w:rPr>
          <w:i/>
          <w:szCs w:val="22"/>
        </w:rPr>
        <w:t>Satoyama</w:t>
      </w:r>
      <w:r w:rsidRPr="00517A3B">
        <w:rPr>
          <w:szCs w:val="22"/>
        </w:rPr>
        <w:t xml:space="preserve"> Initiative as a potentially useful tool to better understand and support human-influenced natural environments for the benefit of biodiversity and  human well-being, and affirms that the </w:t>
      </w:r>
      <w:r w:rsidRPr="00517A3B">
        <w:rPr>
          <w:i/>
          <w:szCs w:val="22"/>
        </w:rPr>
        <w:t>Satoyama</w:t>
      </w:r>
      <w:r w:rsidRPr="00517A3B">
        <w:rPr>
          <w:szCs w:val="22"/>
        </w:rPr>
        <w:t xml:space="preserve"> Initiative is to be used consistent and in harmony with the Convention, internationally agreed development goals, and other relevant international obligations; </w:t>
      </w:r>
    </w:p>
    <w:p w14:paraId="04A24021" w14:textId="77777777" w:rsidR="001A0D89" w:rsidRPr="00517A3B" w:rsidRDefault="001A0D89" w:rsidP="001A0D89">
      <w:pPr>
        <w:pStyle w:val="Para1"/>
        <w:numPr>
          <w:ilvl w:val="0"/>
          <w:numId w:val="0"/>
        </w:numPr>
        <w:ind w:firstLine="660"/>
        <w:rPr>
          <w:szCs w:val="22"/>
          <w:lang w:bidi="th-TH"/>
        </w:rPr>
      </w:pPr>
      <w:r w:rsidRPr="00517A3B">
        <w:rPr>
          <w:szCs w:val="22"/>
          <w:lang w:bidi="th-TH"/>
        </w:rPr>
        <w:t>7.</w:t>
      </w:r>
      <w:r w:rsidRPr="00517A3B">
        <w:rPr>
          <w:i/>
          <w:szCs w:val="22"/>
          <w:lang w:bidi="th-TH"/>
        </w:rPr>
        <w:t xml:space="preserve"> </w:t>
      </w:r>
      <w:r w:rsidRPr="00517A3B">
        <w:rPr>
          <w:i/>
          <w:szCs w:val="22"/>
          <w:lang w:bidi="th-TH"/>
        </w:rPr>
        <w:tab/>
        <w:t>Recognizes</w:t>
      </w:r>
      <w:r w:rsidRPr="00517A3B">
        <w:rPr>
          <w:szCs w:val="22"/>
          <w:lang w:bidi="th-TH"/>
        </w:rPr>
        <w:t xml:space="preserve"> and </w:t>
      </w:r>
      <w:r w:rsidRPr="00517A3B">
        <w:rPr>
          <w:i/>
          <w:szCs w:val="22"/>
          <w:lang w:bidi="th-TH"/>
        </w:rPr>
        <w:t>supports</w:t>
      </w:r>
      <w:r w:rsidRPr="00517A3B">
        <w:rPr>
          <w:szCs w:val="22"/>
          <w:lang w:bidi="th-TH"/>
        </w:rPr>
        <w:t xml:space="preserve"> further discussion, analysis and understanding of the </w:t>
      </w:r>
      <w:r w:rsidRPr="00517A3B">
        <w:rPr>
          <w:i/>
          <w:iCs/>
          <w:szCs w:val="22"/>
          <w:lang w:bidi="th-TH"/>
        </w:rPr>
        <w:t>Satoyama</w:t>
      </w:r>
      <w:r w:rsidRPr="00517A3B">
        <w:rPr>
          <w:szCs w:val="22"/>
          <w:lang w:bidi="th-TH"/>
        </w:rPr>
        <w:t xml:space="preserve"> Initiative to further disseminate knowledge, build capacity and promote projects and programmes for the sustainable use of biological resources, and promote synergy of the </w:t>
      </w:r>
      <w:r w:rsidRPr="00517A3B">
        <w:rPr>
          <w:i/>
          <w:iCs/>
          <w:szCs w:val="22"/>
          <w:lang w:bidi="th-TH"/>
        </w:rPr>
        <w:t>Satoyama</w:t>
      </w:r>
      <w:r w:rsidRPr="00517A3B">
        <w:rPr>
          <w:szCs w:val="22"/>
          <w:lang w:bidi="th-TH"/>
        </w:rPr>
        <w:t xml:space="preserve"> Initiative with other initiatives or activities including the Man and the Biosphere Programme of the United Nations Educational, Scientific and Cultural Organization, the International Model Forest Network, and other initiatives that include community</w:t>
      </w:r>
      <w:r>
        <w:rPr>
          <w:szCs w:val="22"/>
          <w:lang w:bidi="th-TH"/>
        </w:rPr>
        <w:t>-</w:t>
      </w:r>
      <w:r w:rsidRPr="00517A3B">
        <w:rPr>
          <w:szCs w:val="22"/>
          <w:lang w:bidi="th-TH"/>
        </w:rPr>
        <w:t xml:space="preserve">conserved areas that are developed and managed by local and indigenous communities to advance understanding and implementation of customary use in accordance with Article 10(c) of the Convention on Biological Diversity; </w:t>
      </w:r>
    </w:p>
    <w:p w14:paraId="5F82F74C" w14:textId="77777777" w:rsidR="001A0D89" w:rsidRPr="00517A3B" w:rsidRDefault="001A0D89" w:rsidP="001A0D89">
      <w:pPr>
        <w:pStyle w:val="Para1"/>
        <w:numPr>
          <w:ilvl w:val="0"/>
          <w:numId w:val="0"/>
        </w:numPr>
        <w:ind w:firstLine="660"/>
        <w:rPr>
          <w:szCs w:val="22"/>
          <w:lang w:bidi="th-TH"/>
        </w:rPr>
      </w:pPr>
      <w:r w:rsidRPr="00517A3B">
        <w:rPr>
          <w:szCs w:val="22"/>
          <w:lang w:bidi="th-TH"/>
        </w:rPr>
        <w:t xml:space="preserve">8. </w:t>
      </w:r>
      <w:r w:rsidRPr="00517A3B">
        <w:rPr>
          <w:szCs w:val="22"/>
          <w:lang w:bidi="th-TH"/>
        </w:rPr>
        <w:tab/>
      </w:r>
      <w:r w:rsidRPr="00517A3B">
        <w:rPr>
          <w:i/>
          <w:szCs w:val="22"/>
          <w:lang w:bidi="th-TH"/>
        </w:rPr>
        <w:t>Takes note</w:t>
      </w:r>
      <w:r w:rsidRPr="00517A3B">
        <w:rPr>
          <w:szCs w:val="22"/>
          <w:lang w:bidi="th-TH"/>
        </w:rPr>
        <w:t xml:space="preserve"> of the International Partnership for the </w:t>
      </w:r>
      <w:r w:rsidRPr="00517A3B">
        <w:rPr>
          <w:i/>
          <w:szCs w:val="22"/>
          <w:lang w:bidi="th-TH"/>
        </w:rPr>
        <w:t>Satoyama</w:t>
      </w:r>
      <w:r w:rsidRPr="00517A3B">
        <w:rPr>
          <w:szCs w:val="22"/>
          <w:lang w:bidi="th-TH"/>
        </w:rPr>
        <w:t xml:space="preserve"> Initiative as one mechanism to carry out activities identified by the </w:t>
      </w:r>
      <w:r w:rsidRPr="00517A3B">
        <w:rPr>
          <w:i/>
          <w:szCs w:val="22"/>
          <w:lang w:bidi="th-TH"/>
        </w:rPr>
        <w:t xml:space="preserve">Satoyama </w:t>
      </w:r>
      <w:r w:rsidRPr="00517A3B">
        <w:rPr>
          <w:szCs w:val="22"/>
          <w:lang w:bidi="th-TH"/>
        </w:rPr>
        <w:t>Initiative including collecting and analysing case</w:t>
      </w:r>
      <w:r w:rsidRPr="00517A3B">
        <w:rPr>
          <w:szCs w:val="22"/>
          <w:lang w:bidi="th-TH"/>
        </w:rPr>
        <w:noBreakHyphen/>
        <w:t xml:space="preserve">studies, distilling lessons, and promoting research on different practices of sustainable use of biological resources, as well as increasing awareness and supporting on-the-ground projects and activities in </w:t>
      </w:r>
      <w:r w:rsidRPr="00517A3B">
        <w:rPr>
          <w:szCs w:val="22"/>
        </w:rPr>
        <w:t>human-influenced natural environments</w:t>
      </w:r>
      <w:r w:rsidRPr="00517A3B">
        <w:rPr>
          <w:szCs w:val="22"/>
          <w:lang w:bidi="th-TH"/>
        </w:rPr>
        <w:t xml:space="preserve">, and </w:t>
      </w:r>
      <w:r w:rsidRPr="00517A3B">
        <w:rPr>
          <w:i/>
          <w:szCs w:val="22"/>
          <w:lang w:bidi="th-TH"/>
        </w:rPr>
        <w:t>invites</w:t>
      </w:r>
      <w:r w:rsidRPr="00517A3B">
        <w:rPr>
          <w:szCs w:val="22"/>
          <w:lang w:bidi="th-TH"/>
        </w:rPr>
        <w:t xml:space="preserve"> Parties, other Governments and relevant organizations to participate in the partnership to further advance the Initiative;</w:t>
      </w:r>
    </w:p>
    <w:p w14:paraId="3E55F920" w14:textId="77777777" w:rsidR="001A0D89" w:rsidRPr="00517A3B" w:rsidRDefault="001A0D89" w:rsidP="001A0D89">
      <w:pPr>
        <w:pStyle w:val="Para1"/>
        <w:numPr>
          <w:ilvl w:val="0"/>
          <w:numId w:val="0"/>
        </w:numPr>
        <w:ind w:firstLine="660"/>
        <w:rPr>
          <w:szCs w:val="22"/>
          <w:lang w:bidi="th-TH"/>
        </w:rPr>
        <w:sectPr w:rsidR="001A0D89" w:rsidRPr="00517A3B" w:rsidSect="00484398">
          <w:footerReference w:type="default" r:id="rId20"/>
          <w:headerReference w:type="first" r:id="rId21"/>
          <w:type w:val="continuous"/>
          <w:pgSz w:w="12240" w:h="15840" w:code="1"/>
          <w:pgMar w:top="1138" w:right="1440" w:bottom="1138" w:left="1440" w:header="720" w:footer="720" w:gutter="0"/>
          <w:cols w:space="720"/>
          <w:docGrid w:linePitch="360"/>
        </w:sectPr>
      </w:pPr>
    </w:p>
    <w:p w14:paraId="0343044A" w14:textId="77777777" w:rsidR="001A0D89" w:rsidRPr="001A0D89" w:rsidRDefault="001A0D89" w:rsidP="001A0D89">
      <w:pPr>
        <w:pStyle w:val="Para1"/>
        <w:numPr>
          <w:ilvl w:val="0"/>
          <w:numId w:val="0"/>
        </w:numPr>
        <w:tabs>
          <w:tab w:val="left" w:pos="660"/>
        </w:tabs>
      </w:pPr>
      <w:r w:rsidRPr="00517A3B">
        <w:rPr>
          <w:rFonts w:eastAsia="MS Gothic"/>
        </w:rPr>
        <w:lastRenderedPageBreak/>
        <w:tab/>
        <w:t xml:space="preserve">9. </w:t>
      </w:r>
      <w:r w:rsidRPr="00517A3B">
        <w:rPr>
          <w:rFonts w:eastAsia="MS Gothic"/>
        </w:rPr>
        <w:tab/>
      </w:r>
      <w:r w:rsidRPr="00517A3B">
        <w:rPr>
          <w:i/>
          <w:lang w:bidi="th-TH"/>
        </w:rPr>
        <w:t>Requests</w:t>
      </w:r>
      <w:r w:rsidRPr="00517A3B">
        <w:rPr>
          <w:lang w:bidi="th-TH"/>
        </w:rPr>
        <w:t xml:space="preserve"> the Executive Secretary and invites Parties, other Governments and relevant organizations to </w:t>
      </w:r>
      <w:r w:rsidRPr="00517A3B">
        <w:rPr>
          <w:rFonts w:eastAsia="MS Gothic"/>
        </w:rPr>
        <w:t xml:space="preserve">support, as appropriate, the promotion of the sustainable use of biodiversity, including the </w:t>
      </w:r>
      <w:r w:rsidRPr="00517A3B">
        <w:rPr>
          <w:rFonts w:eastAsia="MS Gothic"/>
          <w:i/>
          <w:iCs/>
        </w:rPr>
        <w:t xml:space="preserve">Satoyama </w:t>
      </w:r>
      <w:r w:rsidRPr="00517A3B">
        <w:rPr>
          <w:rFonts w:eastAsia="MS Gothic"/>
        </w:rPr>
        <w:t xml:space="preserve">Initiative. </w:t>
      </w:r>
    </w:p>
    <w:p w14:paraId="3D083F2F" w14:textId="77777777" w:rsidR="00A0449E" w:rsidRDefault="00213CCB" w:rsidP="00CF7D07">
      <w:pPr>
        <w:spacing w:before="120" w:after="120"/>
        <w:jc w:val="center"/>
      </w:pPr>
      <w:r w:rsidRPr="00213CCB">
        <w:rPr>
          <w:bCs/>
          <w:sz w:val="24"/>
          <w:lang w:val="en-US"/>
        </w:rPr>
        <w:t>-----</w:t>
      </w:r>
      <w:bookmarkEnd w:id="0"/>
    </w:p>
    <w:sectPr w:rsidR="00A0449E" w:rsidSect="009267C3">
      <w:footerReference w:type="even" r:id="rId22"/>
      <w:type w:val="continuous"/>
      <w:pgSz w:w="12240" w:h="15840" w:code="1"/>
      <w:pgMar w:top="1138" w:right="1440" w:bottom="113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66323" w14:textId="77777777" w:rsidR="003579F1" w:rsidRDefault="003579F1">
      <w:r>
        <w:separator/>
      </w:r>
    </w:p>
  </w:endnote>
  <w:endnote w:type="continuationSeparator" w:id="0">
    <w:p w14:paraId="69065FB6" w14:textId="77777777" w:rsidR="003579F1" w:rsidRDefault="00357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Univers">
    <w:panose1 w:val="020B0503020202020204"/>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ourier">
    <w:panose1 w:val="02070309020205020404"/>
    <w:charset w:val="00"/>
    <w:family w:val="modern"/>
    <w:pitch w:val="fixed"/>
    <w:sig w:usb0="E0002AFF" w:usb1="C0007843"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E6A6A" w14:textId="77777777" w:rsidR="00F51A0B" w:rsidRPr="00213CCB" w:rsidRDefault="00213CCB">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59F59" w14:textId="77777777" w:rsidR="00F51A0B" w:rsidRPr="00112C4C" w:rsidRDefault="00F51A0B" w:rsidP="001D606C">
    <w:pPr>
      <w:pStyle w:val="Footer"/>
    </w:pPr>
    <w: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6EBCC" w14:textId="77777777" w:rsidR="00F51A0B" w:rsidRDefault="00F51A0B">
    <w:pPr>
      <w:pStyle w:val="Footer"/>
    </w:pPr>
    <w:r>
      <w:t>/…</w:t>
    </w:r>
  </w:p>
  <w:p w14:paraId="4330D956" w14:textId="77777777" w:rsidR="00F51A0B" w:rsidRDefault="003D19DE">
    <w:pPr>
      <w:pStyle w:val="Footer"/>
    </w:pPr>
    <w:r>
      <w:rPr>
        <w:noProof/>
        <w:lang w:val="en-US"/>
      </w:rPr>
      <mc:AlternateContent>
        <mc:Choice Requires="wps">
          <w:drawing>
            <wp:anchor distT="0" distB="0" distL="114300" distR="114300" simplePos="0" relativeHeight="251657216" behindDoc="0" locked="0" layoutInCell="1" allowOverlap="1" wp14:anchorId="17F7EE8A" wp14:editId="1D86E5D9">
              <wp:simplePos x="0" y="0"/>
              <wp:positionH relativeFrom="column">
                <wp:posOffset>0</wp:posOffset>
              </wp:positionH>
              <wp:positionV relativeFrom="paragraph">
                <wp:posOffset>12700</wp:posOffset>
              </wp:positionV>
              <wp:extent cx="5943600" cy="365760"/>
              <wp:effectExtent l="12700" t="12700" r="12700" b="15240"/>
              <wp:wrapNone/>
              <wp:docPr id="28489924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856DCFE" w14:textId="77777777" w:rsidR="00F51A0B" w:rsidRPr="006015AE" w:rsidRDefault="00F51A0B" w:rsidP="00541D21">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5768AB41" w14:textId="77777777" w:rsidR="00F51A0B" w:rsidRPr="006015AE" w:rsidRDefault="00F51A0B" w:rsidP="00541D21">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F7EE8A" id="Rectangle 2" o:spid="_x0000_s1026" style="position:absolute;left:0;text-align:left;margin-left:0;margin-top:1pt;width:468pt;height:28.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" strokeweight="3pt">
              <v:path arrowok="t"/>
              <v:textbox inset="0,0,0,0">
                <w:txbxContent>
                  <w:p w14:paraId="1856DCFE" w14:textId="77777777" w:rsidR="00F51A0B" w:rsidRPr="006015AE" w:rsidRDefault="00F51A0B" w:rsidP="00541D21">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5768AB41" w14:textId="77777777" w:rsidR="00F51A0B" w:rsidRPr="006015AE" w:rsidRDefault="00F51A0B" w:rsidP="00541D21">
                    <w:pPr>
                      <w:rPr>
                        <w:color w:val="000000"/>
                        <w:sz w:val="16"/>
                        <w:szCs w:val="16"/>
                      </w:rPr>
                    </w:pPr>
                  </w:p>
                </w:txbxContent>
              </v:textbox>
            </v:rect>
          </w:pict>
        </mc:Fallback>
      </mc:AlternateContent>
    </w:r>
  </w:p>
  <w:p w14:paraId="440E8532" w14:textId="77777777" w:rsidR="00F51A0B" w:rsidRDefault="00F51A0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F0451" w14:textId="77777777" w:rsidR="001A0D89" w:rsidRPr="00213CCB" w:rsidRDefault="001A0D89">
    <w:pPr>
      <w:pStyle w:val="Footer"/>
      <w:rPr>
        <w:lang w:val="en-US"/>
      </w:rPr>
    </w:pPr>
    <w:r>
      <w:rPr>
        <w:lang w:val="en-US"/>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ACD0C" w14:textId="77777777" w:rsidR="001A0D89" w:rsidRPr="00112C4C" w:rsidRDefault="001A0D89" w:rsidP="00484398">
    <w:pPr>
      <w:pStyle w:val="Footer"/>
    </w:pPr>
    <w: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F3595" w14:textId="77777777" w:rsidR="001A0D89" w:rsidRDefault="001A0D89">
    <w:pPr>
      <w:pStyle w:val="Footer"/>
    </w:pPr>
    <w:r>
      <w:t>/…</w:t>
    </w:r>
  </w:p>
  <w:p w14:paraId="1A8747DC" w14:textId="77777777" w:rsidR="001A0D89" w:rsidRDefault="003D19DE">
    <w:pPr>
      <w:pStyle w:val="Footer"/>
    </w:pPr>
    <w:r>
      <w:rPr>
        <w:noProof/>
        <w:lang w:val="en-US"/>
      </w:rPr>
      <mc:AlternateContent>
        <mc:Choice Requires="wps">
          <w:drawing>
            <wp:anchor distT="0" distB="0" distL="114300" distR="114300" simplePos="0" relativeHeight="251658240" behindDoc="0" locked="0" layoutInCell="1" allowOverlap="1" wp14:anchorId="5B2C74C5" wp14:editId="53889995">
              <wp:simplePos x="0" y="0"/>
              <wp:positionH relativeFrom="column">
                <wp:posOffset>0</wp:posOffset>
              </wp:positionH>
              <wp:positionV relativeFrom="paragraph">
                <wp:posOffset>12700</wp:posOffset>
              </wp:positionV>
              <wp:extent cx="5943600" cy="365760"/>
              <wp:effectExtent l="12700" t="12700" r="12700" b="15240"/>
              <wp:wrapNone/>
              <wp:docPr id="106230096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22B5897" w14:textId="77777777" w:rsidR="001A0D89" w:rsidRPr="006015AE" w:rsidRDefault="001A0D89" w:rsidP="00484398">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33F28B1F" w14:textId="77777777" w:rsidR="001A0D89" w:rsidRPr="006015AE" w:rsidRDefault="001A0D89" w:rsidP="00484398">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2C74C5" id="Rectangle 3" o:spid="_x0000_s1027" style="position:absolute;left:0;text-align:left;margin-left:0;margin-top:1pt;width:468pt;height:28.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" strokeweight="3pt">
              <v:path arrowok="t"/>
              <v:textbox inset="0,0,0,0">
                <w:txbxContent>
                  <w:p w14:paraId="622B5897" w14:textId="77777777" w:rsidR="001A0D89" w:rsidRPr="006015AE" w:rsidRDefault="001A0D89" w:rsidP="00484398">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33F28B1F" w14:textId="77777777" w:rsidR="001A0D89" w:rsidRPr="006015AE" w:rsidRDefault="001A0D89" w:rsidP="00484398">
                    <w:pPr>
                      <w:rPr>
                        <w:color w:val="000000"/>
                        <w:sz w:val="16"/>
                        <w:szCs w:val="16"/>
                      </w:rPr>
                    </w:pPr>
                  </w:p>
                </w:txbxContent>
              </v:textbox>
            </v:rect>
          </w:pict>
        </mc:Fallback>
      </mc:AlternateContent>
    </w:r>
  </w:p>
  <w:p w14:paraId="52DC7546" w14:textId="77777777" w:rsidR="001A0D89" w:rsidRDefault="001A0D8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09C9B" w14:textId="77777777" w:rsidR="001A0D89" w:rsidRPr="000D1A14" w:rsidRDefault="001A0D89" w:rsidP="00484398">
    <w:pPr>
      <w:pStyle w:val="Footer"/>
      <w:rPr>
        <w:lang w:val="en-CA"/>
      </w:rPr>
    </w:pPr>
    <w:r>
      <w:rPr>
        <w:lang w:val="en-CA"/>
      </w:rPr>
      <w:t>/...</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BD3AF" w14:textId="77777777" w:rsidR="007970D0" w:rsidRPr="00213CCB" w:rsidRDefault="007970D0">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253BB" w14:textId="77777777" w:rsidR="003579F1" w:rsidRDefault="003579F1">
      <w:r>
        <w:separator/>
      </w:r>
    </w:p>
  </w:footnote>
  <w:footnote w:type="continuationSeparator" w:id="0">
    <w:p w14:paraId="36714A0F" w14:textId="77777777" w:rsidR="003579F1" w:rsidRDefault="003579F1">
      <w:r>
        <w:continuationSeparator/>
      </w:r>
    </w:p>
  </w:footnote>
  <w:footnote w:id="1">
    <w:p w14:paraId="3A78D82C" w14:textId="77777777" w:rsidR="001A0D89" w:rsidRPr="00D97EC3" w:rsidRDefault="001A0D89" w:rsidP="001A0D89">
      <w:pPr>
        <w:pStyle w:val="FootnoteText"/>
        <w:ind w:firstLine="0"/>
        <w:rPr>
          <w:lang w:val="en-US"/>
        </w:rPr>
      </w:pPr>
      <w:r w:rsidRPr="001A0D89">
        <w:rPr>
          <w:rStyle w:val="FootnoteReference"/>
          <w:sz w:val="22"/>
          <w:szCs w:val="22"/>
          <w:u w:val="none"/>
          <w:vertAlign w:val="superscript"/>
        </w:rPr>
        <w:footnoteRef/>
      </w:r>
      <w:r>
        <w:rPr>
          <w:lang w:val="en-US"/>
        </w:rPr>
        <w:t xml:space="preserve">  UNEP/CBD/SBSTTA/14/7.</w:t>
      </w:r>
    </w:p>
  </w:footnote>
  <w:footnote w:id="2">
    <w:p w14:paraId="4909F12B" w14:textId="77777777" w:rsidR="001A0D89" w:rsidRPr="00557402" w:rsidRDefault="001A0D89" w:rsidP="001A0D89">
      <w:pPr>
        <w:pStyle w:val="FootnoteText"/>
        <w:ind w:firstLine="0"/>
        <w:rPr>
          <w:lang w:val="en-US"/>
        </w:rPr>
      </w:pPr>
      <w:r w:rsidRPr="001A0D89">
        <w:rPr>
          <w:rStyle w:val="FootnoteReference"/>
          <w:sz w:val="22"/>
          <w:szCs w:val="22"/>
          <w:u w:val="none"/>
          <w:vertAlign w:val="superscript"/>
        </w:rPr>
        <w:footnoteRef/>
      </w:r>
      <w:r>
        <w:t xml:space="preserve"> </w:t>
      </w:r>
      <w:r>
        <w:rPr>
          <w:lang w:val="en-US"/>
        </w:rPr>
        <w:t>Decision VII/12, annex II.</w:t>
      </w:r>
    </w:p>
  </w:footnote>
  <w:footnote w:id="3">
    <w:p w14:paraId="1D75C8A7" w14:textId="77777777" w:rsidR="001A0D89" w:rsidRPr="00334A37" w:rsidRDefault="001A0D89" w:rsidP="001A0D89">
      <w:pPr>
        <w:pStyle w:val="FootnoteText"/>
        <w:ind w:firstLine="0"/>
        <w:rPr>
          <w:lang w:val="en-CA"/>
        </w:rPr>
      </w:pPr>
      <w:r w:rsidRPr="001A0D89">
        <w:rPr>
          <w:rStyle w:val="FootnoteReference"/>
          <w:sz w:val="22"/>
          <w:szCs w:val="22"/>
          <w:u w:val="none"/>
          <w:vertAlign w:val="superscript"/>
        </w:rPr>
        <w:footnoteRef/>
      </w:r>
      <w:r>
        <w:t xml:space="preserve"> </w:t>
      </w:r>
      <w:r w:rsidRPr="00E15F20">
        <w:rPr>
          <w:szCs w:val="22"/>
        </w:rPr>
        <w:t>UNEP/CBD/SBSTTA/14/INF/28</w:t>
      </w:r>
      <w:r>
        <w:rPr>
          <w:szCs w:val="22"/>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FAA43" w14:textId="77777777" w:rsidR="00F51A0B" w:rsidRDefault="00F51A0B">
    <w:pPr>
      <w:pStyle w:val="Header"/>
    </w:pPr>
    <w:r w:rsidRPr="001D606C">
      <w:t>UNEP/CBD</w:t>
    </w:r>
    <w:r>
      <w:t>/COP/10/L</w:t>
    </w:r>
    <w:r w:rsidR="00213CCB">
      <w:t>.1</w:t>
    </w:r>
    <w:r w:rsidR="003815AA">
      <w:t>5</w:t>
    </w:r>
  </w:p>
  <w:p w14:paraId="4B13A401" w14:textId="77777777" w:rsidR="00F51A0B" w:rsidRDefault="00F51A0B">
    <w:pPr>
      <w:pStyle w:val="Header"/>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1A0D89">
      <w:rPr>
        <w:rStyle w:val="PageNumber"/>
        <w:noProof/>
      </w:rPr>
      <w:t>4</w:t>
    </w:r>
    <w:r>
      <w:rPr>
        <w:rStyle w:val="PageNumber"/>
      </w:rPr>
      <w:fldChar w:fldCharType="end"/>
    </w:r>
  </w:p>
  <w:p w14:paraId="4B87A822" w14:textId="77777777" w:rsidR="00F51A0B" w:rsidRDefault="00F51A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8549E" w14:textId="77777777" w:rsidR="00F51A0B" w:rsidRDefault="00F51A0B" w:rsidP="00213CCB">
    <w:pPr>
      <w:pStyle w:val="Header"/>
      <w:ind w:left="7020"/>
    </w:pPr>
    <w:r w:rsidRPr="001D606C">
      <w:t>UNEP/CBD</w:t>
    </w:r>
    <w:r>
      <w:t>/COP/10/</w:t>
    </w:r>
    <w:r w:rsidR="00213CCB">
      <w:t>L.1</w:t>
    </w:r>
    <w:r w:rsidR="007970D0">
      <w:t>5</w:t>
    </w:r>
  </w:p>
  <w:p w14:paraId="3FC3168D" w14:textId="77777777" w:rsidR="00F51A0B" w:rsidRDefault="00F51A0B" w:rsidP="00213CCB">
    <w:pPr>
      <w:pStyle w:val="Header"/>
      <w:ind w:left="7020"/>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1A0D89">
      <w:rPr>
        <w:rStyle w:val="PageNumber"/>
        <w:noProof/>
      </w:rPr>
      <w:t>3</w:t>
    </w:r>
    <w:r>
      <w:rPr>
        <w:rStyle w:val="PageNumber"/>
      </w:rPr>
      <w:fldChar w:fldCharType="end"/>
    </w:r>
  </w:p>
  <w:p w14:paraId="3A45014E" w14:textId="77777777" w:rsidR="00F51A0B" w:rsidRDefault="00F51A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A9B2B" w14:textId="77777777" w:rsidR="001A0D89" w:rsidRDefault="001A0D89" w:rsidP="001A0D89">
    <w:pPr>
      <w:pStyle w:val="Header"/>
    </w:pPr>
    <w:r w:rsidRPr="001D606C">
      <w:t>UNEP/CBD</w:t>
    </w:r>
    <w:r>
      <w:t>/COP/DEC/X/32</w:t>
    </w:r>
  </w:p>
  <w:p w14:paraId="389F9B36" w14:textId="77777777" w:rsidR="001A0D89" w:rsidRDefault="001A0D89">
    <w:pPr>
      <w:pStyle w:val="Header"/>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430E81">
      <w:rPr>
        <w:rStyle w:val="PageNumber"/>
        <w:noProof/>
      </w:rPr>
      <w:t>4</w:t>
    </w:r>
    <w:r>
      <w:rPr>
        <w:rStyle w:val="PageNumber"/>
      </w:rPr>
      <w:fldChar w:fldCharType="end"/>
    </w:r>
  </w:p>
  <w:p w14:paraId="5E12313F" w14:textId="77777777" w:rsidR="001A0D89" w:rsidRDefault="001A0D8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491EF" w14:textId="77777777" w:rsidR="001A0D89" w:rsidRDefault="001A0D89" w:rsidP="001A0D89">
    <w:pPr>
      <w:pStyle w:val="Header"/>
      <w:ind w:left="6660"/>
    </w:pPr>
    <w:r w:rsidRPr="001D606C">
      <w:t>UNEP/CBD</w:t>
    </w:r>
    <w:r>
      <w:t>/COP/DEC/X/32</w:t>
    </w:r>
  </w:p>
  <w:p w14:paraId="6DCF4CB9" w14:textId="77777777" w:rsidR="001A0D89" w:rsidRDefault="001A0D89" w:rsidP="001A0D89">
    <w:pPr>
      <w:pStyle w:val="Header"/>
      <w:ind w:left="6660"/>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430E81">
      <w:rPr>
        <w:rStyle w:val="PageNumber"/>
        <w:noProof/>
      </w:rPr>
      <w:t>3</w:t>
    </w:r>
    <w:r>
      <w:rPr>
        <w:rStyle w:val="PageNumber"/>
      </w:rPr>
      <w:fldChar w:fldCharType="end"/>
    </w:r>
  </w:p>
  <w:p w14:paraId="44BF3950" w14:textId="77777777" w:rsidR="001A0D89" w:rsidRDefault="001A0D8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76370" w14:textId="77777777" w:rsidR="001A0D89" w:rsidRDefault="001A0D89" w:rsidP="00484398">
    <w:pPr>
      <w:pStyle w:val="Header"/>
    </w:pPr>
    <w:r w:rsidRPr="001D606C">
      <w:t>UNEP/CBD</w:t>
    </w:r>
    <w:r>
      <w:t>/COP/10/L.15</w:t>
    </w:r>
  </w:p>
  <w:p w14:paraId="1BBE8DD7" w14:textId="77777777" w:rsidR="001A0D89" w:rsidRDefault="001A0D89" w:rsidP="00484398">
    <w:pPr>
      <w:pStyle w:val="Header"/>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p w14:paraId="785435E3" w14:textId="77777777" w:rsidR="001A0D89" w:rsidRDefault="001A0D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D3369"/>
    <w:multiLevelType w:val="hybridMultilevel"/>
    <w:tmpl w:val="259AF850"/>
    <w:lvl w:ilvl="0" w:tplc="FFFFFFFF">
      <w:start w:val="1"/>
      <w:numFmt w:val="lowerLetter"/>
      <w:lvlText w:val="(%1)"/>
      <w:lvlJc w:val="left"/>
      <w:pPr>
        <w:tabs>
          <w:tab w:val="num" w:pos="720"/>
        </w:tabs>
        <w:ind w:left="720" w:hanging="360"/>
      </w:pPr>
      <w:rPr>
        <w:rFonts w:hint="default"/>
      </w:rPr>
    </w:lvl>
    <w:lvl w:ilvl="1" w:tplc="FFFFFFFF" w:tentative="1">
      <w:start w:val="1"/>
      <w:numFmt w:val="bullet"/>
      <w:lvlText w:val="o"/>
      <w:lvlJc w:val="left"/>
      <w:pPr>
        <w:tabs>
          <w:tab w:val="num" w:pos="1440"/>
        </w:tabs>
        <w:ind w:left="1440" w:hanging="360"/>
      </w:pPr>
      <w:rPr>
        <w:rFonts w:ascii="Courier New" w:hAnsi="Courier New" w:cs="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A96BF9"/>
    <w:multiLevelType w:val="hybridMultilevel"/>
    <w:tmpl w:val="F8CEB6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4E800D0"/>
    <w:multiLevelType w:val="hybridMultilevel"/>
    <w:tmpl w:val="92065D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F0336B8"/>
    <w:multiLevelType w:val="multilevel"/>
    <w:tmpl w:val="888CEBC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4" w15:restartNumberingAfterBreak="0">
    <w:nsid w:val="301C64C0"/>
    <w:multiLevelType w:val="hybridMultilevel"/>
    <w:tmpl w:val="A77A92D8"/>
    <w:lvl w:ilvl="0" w:tplc="E2EE5C1E">
      <w:start w:val="1"/>
      <w:numFmt w:val="lowerLetter"/>
      <w:lvlText w:val="(%1)"/>
      <w:lvlJc w:val="left"/>
      <w:pPr>
        <w:tabs>
          <w:tab w:val="num" w:pos="720"/>
        </w:tabs>
        <w:ind w:left="72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5" w15:restartNumberingAfterBreak="0">
    <w:nsid w:val="3AEB0B1E"/>
    <w:multiLevelType w:val="multilevel"/>
    <w:tmpl w:val="3E58306C"/>
    <w:lvl w:ilvl="0">
      <w:start w:val="1"/>
      <w:numFmt w:val="decimal"/>
      <w:pStyle w:val="para2"/>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3CE43C91"/>
    <w:multiLevelType w:val="singleLevel"/>
    <w:tmpl w:val="EF66BBC6"/>
    <w:lvl w:ilvl="0">
      <w:start w:val="1"/>
      <w:numFmt w:val="decimal"/>
      <w:pStyle w:val="Paranum"/>
      <w:lvlText w:val="%1."/>
      <w:lvlJc w:val="left"/>
      <w:pPr>
        <w:tabs>
          <w:tab w:val="num" w:pos="360"/>
        </w:tabs>
        <w:ind w:left="0" w:firstLine="0"/>
      </w:pPr>
    </w:lvl>
  </w:abstractNum>
  <w:abstractNum w:abstractNumId="7" w15:restartNumberingAfterBreak="0">
    <w:nsid w:val="3D6917D0"/>
    <w:multiLevelType w:val="hybridMultilevel"/>
    <w:tmpl w:val="706A17DC"/>
    <w:lvl w:ilvl="0" w:tplc="CE1A31A2">
      <w:start w:val="6"/>
      <w:numFmt w:val="upperRoman"/>
      <w:lvlText w:val="%1."/>
      <w:lvlJc w:val="left"/>
      <w:pPr>
        <w:tabs>
          <w:tab w:val="num" w:pos="2520"/>
        </w:tabs>
        <w:ind w:left="2520" w:hanging="72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8" w15:restartNumberingAfterBreak="0">
    <w:nsid w:val="44CC7FBB"/>
    <w:multiLevelType w:val="hybridMultilevel"/>
    <w:tmpl w:val="AEEE9506"/>
    <w:lvl w:ilvl="0" w:tplc="134C9170">
      <w:start w:val="1"/>
      <w:numFmt w:val="lowerLetter"/>
      <w:lvlText w:val="(%1)"/>
      <w:lvlJc w:val="left"/>
      <w:pPr>
        <w:tabs>
          <w:tab w:val="num" w:pos="1080"/>
        </w:tabs>
        <w:ind w:left="0" w:firstLine="720"/>
      </w:pPr>
      <w:rPr>
        <w:rFonts w:hint="default"/>
        <w:b w:val="0"/>
        <w:i w:val="0"/>
      </w:rPr>
    </w:lvl>
    <w:lvl w:ilvl="1" w:tplc="DA4638DA">
      <w:start w:val="2"/>
      <w:numFmt w:val="lowerRoman"/>
      <w:lvlText w:val="(%2)"/>
      <w:lvlJc w:val="left"/>
      <w:pPr>
        <w:tabs>
          <w:tab w:val="num" w:pos="2520"/>
        </w:tabs>
        <w:ind w:left="2520" w:hanging="720"/>
      </w:pPr>
      <w:rPr>
        <w:rFonts w:hint="default"/>
      </w:rPr>
    </w:lvl>
    <w:lvl w:ilvl="2" w:tplc="8B1ACD08">
      <w:start w:val="1"/>
      <w:numFmt w:val="lowerRoman"/>
      <w:lvlText w:val="%3."/>
      <w:lvlJc w:val="right"/>
      <w:pPr>
        <w:tabs>
          <w:tab w:val="num" w:pos="2880"/>
        </w:tabs>
        <w:ind w:left="2880" w:hanging="180"/>
      </w:pPr>
    </w:lvl>
    <w:lvl w:ilvl="3" w:tplc="34E0D136" w:tentative="1">
      <w:start w:val="1"/>
      <w:numFmt w:val="decimal"/>
      <w:lvlText w:val="%4."/>
      <w:lvlJc w:val="left"/>
      <w:pPr>
        <w:tabs>
          <w:tab w:val="num" w:pos="3600"/>
        </w:tabs>
        <w:ind w:left="3600" w:hanging="360"/>
      </w:pPr>
    </w:lvl>
    <w:lvl w:ilvl="4" w:tplc="A4B43A1C" w:tentative="1">
      <w:start w:val="1"/>
      <w:numFmt w:val="lowerLetter"/>
      <w:lvlText w:val="%5."/>
      <w:lvlJc w:val="left"/>
      <w:pPr>
        <w:tabs>
          <w:tab w:val="num" w:pos="4320"/>
        </w:tabs>
        <w:ind w:left="4320" w:hanging="360"/>
      </w:pPr>
    </w:lvl>
    <w:lvl w:ilvl="5" w:tplc="CE0A03EA" w:tentative="1">
      <w:start w:val="1"/>
      <w:numFmt w:val="lowerRoman"/>
      <w:lvlText w:val="%6."/>
      <w:lvlJc w:val="right"/>
      <w:pPr>
        <w:tabs>
          <w:tab w:val="num" w:pos="5040"/>
        </w:tabs>
        <w:ind w:left="5040" w:hanging="180"/>
      </w:pPr>
    </w:lvl>
    <w:lvl w:ilvl="6" w:tplc="8758C37A" w:tentative="1">
      <w:start w:val="1"/>
      <w:numFmt w:val="decimal"/>
      <w:lvlText w:val="%7."/>
      <w:lvlJc w:val="left"/>
      <w:pPr>
        <w:tabs>
          <w:tab w:val="num" w:pos="5760"/>
        </w:tabs>
        <w:ind w:left="5760" w:hanging="360"/>
      </w:pPr>
    </w:lvl>
    <w:lvl w:ilvl="7" w:tplc="C518D430" w:tentative="1">
      <w:start w:val="1"/>
      <w:numFmt w:val="lowerLetter"/>
      <w:lvlText w:val="%8."/>
      <w:lvlJc w:val="left"/>
      <w:pPr>
        <w:tabs>
          <w:tab w:val="num" w:pos="6480"/>
        </w:tabs>
        <w:ind w:left="6480" w:hanging="360"/>
      </w:pPr>
    </w:lvl>
    <w:lvl w:ilvl="8" w:tplc="DE12F522" w:tentative="1">
      <w:start w:val="1"/>
      <w:numFmt w:val="lowerRoman"/>
      <w:lvlText w:val="%9."/>
      <w:lvlJc w:val="right"/>
      <w:pPr>
        <w:tabs>
          <w:tab w:val="num" w:pos="7200"/>
        </w:tabs>
        <w:ind w:left="7200" w:hanging="180"/>
      </w:pPr>
    </w:lvl>
  </w:abstractNum>
  <w:abstractNum w:abstractNumId="9" w15:restartNumberingAfterBreak="0">
    <w:nsid w:val="48E4287B"/>
    <w:multiLevelType w:val="multilevel"/>
    <w:tmpl w:val="851C2202"/>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4E0442B4"/>
    <w:multiLevelType w:val="multilevel"/>
    <w:tmpl w:val="8A62604E"/>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pStyle w:val="Para3"/>
      <w:lvlText w:val="(%3)"/>
      <w:lvlJc w:val="left"/>
      <w:pPr>
        <w:tabs>
          <w:tab w:val="num" w:pos="2120"/>
        </w:tabs>
        <w:ind w:left="2120" w:hanging="360"/>
      </w:pPr>
      <w:rPr>
        <w:rFonts w:hint="default"/>
        <w:b w:val="0"/>
        <w:i w:val="0"/>
        <w:sz w:val="22"/>
      </w:r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5B2B482C"/>
    <w:multiLevelType w:val="hybridMultilevel"/>
    <w:tmpl w:val="A8C8A8CC"/>
    <w:lvl w:ilvl="0" w:tplc="0C046B10">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4CD46D3"/>
    <w:multiLevelType w:val="hybridMultilevel"/>
    <w:tmpl w:val="81144002"/>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15:restartNumberingAfterBreak="0">
    <w:nsid w:val="7FDD1BE8"/>
    <w:multiLevelType w:val="hybridMultilevel"/>
    <w:tmpl w:val="E1B20EB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626499830">
    <w:abstractNumId w:val="10"/>
  </w:num>
  <w:num w:numId="2" w16cid:durableId="1027560802">
    <w:abstractNumId w:val="7"/>
  </w:num>
  <w:num w:numId="3" w16cid:durableId="1424454215">
    <w:abstractNumId w:val="11"/>
  </w:num>
  <w:num w:numId="4" w16cid:durableId="1379478749">
    <w:abstractNumId w:val="2"/>
  </w:num>
  <w:num w:numId="5" w16cid:durableId="1229612478">
    <w:abstractNumId w:val="1"/>
  </w:num>
  <w:num w:numId="6" w16cid:durableId="1800952695">
    <w:abstractNumId w:val="3"/>
  </w:num>
  <w:num w:numId="7" w16cid:durableId="912742353">
    <w:abstractNumId w:val="10"/>
  </w:num>
  <w:num w:numId="8" w16cid:durableId="914240016">
    <w:abstractNumId w:val="8"/>
  </w:num>
  <w:num w:numId="9" w16cid:durableId="986276387">
    <w:abstractNumId w:val="5"/>
  </w:num>
  <w:num w:numId="10" w16cid:durableId="575436109">
    <w:abstractNumId w:val="10"/>
  </w:num>
  <w:num w:numId="11" w16cid:durableId="1775637142">
    <w:abstractNumId w:val="9"/>
  </w:num>
  <w:num w:numId="12" w16cid:durableId="959920416">
    <w:abstractNumId w:val="6"/>
  </w:num>
  <w:num w:numId="13" w16cid:durableId="984159514">
    <w:abstractNumId w:val="0"/>
  </w:num>
  <w:num w:numId="14" w16cid:durableId="699471585">
    <w:abstractNumId w:val="12"/>
  </w:num>
  <w:num w:numId="15" w16cid:durableId="1745444378">
    <w:abstractNumId w:val="4"/>
  </w:num>
  <w:num w:numId="16" w16cid:durableId="14951504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C3F"/>
    <w:rsid w:val="000250BB"/>
    <w:rsid w:val="00051CEF"/>
    <w:rsid w:val="00054AA4"/>
    <w:rsid w:val="00081DC8"/>
    <w:rsid w:val="000A669D"/>
    <w:rsid w:val="000E4095"/>
    <w:rsid w:val="000E41E5"/>
    <w:rsid w:val="000F0844"/>
    <w:rsid w:val="00101F18"/>
    <w:rsid w:val="00112C4C"/>
    <w:rsid w:val="00126A32"/>
    <w:rsid w:val="001372F2"/>
    <w:rsid w:val="00147C2F"/>
    <w:rsid w:val="0015743A"/>
    <w:rsid w:val="00166FCC"/>
    <w:rsid w:val="001A0D89"/>
    <w:rsid w:val="001A1750"/>
    <w:rsid w:val="001A7890"/>
    <w:rsid w:val="001B4651"/>
    <w:rsid w:val="001B7B28"/>
    <w:rsid w:val="001C20B6"/>
    <w:rsid w:val="001C3F77"/>
    <w:rsid w:val="001D15EA"/>
    <w:rsid w:val="001D606C"/>
    <w:rsid w:val="001E4663"/>
    <w:rsid w:val="001F1AE9"/>
    <w:rsid w:val="0021264A"/>
    <w:rsid w:val="00213CCB"/>
    <w:rsid w:val="002140CD"/>
    <w:rsid w:val="00216F55"/>
    <w:rsid w:val="002259DB"/>
    <w:rsid w:val="00227B28"/>
    <w:rsid w:val="00234023"/>
    <w:rsid w:val="0024455A"/>
    <w:rsid w:val="00273440"/>
    <w:rsid w:val="00275C69"/>
    <w:rsid w:val="002838D4"/>
    <w:rsid w:val="002B2B43"/>
    <w:rsid w:val="002C1DEE"/>
    <w:rsid w:val="002C3A8A"/>
    <w:rsid w:val="002D777D"/>
    <w:rsid w:val="002F1267"/>
    <w:rsid w:val="002F1E80"/>
    <w:rsid w:val="002F7A88"/>
    <w:rsid w:val="00301173"/>
    <w:rsid w:val="00302DA0"/>
    <w:rsid w:val="00350B86"/>
    <w:rsid w:val="003559D7"/>
    <w:rsid w:val="003579F1"/>
    <w:rsid w:val="003761FA"/>
    <w:rsid w:val="003815AA"/>
    <w:rsid w:val="0038568E"/>
    <w:rsid w:val="003C76CF"/>
    <w:rsid w:val="003D02EB"/>
    <w:rsid w:val="003D19DE"/>
    <w:rsid w:val="003D4026"/>
    <w:rsid w:val="003D794F"/>
    <w:rsid w:val="003E6118"/>
    <w:rsid w:val="004040B7"/>
    <w:rsid w:val="00425F17"/>
    <w:rsid w:val="00430E81"/>
    <w:rsid w:val="00445B67"/>
    <w:rsid w:val="00450135"/>
    <w:rsid w:val="00484398"/>
    <w:rsid w:val="004867BE"/>
    <w:rsid w:val="004A6D48"/>
    <w:rsid w:val="004C5173"/>
    <w:rsid w:val="004D1225"/>
    <w:rsid w:val="004E0303"/>
    <w:rsid w:val="00503A77"/>
    <w:rsid w:val="0052004B"/>
    <w:rsid w:val="00534ED6"/>
    <w:rsid w:val="005360F5"/>
    <w:rsid w:val="00541D21"/>
    <w:rsid w:val="005512CB"/>
    <w:rsid w:val="00557402"/>
    <w:rsid w:val="00557D36"/>
    <w:rsid w:val="00566BCB"/>
    <w:rsid w:val="005951F0"/>
    <w:rsid w:val="005A5DD6"/>
    <w:rsid w:val="005B3636"/>
    <w:rsid w:val="005C4FA5"/>
    <w:rsid w:val="005D2FEB"/>
    <w:rsid w:val="005D6C3F"/>
    <w:rsid w:val="005E5039"/>
    <w:rsid w:val="005F170E"/>
    <w:rsid w:val="005F71E6"/>
    <w:rsid w:val="00605233"/>
    <w:rsid w:val="00632D1C"/>
    <w:rsid w:val="0063562A"/>
    <w:rsid w:val="00636B98"/>
    <w:rsid w:val="006441FC"/>
    <w:rsid w:val="00647AAB"/>
    <w:rsid w:val="00674730"/>
    <w:rsid w:val="00682689"/>
    <w:rsid w:val="00691321"/>
    <w:rsid w:val="0069760C"/>
    <w:rsid w:val="006A1AC7"/>
    <w:rsid w:val="006A2AF2"/>
    <w:rsid w:val="006C0A17"/>
    <w:rsid w:val="006C736D"/>
    <w:rsid w:val="006D187D"/>
    <w:rsid w:val="006D6938"/>
    <w:rsid w:val="006F5EC4"/>
    <w:rsid w:val="007048AA"/>
    <w:rsid w:val="007121A4"/>
    <w:rsid w:val="0071521C"/>
    <w:rsid w:val="007300CC"/>
    <w:rsid w:val="00753A19"/>
    <w:rsid w:val="00767AF2"/>
    <w:rsid w:val="00793413"/>
    <w:rsid w:val="007970D0"/>
    <w:rsid w:val="007A5931"/>
    <w:rsid w:val="007D2E52"/>
    <w:rsid w:val="007F2A71"/>
    <w:rsid w:val="008062F9"/>
    <w:rsid w:val="00807905"/>
    <w:rsid w:val="00807AFE"/>
    <w:rsid w:val="008301FF"/>
    <w:rsid w:val="00835E9A"/>
    <w:rsid w:val="0083761D"/>
    <w:rsid w:val="008469C7"/>
    <w:rsid w:val="00867387"/>
    <w:rsid w:val="0087115B"/>
    <w:rsid w:val="00872F01"/>
    <w:rsid w:val="0088622C"/>
    <w:rsid w:val="00895DC1"/>
    <w:rsid w:val="008A0896"/>
    <w:rsid w:val="008A12C2"/>
    <w:rsid w:val="008C3FC1"/>
    <w:rsid w:val="008F4ACB"/>
    <w:rsid w:val="008F5F0C"/>
    <w:rsid w:val="0090507F"/>
    <w:rsid w:val="009147B2"/>
    <w:rsid w:val="009267C3"/>
    <w:rsid w:val="0095026D"/>
    <w:rsid w:val="009659B1"/>
    <w:rsid w:val="00976134"/>
    <w:rsid w:val="00977BD2"/>
    <w:rsid w:val="009B24AE"/>
    <w:rsid w:val="009D67C2"/>
    <w:rsid w:val="009E44C0"/>
    <w:rsid w:val="009E6B1D"/>
    <w:rsid w:val="00A02A48"/>
    <w:rsid w:val="00A0449E"/>
    <w:rsid w:val="00A24317"/>
    <w:rsid w:val="00A268EA"/>
    <w:rsid w:val="00A50C47"/>
    <w:rsid w:val="00A515F8"/>
    <w:rsid w:val="00A60797"/>
    <w:rsid w:val="00A80436"/>
    <w:rsid w:val="00AA2E49"/>
    <w:rsid w:val="00AA5A81"/>
    <w:rsid w:val="00AA785A"/>
    <w:rsid w:val="00AF0B74"/>
    <w:rsid w:val="00AF4798"/>
    <w:rsid w:val="00B00EE8"/>
    <w:rsid w:val="00B0230F"/>
    <w:rsid w:val="00B21ECC"/>
    <w:rsid w:val="00B7471D"/>
    <w:rsid w:val="00B81788"/>
    <w:rsid w:val="00B8389C"/>
    <w:rsid w:val="00B90069"/>
    <w:rsid w:val="00BA6BCF"/>
    <w:rsid w:val="00BC303D"/>
    <w:rsid w:val="00BD0CB8"/>
    <w:rsid w:val="00BD2049"/>
    <w:rsid w:val="00BE2DE4"/>
    <w:rsid w:val="00BE5278"/>
    <w:rsid w:val="00BE76A0"/>
    <w:rsid w:val="00BF55DD"/>
    <w:rsid w:val="00BF7B19"/>
    <w:rsid w:val="00C3518B"/>
    <w:rsid w:val="00C35218"/>
    <w:rsid w:val="00C42A7C"/>
    <w:rsid w:val="00C64D60"/>
    <w:rsid w:val="00C72D3C"/>
    <w:rsid w:val="00C77933"/>
    <w:rsid w:val="00CB3F9F"/>
    <w:rsid w:val="00CB58D3"/>
    <w:rsid w:val="00CB676F"/>
    <w:rsid w:val="00CC1AAB"/>
    <w:rsid w:val="00CC6BCC"/>
    <w:rsid w:val="00CD7403"/>
    <w:rsid w:val="00CE1E8D"/>
    <w:rsid w:val="00CF2081"/>
    <w:rsid w:val="00CF7D07"/>
    <w:rsid w:val="00D04979"/>
    <w:rsid w:val="00D1473E"/>
    <w:rsid w:val="00D20247"/>
    <w:rsid w:val="00D24CE8"/>
    <w:rsid w:val="00D46347"/>
    <w:rsid w:val="00D55ECE"/>
    <w:rsid w:val="00D86C63"/>
    <w:rsid w:val="00D9639C"/>
    <w:rsid w:val="00DB216D"/>
    <w:rsid w:val="00DC303B"/>
    <w:rsid w:val="00DD2633"/>
    <w:rsid w:val="00DD6A4D"/>
    <w:rsid w:val="00E0179D"/>
    <w:rsid w:val="00E11A0D"/>
    <w:rsid w:val="00E11D1C"/>
    <w:rsid w:val="00E1298F"/>
    <w:rsid w:val="00E333F5"/>
    <w:rsid w:val="00E466EB"/>
    <w:rsid w:val="00E52822"/>
    <w:rsid w:val="00E60024"/>
    <w:rsid w:val="00E61688"/>
    <w:rsid w:val="00E92E59"/>
    <w:rsid w:val="00E9539E"/>
    <w:rsid w:val="00EC6C5B"/>
    <w:rsid w:val="00EF231D"/>
    <w:rsid w:val="00EF5343"/>
    <w:rsid w:val="00EF6308"/>
    <w:rsid w:val="00F01C51"/>
    <w:rsid w:val="00F14E1C"/>
    <w:rsid w:val="00F271AD"/>
    <w:rsid w:val="00F32473"/>
    <w:rsid w:val="00F424E6"/>
    <w:rsid w:val="00F51A0B"/>
    <w:rsid w:val="00F75754"/>
    <w:rsid w:val="00FB4B4C"/>
    <w:rsid w:val="00FC1440"/>
    <w:rsid w:val="00FC392F"/>
    <w:rsid w:val="00FE438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CF904E"/>
  <w15:chartTrackingRefBased/>
  <w15:docId w15:val="{2A1F67C3-27EC-3D4A-BC5D-E877D5F45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2FEB"/>
    <w:pPr>
      <w:jc w:val="both"/>
    </w:pPr>
    <w:rPr>
      <w:sz w:val="22"/>
      <w:szCs w:val="24"/>
      <w:lang w:val="en-GB"/>
    </w:rPr>
  </w:style>
  <w:style w:type="paragraph" w:styleId="Heading1">
    <w:name w:val="heading 1"/>
    <w:basedOn w:val="Normal"/>
    <w:next w:val="Heading2"/>
    <w:qFormat/>
    <w:rsid w:val="005D2FEB"/>
    <w:pPr>
      <w:keepNext/>
      <w:tabs>
        <w:tab w:val="left" w:pos="720"/>
      </w:tabs>
      <w:spacing w:before="240" w:after="120"/>
      <w:jc w:val="center"/>
      <w:outlineLvl w:val="0"/>
    </w:pPr>
    <w:rPr>
      <w:b/>
      <w:caps/>
    </w:rPr>
  </w:style>
  <w:style w:type="paragraph" w:styleId="Heading2">
    <w:name w:val="heading 2"/>
    <w:basedOn w:val="Normal"/>
    <w:next w:val="Normal"/>
    <w:qFormat/>
    <w:rsid w:val="005D2FEB"/>
    <w:pPr>
      <w:keepNext/>
      <w:tabs>
        <w:tab w:val="left" w:pos="720"/>
      </w:tabs>
      <w:spacing w:before="120" w:after="120"/>
      <w:jc w:val="center"/>
      <w:outlineLvl w:val="1"/>
    </w:pPr>
    <w:rPr>
      <w:b/>
      <w:bCs/>
      <w:i/>
      <w:iCs/>
    </w:rPr>
  </w:style>
  <w:style w:type="paragraph" w:styleId="Heading3">
    <w:name w:val="heading 3"/>
    <w:basedOn w:val="Normal"/>
    <w:next w:val="Normal"/>
    <w:qFormat/>
    <w:rsid w:val="005D2FEB"/>
    <w:pPr>
      <w:keepNext/>
      <w:tabs>
        <w:tab w:val="left" w:pos="567"/>
      </w:tabs>
      <w:spacing w:before="120" w:after="120"/>
      <w:jc w:val="center"/>
      <w:outlineLvl w:val="2"/>
    </w:pPr>
    <w:rPr>
      <w:i/>
      <w:iCs/>
    </w:rPr>
  </w:style>
  <w:style w:type="paragraph" w:styleId="Heading4">
    <w:name w:val="heading 4"/>
    <w:basedOn w:val="Normal"/>
    <w:qFormat/>
    <w:rsid w:val="005D2FEB"/>
    <w:pPr>
      <w:keepNext/>
      <w:spacing w:before="120" w:after="120"/>
      <w:outlineLvl w:val="3"/>
    </w:pPr>
    <w:rPr>
      <w:rFonts w:eastAsia="Arial Unicode MS"/>
      <w:b/>
      <w:bCs/>
      <w:i/>
      <w:iCs/>
    </w:rPr>
  </w:style>
  <w:style w:type="paragraph" w:styleId="Heading5">
    <w:name w:val="heading 5"/>
    <w:basedOn w:val="Normal"/>
    <w:next w:val="Normal"/>
    <w:qFormat/>
    <w:rsid w:val="005D2FEB"/>
    <w:pPr>
      <w:keepNext/>
      <w:numPr>
        <w:ilvl w:val="4"/>
        <w:numId w:val="6"/>
      </w:numPr>
      <w:tabs>
        <w:tab w:val="clear" w:pos="720"/>
        <w:tab w:val="num" w:pos="1800"/>
      </w:tabs>
      <w:spacing w:before="120" w:after="120"/>
      <w:ind w:left="1800" w:hanging="360"/>
      <w:jc w:val="left"/>
      <w:outlineLvl w:val="4"/>
    </w:pPr>
    <w:rPr>
      <w:bCs/>
      <w:i/>
      <w:szCs w:val="26"/>
      <w:lang w:val="en-CA"/>
    </w:rPr>
  </w:style>
  <w:style w:type="paragraph" w:styleId="Heading6">
    <w:name w:val="heading 6"/>
    <w:basedOn w:val="Normal"/>
    <w:next w:val="Normal"/>
    <w:qFormat/>
    <w:rsid w:val="005D2FEB"/>
    <w:pPr>
      <w:keepNext/>
      <w:spacing w:after="240" w:line="240" w:lineRule="exact"/>
      <w:ind w:left="720"/>
      <w:outlineLvl w:val="5"/>
    </w:pPr>
    <w:rPr>
      <w:u w:val="single"/>
    </w:rPr>
  </w:style>
  <w:style w:type="paragraph" w:styleId="Heading7">
    <w:name w:val="heading 7"/>
    <w:basedOn w:val="Normal"/>
    <w:next w:val="Normal"/>
    <w:qFormat/>
    <w:rsid w:val="005D2FEB"/>
    <w:pPr>
      <w:keepNext/>
      <w:jc w:val="right"/>
      <w:outlineLvl w:val="6"/>
    </w:pPr>
    <w:rPr>
      <w:rFonts w:ascii="Univers" w:hAnsi="Univers"/>
      <w:b/>
      <w:sz w:val="28"/>
    </w:rPr>
  </w:style>
  <w:style w:type="paragraph" w:styleId="Heading8">
    <w:name w:val="heading 8"/>
    <w:basedOn w:val="Normal"/>
    <w:next w:val="Normal"/>
    <w:qFormat/>
    <w:rsid w:val="005D2FEB"/>
    <w:pPr>
      <w:keepNext/>
      <w:jc w:val="right"/>
      <w:outlineLvl w:val="7"/>
    </w:pPr>
    <w:rPr>
      <w:rFonts w:ascii="Univers" w:hAnsi="Univers"/>
      <w:b/>
      <w:sz w:val="32"/>
    </w:rPr>
  </w:style>
  <w:style w:type="paragraph" w:styleId="Heading9">
    <w:name w:val="heading 9"/>
    <w:basedOn w:val="Normal"/>
    <w:next w:val="Normal"/>
    <w:qFormat/>
    <w:rsid w:val="005D2FEB"/>
    <w:pPr>
      <w:keepNext/>
      <w:spacing w:before="100" w:beforeAutospacing="1" w:after="120"/>
      <w:outlineLvl w:val="8"/>
    </w:pPr>
    <w:rPr>
      <w:i/>
      <w:iCs/>
    </w:rPr>
  </w:style>
  <w:style w:type="character" w:default="1" w:styleId="DefaultParagraphFont">
    <w:name w:val="Default Paragraph Font"/>
    <w:semiHidden/>
    <w:rsid w:val="005D2FEB"/>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rsid w:val="005D2FEB"/>
  </w:style>
  <w:style w:type="paragraph" w:customStyle="1" w:styleId="Para1">
    <w:name w:val="Para1"/>
    <w:basedOn w:val="Normal"/>
    <w:link w:val="Para1Char"/>
    <w:rsid w:val="005D2FEB"/>
    <w:pPr>
      <w:numPr>
        <w:numId w:val="10"/>
      </w:numPr>
      <w:tabs>
        <w:tab w:val="left" w:pos="720"/>
      </w:tabs>
      <w:spacing w:after="120"/>
    </w:pPr>
    <w:rPr>
      <w:snapToGrid w:val="0"/>
      <w:szCs w:val="18"/>
    </w:rPr>
  </w:style>
  <w:style w:type="paragraph" w:customStyle="1" w:styleId="Para3">
    <w:name w:val="Para3"/>
    <w:basedOn w:val="Normal"/>
    <w:rsid w:val="005D2FEB"/>
    <w:pPr>
      <w:numPr>
        <w:ilvl w:val="2"/>
        <w:numId w:val="10"/>
      </w:numPr>
      <w:tabs>
        <w:tab w:val="left" w:pos="1980"/>
      </w:tabs>
      <w:spacing w:before="80" w:after="80"/>
    </w:pPr>
    <w:rPr>
      <w:szCs w:val="20"/>
    </w:rPr>
  </w:style>
  <w:style w:type="paragraph" w:customStyle="1" w:styleId="Heading1multiline">
    <w:name w:val="Heading 1 (multiline)"/>
    <w:basedOn w:val="Heading1"/>
    <w:rsid w:val="005D2FEB"/>
    <w:pPr>
      <w:ind w:left="1843" w:right="996" w:hanging="567"/>
      <w:jc w:val="left"/>
    </w:pPr>
  </w:style>
  <w:style w:type="paragraph" w:styleId="Footer">
    <w:name w:val="footer"/>
    <w:basedOn w:val="Normal"/>
    <w:link w:val="FooterChar"/>
    <w:rsid w:val="005D2FEB"/>
    <w:pPr>
      <w:tabs>
        <w:tab w:val="center" w:pos="4320"/>
        <w:tab w:val="right" w:pos="8640"/>
      </w:tabs>
      <w:ind w:firstLine="720"/>
      <w:jc w:val="right"/>
    </w:pPr>
  </w:style>
  <w:style w:type="paragraph" w:styleId="BalloonText">
    <w:name w:val="Balloon Text"/>
    <w:basedOn w:val="Normal"/>
    <w:semiHidden/>
    <w:rsid w:val="005D2FEB"/>
    <w:rPr>
      <w:rFonts w:ascii="Tahoma" w:hAnsi="Tahoma" w:cs="Tahoma"/>
      <w:sz w:val="16"/>
      <w:szCs w:val="16"/>
    </w:rPr>
  </w:style>
  <w:style w:type="paragraph" w:styleId="BodyText">
    <w:name w:val="Body Text"/>
    <w:basedOn w:val="Normal"/>
    <w:link w:val="BodyTextChar"/>
    <w:rsid w:val="005D2FEB"/>
    <w:pPr>
      <w:spacing w:before="120" w:after="120"/>
      <w:ind w:firstLine="720"/>
    </w:pPr>
    <w:rPr>
      <w:iCs/>
    </w:rPr>
  </w:style>
  <w:style w:type="paragraph" w:styleId="BodyText2">
    <w:name w:val="Body Text 2"/>
    <w:basedOn w:val="Normal"/>
    <w:rsid w:val="005D2FEB"/>
    <w:rPr>
      <w:b/>
      <w:bCs/>
    </w:rPr>
  </w:style>
  <w:style w:type="paragraph" w:styleId="BodyText3">
    <w:name w:val="Body Text 3"/>
    <w:basedOn w:val="Normal"/>
    <w:rsid w:val="005D2FEB"/>
    <w:pPr>
      <w:spacing w:after="120"/>
      <w:jc w:val="left"/>
    </w:pPr>
    <w:rPr>
      <w:sz w:val="16"/>
      <w:szCs w:val="16"/>
      <w:lang w:val="en-US"/>
    </w:rPr>
  </w:style>
  <w:style w:type="character" w:customStyle="1" w:styleId="BodyTextChar">
    <w:name w:val="Body Text Char"/>
    <w:basedOn w:val="DefaultParagraphFont"/>
    <w:link w:val="BodyText"/>
    <w:rsid w:val="005D2FEB"/>
    <w:rPr>
      <w:iCs/>
      <w:sz w:val="22"/>
      <w:szCs w:val="24"/>
      <w:lang w:val="en-GB" w:eastAsia="en-US" w:bidi="ar-SA"/>
    </w:rPr>
  </w:style>
  <w:style w:type="paragraph" w:styleId="BodyTextIndent">
    <w:name w:val="Body Text Indent"/>
    <w:basedOn w:val="Normal"/>
    <w:rsid w:val="005D2FEB"/>
    <w:pPr>
      <w:spacing w:before="120" w:after="120"/>
      <w:ind w:left="1440" w:hanging="720"/>
      <w:jc w:val="left"/>
    </w:pPr>
  </w:style>
  <w:style w:type="paragraph" w:styleId="BodyTextIndent2">
    <w:name w:val="Body Text Indent 2"/>
    <w:basedOn w:val="Normal"/>
    <w:rsid w:val="005D2FEB"/>
    <w:pPr>
      <w:spacing w:after="120" w:line="480" w:lineRule="auto"/>
      <w:ind w:left="360"/>
    </w:pPr>
  </w:style>
  <w:style w:type="paragraph" w:customStyle="1" w:styleId="Cornernotation">
    <w:name w:val="Corner notation"/>
    <w:basedOn w:val="Normal"/>
    <w:rsid w:val="005D2FEB"/>
    <w:pPr>
      <w:ind w:left="170" w:right="3119" w:hanging="170"/>
      <w:jc w:val="left"/>
    </w:pPr>
  </w:style>
  <w:style w:type="paragraph" w:styleId="DocumentMap">
    <w:name w:val="Document Map"/>
    <w:basedOn w:val="Normal"/>
    <w:semiHidden/>
    <w:rsid w:val="005D2FEB"/>
    <w:pPr>
      <w:shd w:val="clear" w:color="auto" w:fill="000080"/>
    </w:pPr>
    <w:rPr>
      <w:rFonts w:ascii="Tahoma" w:hAnsi="Tahoma"/>
    </w:rPr>
  </w:style>
  <w:style w:type="character" w:styleId="EndnoteReference">
    <w:name w:val="endnote reference"/>
    <w:basedOn w:val="DefaultParagraphFont"/>
    <w:semiHidden/>
    <w:rsid w:val="005D2FEB"/>
    <w:rPr>
      <w:vertAlign w:val="superscript"/>
    </w:rPr>
  </w:style>
  <w:style w:type="paragraph" w:styleId="EndnoteText">
    <w:name w:val="endnote text"/>
    <w:basedOn w:val="Normal"/>
    <w:semiHidden/>
    <w:rsid w:val="005D2FEB"/>
    <w:pPr>
      <w:widowControl w:val="0"/>
      <w:tabs>
        <w:tab w:val="left" w:pos="-720"/>
      </w:tabs>
      <w:suppressAutoHyphens/>
    </w:pPr>
    <w:rPr>
      <w:rFonts w:ascii="Courier New" w:hAnsi="Courier New"/>
    </w:rPr>
  </w:style>
  <w:style w:type="character" w:styleId="FootnoteReference">
    <w:name w:val="footnote reference"/>
    <w:basedOn w:val="DefaultParagraphFont"/>
    <w:semiHidden/>
    <w:rsid w:val="005D2FEB"/>
    <w:rPr>
      <w:sz w:val="18"/>
      <w:u w:val="single"/>
      <w:vertAlign w:val="baseline"/>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rsid w:val="005D2FEB"/>
    <w:pPr>
      <w:keepLines/>
      <w:spacing w:after="60"/>
      <w:ind w:firstLine="720"/>
    </w:pPr>
    <w:rPr>
      <w:sz w:val="18"/>
    </w:rPr>
  </w:style>
  <w:style w:type="paragraph" w:styleId="Header">
    <w:name w:val="header"/>
    <w:basedOn w:val="Normal"/>
    <w:link w:val="HeaderChar"/>
    <w:rsid w:val="005D2FEB"/>
    <w:pPr>
      <w:tabs>
        <w:tab w:val="center" w:pos="4320"/>
        <w:tab w:val="right" w:pos="8640"/>
      </w:tabs>
    </w:pPr>
  </w:style>
  <w:style w:type="paragraph" w:customStyle="1" w:styleId="HEADING">
    <w:name w:val="HEADING"/>
    <w:basedOn w:val="Normal"/>
    <w:rsid w:val="005D2FEB"/>
    <w:pPr>
      <w:keepNext/>
      <w:tabs>
        <w:tab w:val="left" w:pos="1134"/>
      </w:tabs>
      <w:spacing w:before="240" w:after="120"/>
      <w:jc w:val="center"/>
    </w:pPr>
    <w:rPr>
      <w:b/>
      <w:caps/>
    </w:rPr>
  </w:style>
  <w:style w:type="paragraph" w:customStyle="1" w:styleId="Heading-plain">
    <w:name w:val="Heading - plain"/>
    <w:basedOn w:val="Heading2"/>
    <w:next w:val="BodyText"/>
    <w:rsid w:val="005D2FEB"/>
    <w:pPr>
      <w:tabs>
        <w:tab w:val="clear" w:pos="720"/>
        <w:tab w:val="left" w:pos="567"/>
      </w:tabs>
    </w:pPr>
  </w:style>
  <w:style w:type="paragraph" w:customStyle="1" w:styleId="HEADINGNOTFORTOC">
    <w:name w:val="HEADING (NOT FOR TOC)"/>
    <w:basedOn w:val="Heading1"/>
    <w:next w:val="Heading2"/>
    <w:rsid w:val="005D2FEB"/>
    <w:rPr>
      <w:szCs w:val="20"/>
    </w:rPr>
  </w:style>
  <w:style w:type="paragraph" w:customStyle="1" w:styleId="Heading1longmultiline">
    <w:name w:val="Heading 1 (long multiline)"/>
    <w:basedOn w:val="Heading1"/>
    <w:rsid w:val="005D2FEB"/>
    <w:pPr>
      <w:ind w:left="1843" w:hanging="1134"/>
      <w:jc w:val="left"/>
    </w:pPr>
  </w:style>
  <w:style w:type="paragraph" w:customStyle="1" w:styleId="Heading2multiline">
    <w:name w:val="Heading 2 (multiline)"/>
    <w:basedOn w:val="Heading1"/>
    <w:next w:val="Normal"/>
    <w:rsid w:val="005D2FEB"/>
    <w:pPr>
      <w:spacing w:before="120"/>
      <w:ind w:left="1843" w:right="998" w:hanging="567"/>
      <w:jc w:val="left"/>
    </w:pPr>
    <w:rPr>
      <w:i/>
      <w:iCs/>
      <w:caps w:val="0"/>
    </w:rPr>
  </w:style>
  <w:style w:type="paragraph" w:customStyle="1" w:styleId="Heading2longmultiline">
    <w:name w:val="Heading 2 (long multiline)"/>
    <w:basedOn w:val="Heading2multiline"/>
    <w:rsid w:val="005D2FEB"/>
    <w:pPr>
      <w:ind w:left="2127" w:hanging="1276"/>
    </w:pPr>
  </w:style>
  <w:style w:type="paragraph" w:customStyle="1" w:styleId="Heading3multiline">
    <w:name w:val="Heading 3 (multiline)"/>
    <w:basedOn w:val="Heading3"/>
    <w:next w:val="Normal"/>
    <w:rsid w:val="005D2FEB"/>
    <w:pPr>
      <w:ind w:left="1418" w:hanging="425"/>
      <w:jc w:val="left"/>
    </w:pPr>
  </w:style>
  <w:style w:type="paragraph" w:customStyle="1" w:styleId="Heading-plainbold">
    <w:name w:val="Heading-plain bold"/>
    <w:basedOn w:val="BodyText"/>
    <w:rsid w:val="005D2FEB"/>
    <w:pPr>
      <w:ind w:firstLine="0"/>
      <w:jc w:val="center"/>
    </w:pPr>
    <w:rPr>
      <w:b/>
      <w:bCs/>
      <w:i/>
      <w:iCs w:val="0"/>
    </w:rPr>
  </w:style>
  <w:style w:type="paragraph" w:customStyle="1" w:styleId="Heading-plainitalic">
    <w:name w:val="Heading-plain italic"/>
    <w:basedOn w:val="Heading-plainbold"/>
    <w:rsid w:val="005D2FEB"/>
    <w:rPr>
      <w:b w:val="0"/>
      <w:bCs w:val="0"/>
    </w:rPr>
  </w:style>
  <w:style w:type="character" w:styleId="PageNumber">
    <w:name w:val="page number"/>
    <w:basedOn w:val="DefaultParagraphFont"/>
    <w:rsid w:val="005D2FEB"/>
    <w:rPr>
      <w:rFonts w:ascii="Times New Roman" w:hAnsi="Times New Roman"/>
      <w:sz w:val="22"/>
    </w:rPr>
  </w:style>
  <w:style w:type="paragraph" w:customStyle="1" w:styleId="Para20">
    <w:name w:val="Para2"/>
    <w:basedOn w:val="Para1"/>
    <w:rsid w:val="005D2FEB"/>
    <w:pPr>
      <w:numPr>
        <w:numId w:val="0"/>
      </w:numPr>
      <w:autoSpaceDE w:val="0"/>
      <w:autoSpaceDN w:val="0"/>
    </w:pPr>
  </w:style>
  <w:style w:type="paragraph" w:customStyle="1" w:styleId="para2">
    <w:name w:val="para2"/>
    <w:basedOn w:val="Normal"/>
    <w:rsid w:val="005D2FEB"/>
    <w:pPr>
      <w:numPr>
        <w:numId w:val="9"/>
      </w:numPr>
      <w:spacing w:before="120" w:after="120" w:line="240" w:lineRule="exact"/>
      <w:jc w:val="left"/>
    </w:pPr>
    <w:rPr>
      <w:rFonts w:ascii="Courier" w:hAnsi="Courier"/>
      <w:sz w:val="20"/>
      <w:szCs w:val="20"/>
    </w:rPr>
  </w:style>
  <w:style w:type="paragraph" w:customStyle="1" w:styleId="para4">
    <w:name w:val="para4"/>
    <w:basedOn w:val="Normal"/>
    <w:rsid w:val="005D2FEB"/>
    <w:pPr>
      <w:numPr>
        <w:ilvl w:val="3"/>
        <w:numId w:val="11"/>
      </w:numPr>
      <w:tabs>
        <w:tab w:val="clear" w:pos="1440"/>
        <w:tab w:val="num" w:pos="3600"/>
      </w:tabs>
      <w:overflowPunct w:val="0"/>
      <w:autoSpaceDE w:val="0"/>
      <w:autoSpaceDN w:val="0"/>
      <w:adjustRightInd w:val="0"/>
      <w:spacing w:after="120" w:line="240" w:lineRule="atLeast"/>
      <w:ind w:left="3600"/>
      <w:textAlignment w:val="baseline"/>
    </w:pPr>
    <w:rPr>
      <w:rFonts w:ascii="Courier" w:hAnsi="Courier"/>
      <w:color w:val="000000"/>
      <w:sz w:val="20"/>
      <w:szCs w:val="20"/>
    </w:rPr>
  </w:style>
  <w:style w:type="paragraph" w:customStyle="1" w:styleId="Para-no-num">
    <w:name w:val="Para-no-num"/>
    <w:basedOn w:val="Normal"/>
    <w:rsid w:val="005D2FEB"/>
    <w:pPr>
      <w:tabs>
        <w:tab w:val="left" w:pos="720"/>
      </w:tabs>
      <w:spacing w:before="120" w:after="120"/>
    </w:pPr>
    <w:rPr>
      <w:szCs w:val="18"/>
    </w:rPr>
  </w:style>
  <w:style w:type="paragraph" w:customStyle="1" w:styleId="Paranum">
    <w:name w:val="Paranum"/>
    <w:basedOn w:val="Para1"/>
    <w:rsid w:val="005D2FEB"/>
    <w:pPr>
      <w:numPr>
        <w:numId w:val="12"/>
      </w:numPr>
      <w:tabs>
        <w:tab w:val="clear" w:pos="360"/>
        <w:tab w:val="num" w:pos="1440"/>
      </w:tabs>
      <w:spacing w:line="240" w:lineRule="exact"/>
      <w:ind w:left="1440" w:hanging="360"/>
    </w:pPr>
    <w:rPr>
      <w:snapToGrid/>
      <w:szCs w:val="20"/>
      <w:lang w:val="en-US"/>
    </w:rPr>
  </w:style>
  <w:style w:type="paragraph" w:customStyle="1" w:styleId="ProgElemt">
    <w:name w:val="ProgElemt"/>
    <w:basedOn w:val="HEADINGNOTFORTOC"/>
    <w:rsid w:val="005D2FEB"/>
    <w:rPr>
      <w:rFonts w:ascii="Times New Roman Bold" w:hAnsi="Times New Roman Bold"/>
      <w:caps w:val="0"/>
      <w:szCs w:val="22"/>
    </w:rPr>
  </w:style>
  <w:style w:type="paragraph" w:styleId="TOC1">
    <w:name w:val="toc 1"/>
    <w:basedOn w:val="Normal"/>
    <w:next w:val="Normal"/>
    <w:autoRedefine/>
    <w:semiHidden/>
    <w:rsid w:val="005D2FEB"/>
    <w:pPr>
      <w:ind w:left="720" w:hanging="720"/>
    </w:pPr>
    <w:rPr>
      <w:caps/>
    </w:rPr>
  </w:style>
  <w:style w:type="paragraph" w:styleId="TOC2">
    <w:name w:val="toc 2"/>
    <w:basedOn w:val="Normal"/>
    <w:next w:val="Normal"/>
    <w:autoRedefine/>
    <w:semiHidden/>
    <w:rsid w:val="005D2FEB"/>
    <w:pPr>
      <w:tabs>
        <w:tab w:val="right" w:leader="dot" w:pos="9356"/>
      </w:tabs>
      <w:ind w:left="1440" w:hanging="720"/>
    </w:pPr>
    <w:rPr>
      <w:noProof/>
      <w:szCs w:val="22"/>
    </w:rPr>
  </w:style>
  <w:style w:type="paragraph" w:styleId="TOC3">
    <w:name w:val="toc 3"/>
    <w:basedOn w:val="Normal"/>
    <w:next w:val="Normal"/>
    <w:autoRedefine/>
    <w:semiHidden/>
    <w:rsid w:val="005D2FEB"/>
    <w:pPr>
      <w:ind w:left="2160" w:hanging="720"/>
    </w:pPr>
  </w:style>
  <w:style w:type="character" w:customStyle="1" w:styleId="Para1Char">
    <w:name w:val="Para1 Char"/>
    <w:basedOn w:val="DefaultParagraphFont"/>
    <w:link w:val="Para1"/>
    <w:rsid w:val="009D67C2"/>
    <w:rPr>
      <w:snapToGrid w:val="0"/>
      <w:sz w:val="22"/>
      <w:szCs w:val="18"/>
      <w:lang w:val="en-GB" w:eastAsia="en-US"/>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basedOn w:val="DefaultParagraphFont"/>
    <w:link w:val="FootnoteText"/>
    <w:semiHidden/>
    <w:rsid w:val="009D67C2"/>
    <w:rPr>
      <w:sz w:val="18"/>
      <w:szCs w:val="24"/>
      <w:lang w:val="en-GB" w:eastAsia="en-US"/>
    </w:rPr>
  </w:style>
  <w:style w:type="character" w:styleId="CommentReference">
    <w:name w:val="annotation reference"/>
    <w:basedOn w:val="DefaultParagraphFont"/>
    <w:semiHidden/>
    <w:rsid w:val="00B7471D"/>
    <w:rPr>
      <w:sz w:val="16"/>
      <w:szCs w:val="16"/>
    </w:rPr>
  </w:style>
  <w:style w:type="paragraph" w:styleId="CommentText">
    <w:name w:val="annotation text"/>
    <w:basedOn w:val="Normal"/>
    <w:semiHidden/>
    <w:rsid w:val="00B7471D"/>
    <w:rPr>
      <w:sz w:val="20"/>
      <w:szCs w:val="20"/>
    </w:rPr>
  </w:style>
  <w:style w:type="paragraph" w:styleId="CommentSubject">
    <w:name w:val="annotation subject"/>
    <w:basedOn w:val="CommentText"/>
    <w:next w:val="CommentText"/>
    <w:semiHidden/>
    <w:rsid w:val="00B7471D"/>
    <w:rPr>
      <w:b/>
      <w:bCs/>
    </w:rPr>
  </w:style>
  <w:style w:type="character" w:styleId="Emphasis">
    <w:name w:val="Emphasis"/>
    <w:basedOn w:val="DefaultParagraphFont"/>
    <w:uiPriority w:val="20"/>
    <w:qFormat/>
    <w:rsid w:val="0021264A"/>
    <w:rPr>
      <w:b/>
      <w:bCs/>
      <w:i w:val="0"/>
      <w:iCs w:val="0"/>
    </w:rPr>
  </w:style>
  <w:style w:type="paragraph" w:customStyle="1" w:styleId="Default">
    <w:name w:val="Default"/>
    <w:rsid w:val="006A1AC7"/>
    <w:pPr>
      <w:autoSpaceDE w:val="0"/>
      <w:autoSpaceDN w:val="0"/>
      <w:adjustRightInd w:val="0"/>
    </w:pPr>
    <w:rPr>
      <w:color w:val="000000"/>
      <w:sz w:val="24"/>
      <w:szCs w:val="24"/>
      <w:lang w:val="en-US"/>
    </w:rPr>
  </w:style>
  <w:style w:type="character" w:customStyle="1" w:styleId="FooterChar">
    <w:name w:val="Footer Char"/>
    <w:basedOn w:val="DefaultParagraphFont"/>
    <w:link w:val="Footer"/>
    <w:rsid w:val="001A0D89"/>
    <w:rPr>
      <w:sz w:val="22"/>
      <w:szCs w:val="24"/>
      <w:lang w:val="en-GB" w:eastAsia="en-US" w:bidi="ar-SA"/>
    </w:rPr>
  </w:style>
  <w:style w:type="character" w:customStyle="1" w:styleId="fnChar1">
    <w:name w:val="fn Char1"/>
    <w:aliases w:val="Geneva 9 Char2,Font: Geneva 9 Char2,Boston 10 Char2,f Char2,ft Char2,Fotnotstext Char Char1,ft Char Char1,single space Char1,footnote text Char1,FOOTNOTES Char1,ADB Char1,single space1 Char1,footnote text1 Char1,FOOTNOTES1 Char1,fn1 Char1"/>
    <w:basedOn w:val="DefaultParagraphFont"/>
    <w:semiHidden/>
    <w:rsid w:val="001A0D89"/>
    <w:rPr>
      <w:sz w:val="18"/>
      <w:szCs w:val="24"/>
      <w:lang w:val="en-GB" w:eastAsia="en-US" w:bidi="ar-SA"/>
    </w:rPr>
  </w:style>
  <w:style w:type="character" w:customStyle="1" w:styleId="HeaderChar">
    <w:name w:val="Header Char"/>
    <w:basedOn w:val="DefaultParagraphFont"/>
    <w:link w:val="Header"/>
    <w:rsid w:val="001A0D89"/>
    <w:rPr>
      <w:sz w:val="22"/>
      <w:szCs w:val="24"/>
      <w:lang w:val="en-GB" w:eastAsia="en-US" w:bidi="ar-SA"/>
    </w:rPr>
  </w:style>
  <w:style w:type="paragraph" w:customStyle="1" w:styleId="Dec-titleoneline">
    <w:name w:val="Dec-title one line"/>
    <w:basedOn w:val="Heading2"/>
    <w:rsid w:val="001A0D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 Id="rId22" Type="http://schemas.openxmlformats.org/officeDocument/2006/relationships/footer" Target="footer8.xml"/></Relationships>
</file>

<file path=word/_rels/settings.xml.rels><?xml version="1.0" encoding="UTF-8" standalone="yes"?>
<Relationships xmlns="http://schemas.openxmlformats.org/package/2006/relationships"><Relationship Id="rId1" Type="http://schemas.openxmlformats.org/officeDocument/2006/relationships/attachedTemplate" Target="file:///U:\Working%20Folders\Conference%20&amp;%20Editorial%20Services\NEW%20U\Templates\Docs\Template-crp-e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U:\Working Folders\Conference &amp; Editorial Services\NEW U\Templates\Docs\Template-crp-en.dot</Template>
  <TotalTime>0</TotalTime>
  <Pages>4</Pages>
  <Words>1617</Words>
  <Characters>9217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Decision X/32</vt:lpstr>
    </vt:vector>
  </TitlesOfParts>
  <Company/>
  <LinksUpToDate>false</LinksUpToDate>
  <CharactersWithSpaces>10813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X/32</dc:title>
  <dc:subject>Sustainable use of biodiversity</dc:subject>
  <dc:creator>SCBD</dc:creator>
  <cp:keywords/>
  <dc:description/>
  <cp:lastModifiedBy>Rodrigo Elias</cp:lastModifiedBy>
  <cp:revision>2</cp:revision>
  <cp:lastPrinted>2010-10-27T00:13:00Z</cp:lastPrinted>
  <dcterms:created xsi:type="dcterms:W3CDTF">2025-11-13T18:52:00Z</dcterms:created>
  <dcterms:modified xsi:type="dcterms:W3CDTF">2025-11-13T18:52:00Z</dcterms:modified>
</cp:coreProperties>
</file>