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87" w:type="dxa"/>
        <w:tblInd w:w="-612" w:type="dxa"/>
        <w:tblBorders>
          <w:bottom w:val="single" w:sz="36" w:space="0" w:color="000000"/>
        </w:tblBorders>
        <w:tblLayout w:type="fixed"/>
        <w:tblLook w:val="0000" w:firstRow="0" w:lastRow="0" w:firstColumn="0" w:lastColumn="0" w:noHBand="0" w:noVBand="0"/>
      </w:tblPr>
      <w:tblGrid>
        <w:gridCol w:w="1366"/>
        <w:gridCol w:w="1244"/>
        <w:gridCol w:w="2620"/>
        <w:gridCol w:w="1540"/>
        <w:gridCol w:w="3667"/>
        <w:gridCol w:w="250"/>
      </w:tblGrid>
      <w:tr w:rsidR="00B27CBA" w14:paraId="685F6BA9" w14:textId="77777777" w:rsidTr="00B27CBA">
        <w:tblPrEx>
          <w:tblCellMar>
            <w:top w:w="0" w:type="dxa"/>
            <w:bottom w:w="0" w:type="dxa"/>
          </w:tblCellMar>
        </w:tblPrEx>
        <w:trPr>
          <w:gridAfter w:val="1"/>
          <w:wAfter w:w="250" w:type="dxa"/>
        </w:trPr>
        <w:tc>
          <w:tcPr>
            <w:tcW w:w="1366" w:type="dxa"/>
            <w:tcBorders>
              <w:top w:val="nil"/>
              <w:bottom w:val="single" w:sz="12" w:space="0" w:color="000000"/>
            </w:tcBorders>
          </w:tcPr>
          <w:p w14:paraId="5CD791AF" w14:textId="77777777" w:rsidR="00B27CBA" w:rsidRDefault="004C4AF6" w:rsidP="00E160CB">
            <w:pPr>
              <w:pStyle w:val="BodyText2"/>
            </w:pPr>
            <w:bookmarkStart w:id="0" w:name="_Toc245534160"/>
            <w:r>
              <w:rPr>
                <w:noProof/>
              </w:rPr>
              <w:drawing>
                <wp:inline distT="0" distB="0" distL="0" distR="0" wp14:anchorId="0623120D" wp14:editId="37E57F37">
                  <wp:extent cx="50165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1650" cy="584200"/>
                          </a:xfrm>
                          <a:prstGeom prst="rect">
                            <a:avLst/>
                          </a:prstGeom>
                          <a:noFill/>
                          <a:ln>
                            <a:noFill/>
                          </a:ln>
                        </pic:spPr>
                      </pic:pic>
                    </a:graphicData>
                  </a:graphic>
                </wp:inline>
              </w:drawing>
            </w:r>
          </w:p>
        </w:tc>
        <w:tc>
          <w:tcPr>
            <w:tcW w:w="1244" w:type="dxa"/>
            <w:tcBorders>
              <w:top w:val="nil"/>
              <w:bottom w:val="single" w:sz="12" w:space="0" w:color="000000"/>
            </w:tcBorders>
          </w:tcPr>
          <w:p w14:paraId="54FCC595" w14:textId="77777777" w:rsidR="00B27CBA" w:rsidRDefault="004C4AF6" w:rsidP="00E160CB">
            <w:r>
              <w:rPr>
                <w:b/>
                <w:noProof/>
              </w:rPr>
              <w:drawing>
                <wp:inline distT="0" distB="0" distL="0" distR="0" wp14:anchorId="407EDEF5" wp14:editId="0213425C">
                  <wp:extent cx="68580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pic:cNvPicPr>
                        </pic:nvPicPr>
                        <pic:blipFill>
                          <a:blip r:embed="rId8" cstate="print">
                            <a:extLst>
                              <a:ext uri="{28A0092B-C50C-407E-A947-70E740481C1C}">
                                <a14:useLocalDpi xmlns:a14="http://schemas.microsoft.com/office/drawing/2010/main" val="0"/>
                              </a:ext>
                            </a:extLst>
                          </a:blip>
                          <a:srcRect l="4395" r="4395"/>
                          <a:stretch>
                            <a:fillRect/>
                          </a:stretch>
                        </pic:blipFill>
                        <pic:spPr bwMode="auto">
                          <a:xfrm>
                            <a:off x="0" y="0"/>
                            <a:ext cx="685800" cy="558800"/>
                          </a:xfrm>
                          <a:prstGeom prst="rect">
                            <a:avLst/>
                          </a:prstGeom>
                          <a:noFill/>
                          <a:ln>
                            <a:noFill/>
                          </a:ln>
                        </pic:spPr>
                      </pic:pic>
                    </a:graphicData>
                  </a:graphic>
                </wp:inline>
              </w:drawing>
            </w:r>
          </w:p>
        </w:tc>
        <w:tc>
          <w:tcPr>
            <w:tcW w:w="7827" w:type="dxa"/>
            <w:gridSpan w:val="3"/>
            <w:tcBorders>
              <w:top w:val="nil"/>
              <w:bottom w:val="single" w:sz="12" w:space="0" w:color="000000"/>
            </w:tcBorders>
          </w:tcPr>
          <w:p w14:paraId="0034CB43" w14:textId="77777777" w:rsidR="00B27CBA" w:rsidRDefault="00B27CBA" w:rsidP="00E160CB">
            <w:pPr>
              <w:tabs>
                <w:tab w:val="left" w:pos="6815"/>
                <w:tab w:val="right" w:pos="7611"/>
              </w:tabs>
              <w:jc w:val="left"/>
              <w:rPr>
                <w:rFonts w:ascii="Univers" w:hAnsi="Univers"/>
                <w:b/>
                <w:sz w:val="32"/>
              </w:rPr>
            </w:pPr>
            <w:r>
              <w:rPr>
                <w:rFonts w:ascii="Univers" w:hAnsi="Univers"/>
                <w:b/>
                <w:sz w:val="32"/>
              </w:rPr>
              <w:tab/>
            </w:r>
            <w:r>
              <w:rPr>
                <w:rFonts w:ascii="Univers" w:hAnsi="Univers"/>
                <w:b/>
                <w:sz w:val="32"/>
              </w:rPr>
              <w:tab/>
              <w:t>CBD</w:t>
            </w:r>
          </w:p>
          <w:p w14:paraId="04666C8F" w14:textId="77777777" w:rsidR="00B27CBA" w:rsidRDefault="00B27CBA" w:rsidP="00E160CB">
            <w:pPr>
              <w:jc w:val="right"/>
              <w:rPr>
                <w:b/>
                <w:sz w:val="28"/>
              </w:rPr>
            </w:pPr>
          </w:p>
        </w:tc>
      </w:tr>
      <w:tr w:rsidR="00B27CBA" w14:paraId="10AF7811" w14:textId="77777777" w:rsidTr="00B27CBA">
        <w:tblPrEx>
          <w:tblCellMar>
            <w:top w:w="0" w:type="dxa"/>
            <w:bottom w:w="0" w:type="dxa"/>
          </w:tblCellMar>
        </w:tblPrEx>
        <w:trPr>
          <w:trHeight w:val="1693"/>
        </w:trPr>
        <w:tc>
          <w:tcPr>
            <w:tcW w:w="5230" w:type="dxa"/>
            <w:gridSpan w:val="3"/>
            <w:tcBorders>
              <w:top w:val="nil"/>
              <w:bottom w:val="single" w:sz="36" w:space="0" w:color="000000"/>
            </w:tcBorders>
          </w:tcPr>
          <w:p w14:paraId="2FB22612" w14:textId="77777777" w:rsidR="00B27CBA" w:rsidRDefault="00B27CBA" w:rsidP="00E160CB"/>
          <w:p w14:paraId="606B54E8" w14:textId="77777777" w:rsidR="00B27CBA" w:rsidRPr="00A36C97" w:rsidRDefault="004C4AF6" w:rsidP="00E160CB">
            <w:r w:rsidRPr="00A36C97">
              <w:rPr>
                <w:noProof/>
              </w:rPr>
              <w:drawing>
                <wp:inline distT="0" distB="0" distL="0" distR="0" wp14:anchorId="46E88FF3" wp14:editId="62E749FF">
                  <wp:extent cx="2838450" cy="1079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p w14:paraId="10A5365B" w14:textId="77777777" w:rsidR="00B27CBA" w:rsidRDefault="00B27CBA" w:rsidP="00E160CB">
            <w:pPr>
              <w:rPr>
                <w:rFonts w:ascii="Univers" w:hAnsi="Univers"/>
                <w:sz w:val="32"/>
              </w:rPr>
            </w:pPr>
          </w:p>
        </w:tc>
        <w:tc>
          <w:tcPr>
            <w:tcW w:w="1540" w:type="dxa"/>
            <w:tcBorders>
              <w:top w:val="nil"/>
              <w:bottom w:val="single" w:sz="36" w:space="0" w:color="000000"/>
            </w:tcBorders>
          </w:tcPr>
          <w:p w14:paraId="2D22EE04" w14:textId="77777777" w:rsidR="00B27CBA" w:rsidRDefault="00B27CBA" w:rsidP="00E160CB">
            <w:pPr>
              <w:pStyle w:val="Header"/>
              <w:tabs>
                <w:tab w:val="clear" w:pos="4320"/>
                <w:tab w:val="clear" w:pos="8640"/>
              </w:tabs>
              <w:rPr>
                <w:b/>
                <w:sz w:val="32"/>
                <w:szCs w:val="32"/>
              </w:rPr>
            </w:pPr>
          </w:p>
        </w:tc>
        <w:tc>
          <w:tcPr>
            <w:tcW w:w="3917" w:type="dxa"/>
            <w:gridSpan w:val="2"/>
            <w:tcBorders>
              <w:top w:val="nil"/>
              <w:bottom w:val="single" w:sz="36" w:space="0" w:color="000000"/>
            </w:tcBorders>
          </w:tcPr>
          <w:p w14:paraId="3011E8B2" w14:textId="77777777" w:rsidR="00B27CBA" w:rsidRDefault="00B27CBA" w:rsidP="00E160CB">
            <w:r>
              <w:t>Distr.</w:t>
            </w:r>
          </w:p>
          <w:p w14:paraId="3A18B4F4" w14:textId="77777777" w:rsidR="00B27CBA" w:rsidRDefault="00E54F71" w:rsidP="00E160CB">
            <w:r>
              <w:t>GENERAL</w:t>
            </w:r>
          </w:p>
          <w:p w14:paraId="60E2C8A2" w14:textId="77777777" w:rsidR="00B27CBA" w:rsidRDefault="00B27CBA" w:rsidP="00E160CB"/>
          <w:p w14:paraId="7737E071" w14:textId="77777777" w:rsidR="00B27CBA" w:rsidRDefault="00B27CBA" w:rsidP="00E54F71">
            <w:r>
              <w:t>UNEP/CBD/COP/</w:t>
            </w:r>
            <w:r w:rsidR="00E54F71">
              <w:t>DEC/X/41</w:t>
            </w:r>
          </w:p>
          <w:p w14:paraId="35AA36FA" w14:textId="77777777" w:rsidR="00B27CBA" w:rsidRDefault="00B27CBA" w:rsidP="00E160CB">
            <w:pPr>
              <w:ind w:left="-21"/>
            </w:pPr>
            <w:r>
              <w:t>29 October 2010</w:t>
            </w:r>
          </w:p>
          <w:p w14:paraId="5E0BEC43" w14:textId="77777777" w:rsidR="00B27CBA" w:rsidRDefault="00B27CBA" w:rsidP="00E160CB"/>
          <w:p w14:paraId="0A739F35" w14:textId="77777777" w:rsidR="00B27CBA" w:rsidRDefault="00B27CBA" w:rsidP="00E160CB">
            <w:pPr>
              <w:rPr>
                <w:b/>
                <w:bCs/>
                <w:color w:val="FF0000"/>
                <w:sz w:val="40"/>
                <w:u w:val="single"/>
              </w:rPr>
            </w:pPr>
            <w:r>
              <w:t>ORIGINAL:  ENGLISH</w:t>
            </w:r>
          </w:p>
        </w:tc>
      </w:tr>
    </w:tbl>
    <w:p w14:paraId="369DE66A" w14:textId="77777777" w:rsidR="00B27CBA" w:rsidRDefault="00B27CBA" w:rsidP="00B27CBA">
      <w:pPr>
        <w:pStyle w:val="Cornernotation"/>
        <w:ind w:right="4630"/>
      </w:pPr>
      <w:r>
        <w:rPr>
          <w:szCs w:val="22"/>
        </w:rPr>
        <w:t>CONFERENCE OF THE PARTIES TO THE</w:t>
      </w:r>
      <w:r w:rsidRPr="00B33484">
        <w:rPr>
          <w:szCs w:val="22"/>
        </w:rPr>
        <w:t xml:space="preserve"> CONVENTION ON BIOLOGICAL DIVERSITY</w:t>
      </w:r>
    </w:p>
    <w:p w14:paraId="629D39DC" w14:textId="77777777" w:rsidR="00B27CBA" w:rsidRDefault="00B27CBA" w:rsidP="00B27CBA">
      <w:pPr>
        <w:pStyle w:val="Cornernotation"/>
      </w:pPr>
      <w:r>
        <w:t>Tenth meeting</w:t>
      </w:r>
    </w:p>
    <w:p w14:paraId="44C1A675" w14:textId="77777777" w:rsidR="00B27CBA" w:rsidRDefault="00B27CBA" w:rsidP="00B27CBA">
      <w:pPr>
        <w:pStyle w:val="Cornernotation"/>
      </w:pPr>
      <w:r>
        <w:t>Nagoya, Japan, 18-29 October 2010</w:t>
      </w:r>
    </w:p>
    <w:p w14:paraId="541BA1CE" w14:textId="77777777" w:rsidR="00804008" w:rsidRPr="00B27CBA" w:rsidRDefault="00804008" w:rsidP="00804008">
      <w:pPr>
        <w:jc w:val="left"/>
        <w:rPr>
          <w:szCs w:val="22"/>
          <w:lang w:val="en-US"/>
        </w:rPr>
      </w:pPr>
      <w:r w:rsidRPr="00B27CBA">
        <w:rPr>
          <w:szCs w:val="22"/>
        </w:rPr>
        <w:t>Agenda item 6.7</w:t>
      </w:r>
    </w:p>
    <w:p w14:paraId="431B4ABB" w14:textId="77777777" w:rsidR="00F578D5" w:rsidRPr="00F578D5" w:rsidRDefault="00F578D5" w:rsidP="00F578D5">
      <w:pPr>
        <w:pStyle w:val="Decision"/>
        <w:rPr>
          <w:i w:val="0"/>
          <w:iCs w:val="0"/>
          <w:caps w:val="0"/>
          <w:szCs w:val="22"/>
        </w:rPr>
      </w:pPr>
      <w:r w:rsidRPr="00F578D5">
        <w:rPr>
          <w:i w:val="0"/>
          <w:iCs w:val="0"/>
        </w:rPr>
        <w:t>DECISION ADOPTED BY THE CONFERENCE OF THE PARTIES TO THE CONVENTION ON BIOLOGICAL DIVERSITY AT ITS TENTH MEETING</w:t>
      </w:r>
    </w:p>
    <w:p w14:paraId="090EBB2F" w14:textId="77777777" w:rsidR="00FD551D" w:rsidRPr="00517A3B" w:rsidRDefault="00FD551D" w:rsidP="00FD551D">
      <w:pPr>
        <w:pStyle w:val="Decheadmuliline"/>
        <w:ind w:right="288"/>
      </w:pPr>
      <w:bookmarkStart w:id="1" w:name="_Toc278461484"/>
      <w:bookmarkEnd w:id="0"/>
      <w:r w:rsidRPr="00517A3B">
        <w:t>X/41.</w:t>
      </w:r>
      <w:r w:rsidRPr="00517A3B">
        <w:tab/>
        <w:t xml:space="preserve">Elements of </w:t>
      </w:r>
      <w:r w:rsidRPr="00921B87">
        <w:rPr>
          <w:i w:val="0"/>
        </w:rPr>
        <w:t>sui generis</w:t>
      </w:r>
      <w:r w:rsidRPr="00517A3B">
        <w:t xml:space="preserve"> systems for the protection of traditional knowledge</w:t>
      </w:r>
      <w:bookmarkEnd w:id="1"/>
      <w:r w:rsidRPr="00517A3B">
        <w:t xml:space="preserve"> </w:t>
      </w:r>
    </w:p>
    <w:p w14:paraId="152FA5FC" w14:textId="77777777" w:rsidR="00FD551D" w:rsidRPr="00517A3B" w:rsidRDefault="00FD551D" w:rsidP="00FD551D">
      <w:pPr>
        <w:pStyle w:val="BodyText"/>
        <w:tabs>
          <w:tab w:val="left" w:pos="1440"/>
        </w:tabs>
        <w:rPr>
          <w:i/>
          <w:szCs w:val="22"/>
        </w:rPr>
      </w:pPr>
      <w:r w:rsidRPr="00517A3B">
        <w:rPr>
          <w:i/>
          <w:szCs w:val="22"/>
        </w:rPr>
        <w:t>The Conference of the Parties</w:t>
      </w:r>
    </w:p>
    <w:p w14:paraId="5FFF78F4" w14:textId="77777777" w:rsidR="00FD551D" w:rsidRPr="00517A3B" w:rsidRDefault="00FD551D" w:rsidP="00FD551D">
      <w:pPr>
        <w:tabs>
          <w:tab w:val="left" w:pos="1440"/>
        </w:tabs>
        <w:spacing w:before="120" w:after="120"/>
        <w:ind w:firstLine="720"/>
        <w:rPr>
          <w:i/>
          <w:color w:val="000000"/>
          <w:szCs w:val="22"/>
        </w:rPr>
      </w:pPr>
      <w:r w:rsidRPr="00517A3B">
        <w:rPr>
          <w:color w:val="000000"/>
          <w:szCs w:val="22"/>
        </w:rPr>
        <w:t>1.</w:t>
      </w:r>
      <w:r w:rsidRPr="00517A3B">
        <w:rPr>
          <w:color w:val="000000"/>
          <w:szCs w:val="22"/>
        </w:rPr>
        <w:tab/>
      </w:r>
      <w:r w:rsidRPr="00517A3B">
        <w:rPr>
          <w:i/>
          <w:color w:val="000000"/>
          <w:szCs w:val="22"/>
        </w:rPr>
        <w:t>Notes</w:t>
      </w:r>
      <w:r w:rsidRPr="00517A3B">
        <w:rPr>
          <w:color w:val="000000"/>
          <w:szCs w:val="22"/>
        </w:rPr>
        <w:t xml:space="preserve"> that elements of </w:t>
      </w:r>
      <w:r w:rsidRPr="00517A3B">
        <w:rPr>
          <w:i/>
          <w:color w:val="000000"/>
          <w:szCs w:val="22"/>
        </w:rPr>
        <w:t>sui generis</w:t>
      </w:r>
      <w:r w:rsidRPr="00517A3B">
        <w:rPr>
          <w:color w:val="000000"/>
          <w:szCs w:val="22"/>
        </w:rPr>
        <w:t xml:space="preserve"> systems, as set out in section II of the updated note by the Executive Secretary (UNEP/CBD/WG8J/6/5), include useful elements to consider as and when Parties and Governments develop </w:t>
      </w:r>
      <w:r w:rsidRPr="00517A3B">
        <w:rPr>
          <w:i/>
          <w:iCs/>
          <w:color w:val="000000"/>
          <w:szCs w:val="22"/>
        </w:rPr>
        <w:t>sui generis</w:t>
      </w:r>
      <w:r w:rsidRPr="00517A3B">
        <w:rPr>
          <w:color w:val="000000"/>
          <w:szCs w:val="22"/>
        </w:rPr>
        <w:t xml:space="preserve"> systems for the protection of traditional knowledge, innovations and practices at local, national, regional and international levels;</w:t>
      </w:r>
    </w:p>
    <w:p w14:paraId="66D0229F" w14:textId="77777777" w:rsidR="00FD551D" w:rsidRPr="00517A3B" w:rsidRDefault="00FD551D" w:rsidP="00FD551D">
      <w:pPr>
        <w:tabs>
          <w:tab w:val="left" w:pos="1440"/>
        </w:tabs>
        <w:spacing w:before="120" w:after="120"/>
        <w:ind w:firstLine="720"/>
        <w:rPr>
          <w:color w:val="000000"/>
          <w:szCs w:val="22"/>
        </w:rPr>
      </w:pPr>
      <w:r w:rsidRPr="00517A3B">
        <w:rPr>
          <w:color w:val="000000"/>
          <w:szCs w:val="22"/>
        </w:rPr>
        <w:t>2.</w:t>
      </w:r>
      <w:r w:rsidRPr="00517A3B">
        <w:rPr>
          <w:color w:val="000000"/>
          <w:szCs w:val="22"/>
        </w:rPr>
        <w:tab/>
      </w:r>
      <w:r w:rsidRPr="00517A3B">
        <w:rPr>
          <w:i/>
          <w:color w:val="000000"/>
          <w:szCs w:val="22"/>
        </w:rPr>
        <w:t>Also notes</w:t>
      </w:r>
      <w:r w:rsidRPr="00517A3B">
        <w:rPr>
          <w:color w:val="000000"/>
          <w:szCs w:val="22"/>
        </w:rPr>
        <w:t xml:space="preserve"> that </w:t>
      </w:r>
      <w:r w:rsidRPr="00517A3B">
        <w:rPr>
          <w:i/>
          <w:iCs/>
          <w:color w:val="000000"/>
          <w:szCs w:val="22"/>
        </w:rPr>
        <w:t>sui generis</w:t>
      </w:r>
      <w:r w:rsidRPr="00517A3B">
        <w:rPr>
          <w:color w:val="000000"/>
          <w:szCs w:val="22"/>
        </w:rPr>
        <w:t xml:space="preserve"> systems for the protection of the knowledge, innovations and practices of indigenous and local communities, should be developed taking into account customary laws, practices and community protocols, as appropriate, with the effective participation and approval and involvement of those communities;</w:t>
      </w:r>
    </w:p>
    <w:p w14:paraId="59CD22E0" w14:textId="77777777" w:rsidR="00FD551D" w:rsidRPr="00517A3B" w:rsidRDefault="00FD551D" w:rsidP="00FD551D">
      <w:pPr>
        <w:tabs>
          <w:tab w:val="left" w:pos="1440"/>
        </w:tabs>
        <w:spacing w:before="120" w:after="120"/>
        <w:ind w:firstLine="720"/>
        <w:rPr>
          <w:color w:val="000000"/>
          <w:szCs w:val="22"/>
        </w:rPr>
      </w:pPr>
      <w:r w:rsidRPr="00517A3B">
        <w:rPr>
          <w:color w:val="000000"/>
          <w:szCs w:val="22"/>
        </w:rPr>
        <w:t>3.</w:t>
      </w:r>
      <w:r w:rsidRPr="00517A3B">
        <w:rPr>
          <w:color w:val="000000"/>
          <w:szCs w:val="22"/>
        </w:rPr>
        <w:tab/>
      </w:r>
      <w:r w:rsidRPr="00517A3B">
        <w:rPr>
          <w:i/>
          <w:iCs/>
          <w:color w:val="000000"/>
          <w:szCs w:val="22"/>
        </w:rPr>
        <w:t>Encourages</w:t>
      </w:r>
      <w:r w:rsidRPr="00517A3B">
        <w:rPr>
          <w:color w:val="000000"/>
          <w:szCs w:val="22"/>
        </w:rPr>
        <w:t xml:space="preserve"> Parties that have not yet considered or developed </w:t>
      </w:r>
      <w:r w:rsidRPr="00517A3B">
        <w:rPr>
          <w:i/>
          <w:iCs/>
          <w:color w:val="000000"/>
          <w:szCs w:val="22"/>
        </w:rPr>
        <w:t>sui generis</w:t>
      </w:r>
      <w:r w:rsidRPr="00517A3B">
        <w:rPr>
          <w:color w:val="000000"/>
          <w:szCs w:val="22"/>
        </w:rPr>
        <w:t xml:space="preserve"> systems for the protection of traditional knowledge to take steps to do so, as appropriate;</w:t>
      </w:r>
    </w:p>
    <w:p w14:paraId="2DBFC18B" w14:textId="77777777" w:rsidR="00FD551D" w:rsidRPr="00517A3B" w:rsidRDefault="00FD551D" w:rsidP="00FD551D">
      <w:pPr>
        <w:tabs>
          <w:tab w:val="left" w:pos="1440"/>
        </w:tabs>
        <w:spacing w:before="120" w:after="120"/>
        <w:ind w:firstLine="720"/>
        <w:rPr>
          <w:color w:val="000000"/>
          <w:szCs w:val="22"/>
        </w:rPr>
      </w:pPr>
      <w:r w:rsidRPr="00517A3B">
        <w:rPr>
          <w:color w:val="000000"/>
          <w:szCs w:val="22"/>
        </w:rPr>
        <w:t>4.</w:t>
      </w:r>
      <w:r w:rsidRPr="00517A3B">
        <w:rPr>
          <w:color w:val="000000"/>
          <w:szCs w:val="22"/>
        </w:rPr>
        <w:tab/>
      </w:r>
      <w:r w:rsidRPr="00517A3B">
        <w:rPr>
          <w:i/>
          <w:color w:val="000000"/>
          <w:szCs w:val="22"/>
        </w:rPr>
        <w:t>Invites</w:t>
      </w:r>
      <w:r w:rsidRPr="00517A3B">
        <w:rPr>
          <w:color w:val="000000"/>
          <w:szCs w:val="22"/>
        </w:rPr>
        <w:t xml:space="preserve"> Parties to submit to the Executive Secretary information regarding elements of </w:t>
      </w:r>
      <w:r w:rsidRPr="00517A3B">
        <w:rPr>
          <w:i/>
          <w:color w:val="000000"/>
          <w:szCs w:val="22"/>
        </w:rPr>
        <w:t>sui generis</w:t>
      </w:r>
      <w:r w:rsidRPr="00517A3B">
        <w:rPr>
          <w:color w:val="000000"/>
          <w:szCs w:val="22"/>
        </w:rPr>
        <w:t xml:space="preserve"> systems relevant to the protection of traditional knowledge they have adopted, including assessments of the effectiveness of such measures, whether they are local, subnational, national or regional in focus;</w:t>
      </w:r>
    </w:p>
    <w:p w14:paraId="3070C6FE" w14:textId="77777777" w:rsidR="00FD551D" w:rsidRPr="00517A3B" w:rsidRDefault="00FD551D" w:rsidP="00FD551D">
      <w:pPr>
        <w:tabs>
          <w:tab w:val="left" w:pos="1440"/>
        </w:tabs>
        <w:spacing w:before="120" w:after="120"/>
        <w:ind w:firstLine="720"/>
        <w:rPr>
          <w:color w:val="000000"/>
          <w:szCs w:val="22"/>
        </w:rPr>
      </w:pPr>
      <w:r w:rsidRPr="00517A3B">
        <w:rPr>
          <w:iCs/>
          <w:color w:val="000000"/>
          <w:szCs w:val="22"/>
        </w:rPr>
        <w:t>5.</w:t>
      </w:r>
      <w:r w:rsidRPr="00517A3B">
        <w:rPr>
          <w:iCs/>
          <w:color w:val="000000"/>
          <w:szCs w:val="22"/>
        </w:rPr>
        <w:tab/>
      </w:r>
      <w:r w:rsidRPr="00517A3B">
        <w:rPr>
          <w:i/>
          <w:iCs/>
          <w:color w:val="000000"/>
          <w:szCs w:val="22"/>
        </w:rPr>
        <w:t>Invites</w:t>
      </w:r>
      <w:r w:rsidRPr="00517A3B">
        <w:rPr>
          <w:color w:val="000000"/>
          <w:szCs w:val="22"/>
        </w:rPr>
        <w:t xml:space="preserve"> Parties and Governments to report on any regional measures that have been taken to protect traditional knowledge, innovations and practices of indigenous and local communities relevant to biological diversity that is held across national boundaries, including </w:t>
      </w:r>
      <w:r w:rsidRPr="00517A3B">
        <w:rPr>
          <w:i/>
          <w:color w:val="000000"/>
          <w:szCs w:val="22"/>
        </w:rPr>
        <w:t>sui generis</w:t>
      </w:r>
      <w:r w:rsidRPr="00517A3B">
        <w:rPr>
          <w:color w:val="000000"/>
          <w:szCs w:val="22"/>
        </w:rPr>
        <w:t xml:space="preserve"> systems that are being developed or have been developed and/or implemented, including evidence regarding the effectiveness of such measures;  </w:t>
      </w:r>
    </w:p>
    <w:p w14:paraId="718EBB6A" w14:textId="77777777" w:rsidR="00FD551D" w:rsidRPr="00517A3B" w:rsidRDefault="00FD551D" w:rsidP="00FD551D">
      <w:pPr>
        <w:tabs>
          <w:tab w:val="left" w:pos="1440"/>
        </w:tabs>
        <w:spacing w:before="120" w:after="120"/>
        <w:ind w:firstLine="720"/>
        <w:rPr>
          <w:color w:val="000000"/>
          <w:szCs w:val="22"/>
        </w:rPr>
      </w:pPr>
      <w:r w:rsidRPr="00517A3B">
        <w:rPr>
          <w:color w:val="000000"/>
          <w:szCs w:val="22"/>
        </w:rPr>
        <w:t>6.</w:t>
      </w:r>
      <w:r w:rsidRPr="00517A3B">
        <w:rPr>
          <w:color w:val="000000"/>
          <w:szCs w:val="22"/>
        </w:rPr>
        <w:tab/>
      </w:r>
      <w:r w:rsidRPr="00517A3B">
        <w:rPr>
          <w:i/>
          <w:color w:val="000000"/>
          <w:szCs w:val="22"/>
        </w:rPr>
        <w:t>Requests</w:t>
      </w:r>
      <w:r w:rsidRPr="00517A3B">
        <w:rPr>
          <w:color w:val="000000"/>
          <w:szCs w:val="22"/>
        </w:rPr>
        <w:t xml:space="preserve"> the Executive Secretary to continue to compile and make available through the clearing</w:t>
      </w:r>
      <w:r w:rsidRPr="00517A3B">
        <w:rPr>
          <w:color w:val="000000"/>
          <w:szCs w:val="22"/>
        </w:rPr>
        <w:noBreakHyphen/>
        <w:t xml:space="preserve">house mechanism of the Convention information on measures taken by Parties for the development of </w:t>
      </w:r>
      <w:r w:rsidRPr="00517A3B">
        <w:rPr>
          <w:i/>
          <w:color w:val="000000"/>
          <w:szCs w:val="22"/>
        </w:rPr>
        <w:t>sui generis</w:t>
      </w:r>
      <w:r w:rsidRPr="00517A3B">
        <w:rPr>
          <w:color w:val="000000"/>
          <w:szCs w:val="22"/>
        </w:rPr>
        <w:t xml:space="preserve"> systems for the protection of traditional knowledge, at various levels, including local, national, regional and international;</w:t>
      </w:r>
    </w:p>
    <w:p w14:paraId="0BB8B3BE" w14:textId="77777777" w:rsidR="00FD551D" w:rsidRPr="00517A3B" w:rsidRDefault="00FD551D" w:rsidP="00FD551D">
      <w:pPr>
        <w:tabs>
          <w:tab w:val="left" w:pos="1440"/>
        </w:tabs>
        <w:spacing w:before="120" w:after="120"/>
        <w:ind w:firstLine="720"/>
        <w:rPr>
          <w:color w:val="000000"/>
          <w:szCs w:val="22"/>
        </w:rPr>
        <w:sectPr w:rsidR="00FD551D" w:rsidRPr="00517A3B" w:rsidSect="00FD551D">
          <w:headerReference w:type="even" r:id="rId10"/>
          <w:footerReference w:type="even" r:id="rId11"/>
          <w:footerReference w:type="default" r:id="rId12"/>
          <w:footerReference w:type="first" r:id="rId13"/>
          <w:type w:val="continuous"/>
          <w:pgSz w:w="12240" w:h="15840" w:code="1"/>
          <w:pgMar w:top="567" w:right="1440" w:bottom="1134" w:left="1440" w:header="454" w:footer="720" w:gutter="0"/>
          <w:cols w:space="720"/>
          <w:titlePg/>
        </w:sectPr>
      </w:pPr>
    </w:p>
    <w:p w14:paraId="47D43898" w14:textId="77777777" w:rsidR="00FD551D" w:rsidRPr="00517A3B" w:rsidRDefault="00FD551D" w:rsidP="00FD551D">
      <w:pPr>
        <w:tabs>
          <w:tab w:val="left" w:pos="1440"/>
        </w:tabs>
        <w:spacing w:before="120" w:after="120"/>
        <w:ind w:firstLine="720"/>
        <w:rPr>
          <w:color w:val="000000"/>
          <w:szCs w:val="22"/>
        </w:rPr>
      </w:pPr>
      <w:r w:rsidRPr="00517A3B">
        <w:rPr>
          <w:color w:val="000000"/>
          <w:szCs w:val="22"/>
        </w:rPr>
        <w:t>7.</w:t>
      </w:r>
      <w:r w:rsidRPr="00517A3B">
        <w:rPr>
          <w:color w:val="000000"/>
          <w:szCs w:val="22"/>
        </w:rPr>
        <w:tab/>
      </w:r>
      <w:r w:rsidRPr="00517A3B">
        <w:rPr>
          <w:i/>
          <w:color w:val="000000"/>
          <w:szCs w:val="22"/>
        </w:rPr>
        <w:t>Invites</w:t>
      </w:r>
      <w:r w:rsidRPr="00517A3B">
        <w:rPr>
          <w:color w:val="000000"/>
          <w:szCs w:val="22"/>
        </w:rPr>
        <w:t xml:space="preserve"> Parties, indigenous and local communities and other relevant organizations to provide views through case</w:t>
      </w:r>
      <w:r w:rsidRPr="00517A3B">
        <w:rPr>
          <w:color w:val="000000"/>
          <w:szCs w:val="22"/>
        </w:rPr>
        <w:noBreakHyphen/>
        <w:t xml:space="preserve">studies on how statutory laws and customary laws interact with regard to the </w:t>
      </w:r>
      <w:r w:rsidRPr="00517A3B">
        <w:rPr>
          <w:color w:val="000000"/>
          <w:szCs w:val="22"/>
        </w:rPr>
        <w:lastRenderedPageBreak/>
        <w:t>protection of traditional knowledge, innovations and practices and for the results to be made available through the traditional knowledge portal of the clearing-house mechanism of the Convention and to the Working Group for consideration at its seventh meeting;</w:t>
      </w:r>
    </w:p>
    <w:p w14:paraId="338BFE61" w14:textId="77777777" w:rsidR="00FD551D" w:rsidRPr="00517A3B" w:rsidRDefault="00FD551D" w:rsidP="00FD551D">
      <w:pPr>
        <w:tabs>
          <w:tab w:val="left" w:pos="1440"/>
        </w:tabs>
        <w:spacing w:before="120" w:after="120"/>
        <w:ind w:firstLine="720"/>
        <w:rPr>
          <w:color w:val="000000"/>
          <w:szCs w:val="22"/>
        </w:rPr>
      </w:pPr>
      <w:r w:rsidRPr="00517A3B">
        <w:rPr>
          <w:color w:val="000000"/>
          <w:szCs w:val="22"/>
        </w:rPr>
        <w:t>8.</w:t>
      </w:r>
      <w:r w:rsidRPr="00517A3B">
        <w:rPr>
          <w:color w:val="000000"/>
          <w:szCs w:val="22"/>
        </w:rPr>
        <w:tab/>
      </w:r>
      <w:r w:rsidRPr="00517A3B">
        <w:rPr>
          <w:i/>
          <w:szCs w:val="22"/>
        </w:rPr>
        <w:t>Further requests</w:t>
      </w:r>
      <w:r w:rsidRPr="00517A3B">
        <w:rPr>
          <w:szCs w:val="22"/>
        </w:rPr>
        <w:t xml:space="preserve"> the Executive Secretary to update his note on the subject (UNEP/CBD/WG8J/6/5), in light of case-studies and experiences received, indicating what changes have been made in relation to case-studies submitted, for consideration by the Working Group on Article 8(j) and Related Provisions at its seventh meeting;</w:t>
      </w:r>
    </w:p>
    <w:p w14:paraId="1CAA9CF1" w14:textId="77777777" w:rsidR="00FD551D" w:rsidRPr="00517A3B" w:rsidRDefault="00FD551D" w:rsidP="00FD551D">
      <w:pPr>
        <w:tabs>
          <w:tab w:val="left" w:pos="1440"/>
        </w:tabs>
        <w:spacing w:before="120" w:after="120"/>
        <w:ind w:firstLine="720"/>
        <w:rPr>
          <w:color w:val="000000"/>
          <w:szCs w:val="22"/>
        </w:rPr>
      </w:pPr>
      <w:r w:rsidRPr="00517A3B">
        <w:rPr>
          <w:color w:val="000000"/>
          <w:szCs w:val="22"/>
        </w:rPr>
        <w:t>9.</w:t>
      </w:r>
      <w:r w:rsidRPr="00517A3B">
        <w:rPr>
          <w:i/>
          <w:color w:val="000000"/>
          <w:szCs w:val="22"/>
        </w:rPr>
        <w:t xml:space="preserve"> </w:t>
      </w:r>
      <w:r w:rsidRPr="00517A3B">
        <w:rPr>
          <w:i/>
          <w:color w:val="000000"/>
          <w:szCs w:val="22"/>
        </w:rPr>
        <w:tab/>
        <w:t>Notes</w:t>
      </w:r>
      <w:r w:rsidRPr="00517A3B">
        <w:rPr>
          <w:color w:val="000000"/>
          <w:szCs w:val="22"/>
        </w:rPr>
        <w:t xml:space="preserve"> the clear relationship between effective </w:t>
      </w:r>
      <w:r w:rsidRPr="00517A3B">
        <w:rPr>
          <w:i/>
          <w:iCs/>
          <w:color w:val="000000"/>
          <w:szCs w:val="22"/>
        </w:rPr>
        <w:t>sui generis</w:t>
      </w:r>
      <w:r w:rsidRPr="00517A3B">
        <w:rPr>
          <w:color w:val="000000"/>
          <w:szCs w:val="22"/>
        </w:rPr>
        <w:t xml:space="preserve"> systems as may be developed adopted or recognized at various levels, implementation of access and benefit-sharing provisions and the need to prevent the misuse and misappropriation of traditional knowledge, innovations and practices of indigenous and local communities, as stated in decision VII/16 H;</w:t>
      </w:r>
    </w:p>
    <w:p w14:paraId="58538AE3" w14:textId="77777777" w:rsidR="00FD551D" w:rsidRPr="00517A3B" w:rsidRDefault="00FD551D" w:rsidP="00FD551D">
      <w:pPr>
        <w:pStyle w:val="BodyText"/>
        <w:tabs>
          <w:tab w:val="left" w:pos="1440"/>
        </w:tabs>
        <w:spacing w:before="0" w:after="0"/>
        <w:rPr>
          <w:color w:val="000000"/>
          <w:szCs w:val="22"/>
        </w:rPr>
      </w:pPr>
      <w:r w:rsidRPr="00517A3B">
        <w:rPr>
          <w:color w:val="000000"/>
          <w:szCs w:val="22"/>
        </w:rPr>
        <w:t>10.</w:t>
      </w:r>
      <w:r w:rsidRPr="00517A3B">
        <w:rPr>
          <w:i/>
          <w:color w:val="000000"/>
          <w:szCs w:val="22"/>
        </w:rPr>
        <w:tab/>
        <w:t>Notes</w:t>
      </w:r>
      <w:r w:rsidRPr="00517A3B">
        <w:rPr>
          <w:color w:val="000000"/>
          <w:szCs w:val="22"/>
        </w:rPr>
        <w:t xml:space="preserve"> the decision of the General Assembly</w:t>
      </w:r>
      <w:r w:rsidRPr="00517A3B" w:rsidDel="00F049AB">
        <w:rPr>
          <w:color w:val="000000"/>
          <w:szCs w:val="22"/>
        </w:rPr>
        <w:t xml:space="preserve"> </w:t>
      </w:r>
      <w:r w:rsidRPr="00517A3B">
        <w:rPr>
          <w:color w:val="000000"/>
          <w:szCs w:val="22"/>
        </w:rPr>
        <w:t>of the World Intellectual Property Organization (WIPO) at its thirty-eighth (nineteenth ordinary) session, held in Geneva from 22 September to 1 October 2009 to continue its work without prejudice to the work pursued in other forums, and “undertake text-based negotiations with the objective of reaching agreement on a text of an international legal instrument (or instruments), which will ensure the effective protection of genetic resources, traditional knowledge, and traditional cultural expressions”;</w:t>
      </w:r>
      <w:r w:rsidRPr="00517A3B">
        <w:rPr>
          <w:rStyle w:val="StyleFootnoteReferenceComplex11ptComplexItalic"/>
        </w:rPr>
        <w:t xml:space="preserve"> </w:t>
      </w:r>
    </w:p>
    <w:p w14:paraId="18040F4B" w14:textId="77777777" w:rsidR="00FD551D" w:rsidRPr="00517A3B" w:rsidRDefault="00FD551D" w:rsidP="00FD551D">
      <w:pPr>
        <w:pStyle w:val="BodyText"/>
        <w:tabs>
          <w:tab w:val="left" w:pos="1440"/>
        </w:tabs>
        <w:rPr>
          <w:szCs w:val="22"/>
        </w:rPr>
      </w:pPr>
      <w:r w:rsidRPr="00517A3B">
        <w:rPr>
          <w:szCs w:val="22"/>
        </w:rPr>
        <w:t>11.</w:t>
      </w:r>
      <w:r w:rsidRPr="00517A3B">
        <w:rPr>
          <w:szCs w:val="22"/>
        </w:rPr>
        <w:tab/>
      </w:r>
      <w:r w:rsidRPr="00517A3B">
        <w:rPr>
          <w:i/>
          <w:szCs w:val="22"/>
        </w:rPr>
        <w:t>Further notes</w:t>
      </w:r>
      <w:r w:rsidRPr="00517A3B">
        <w:rPr>
          <w:szCs w:val="22"/>
        </w:rPr>
        <w:t xml:space="preserve">, in particular, the work of the Convention on Biological Diversity, in relation to </w:t>
      </w:r>
      <w:r w:rsidRPr="00517A3B">
        <w:rPr>
          <w:i/>
          <w:szCs w:val="22"/>
        </w:rPr>
        <w:t>sui generis</w:t>
      </w:r>
      <w:r w:rsidRPr="00517A3B">
        <w:rPr>
          <w:szCs w:val="22"/>
        </w:rPr>
        <w:t xml:space="preserve"> systems for the protection of the knowledge innovations and practices of indigenous and local communities and in relation to the early establishment of a legally binding Protocol on Access and Benefit-sharing; </w:t>
      </w:r>
    </w:p>
    <w:p w14:paraId="6ECB6824" w14:textId="77777777" w:rsidR="00FD551D" w:rsidRPr="00517A3B" w:rsidRDefault="00FD551D" w:rsidP="00FD551D">
      <w:pPr>
        <w:pStyle w:val="BodyText"/>
        <w:tabs>
          <w:tab w:val="left" w:pos="1440"/>
        </w:tabs>
        <w:rPr>
          <w:color w:val="000000"/>
          <w:szCs w:val="22"/>
        </w:rPr>
      </w:pPr>
      <w:r w:rsidRPr="00517A3B">
        <w:rPr>
          <w:color w:val="000000"/>
          <w:szCs w:val="22"/>
        </w:rPr>
        <w:t xml:space="preserve">12. </w:t>
      </w:r>
      <w:r w:rsidRPr="00517A3B">
        <w:rPr>
          <w:color w:val="000000"/>
          <w:szCs w:val="22"/>
        </w:rPr>
        <w:tab/>
      </w:r>
      <w:r w:rsidRPr="00517A3B">
        <w:rPr>
          <w:i/>
          <w:color w:val="000000"/>
          <w:szCs w:val="22"/>
        </w:rPr>
        <w:t>Requests</w:t>
      </w:r>
      <w:r w:rsidRPr="00517A3B">
        <w:rPr>
          <w:color w:val="000000"/>
          <w:szCs w:val="22"/>
        </w:rPr>
        <w:t xml:space="preserve"> the Executive Secretary to continue to inform the Intergovernmental Committee on Intellectual Property and Genetic Resources, Traditional Knowledge and Folklore (IGC) of the World Intellectual Property Organizationon the work undertaken under paragraph 6 above and to continue to positively contribute to the work of the Intergovernmental Committee.</w:t>
      </w:r>
    </w:p>
    <w:p w14:paraId="0C671A41" w14:textId="77777777" w:rsidR="00FD551D" w:rsidRDefault="00FD551D" w:rsidP="004366A5">
      <w:pPr>
        <w:pStyle w:val="BodyText"/>
        <w:tabs>
          <w:tab w:val="left" w:pos="1440"/>
        </w:tabs>
        <w:spacing w:before="0" w:after="0"/>
        <w:ind w:firstLine="0"/>
        <w:jc w:val="center"/>
        <w:rPr>
          <w:color w:val="000000"/>
          <w:szCs w:val="22"/>
        </w:rPr>
      </w:pPr>
    </w:p>
    <w:p w14:paraId="6A66D5C0" w14:textId="77777777" w:rsidR="00804008" w:rsidRPr="004366A5" w:rsidRDefault="004366A5" w:rsidP="004366A5">
      <w:pPr>
        <w:pStyle w:val="BodyText"/>
        <w:tabs>
          <w:tab w:val="left" w:pos="1440"/>
        </w:tabs>
        <w:spacing w:before="0" w:after="0"/>
        <w:ind w:firstLine="0"/>
        <w:jc w:val="center"/>
        <w:rPr>
          <w:color w:val="000000"/>
          <w:szCs w:val="22"/>
        </w:rPr>
      </w:pPr>
      <w:r>
        <w:rPr>
          <w:color w:val="000000"/>
          <w:szCs w:val="22"/>
        </w:rPr>
        <w:t>-----</w:t>
      </w:r>
    </w:p>
    <w:sectPr w:rsidR="00804008" w:rsidRPr="004366A5" w:rsidSect="00804008">
      <w:footerReference w:type="even" r:id="rId14"/>
      <w:type w:val="continuous"/>
      <w:pgSz w:w="12240" w:h="15840"/>
      <w:pgMar w:top="1021" w:right="1440" w:bottom="1134"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C7CBDA" w14:textId="77777777" w:rsidR="00E63794" w:rsidRDefault="00E63794">
      <w:r>
        <w:separator/>
      </w:r>
    </w:p>
  </w:endnote>
  <w:endnote w:type="continuationSeparator" w:id="0">
    <w:p w14:paraId="7AABE620" w14:textId="77777777" w:rsidR="00E63794" w:rsidRDefault="00E637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vers">
    <w:panose1 w:val="020B0503020202020204"/>
    <w:charset w:val="00"/>
    <w:family w:val="swiss"/>
    <w:pitch w:val="variable"/>
    <w:sig w:usb0="80000287" w:usb1="00000000" w:usb2="00000000" w:usb3="00000000" w:csb0="0000000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86B69" w14:textId="77777777" w:rsidR="00FD551D" w:rsidRDefault="00FD551D" w:rsidP="00051A79">
    <w:pPr>
      <w:pStyle w:val="Footer"/>
      <w:tabs>
        <w:tab w:val="clear" w:pos="8640"/>
      </w:tabs>
      <w:ind w:right="4"/>
    </w:pPr>
    <w: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306FC" w14:textId="77777777" w:rsidR="00FD551D" w:rsidRPr="000849CC" w:rsidRDefault="00FD551D" w:rsidP="00051A79">
    <w:pPr>
      <w:pStyle w:val="Footer"/>
      <w:ind w:right="180"/>
      <w:rPr>
        <w:lang w:val="en-US"/>
      </w:rPr>
    </w:pPr>
    <w:r>
      <w:rPr>
        <w:rStyle w:val="PageNumbe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1911D" w14:textId="77777777" w:rsidR="00FD551D" w:rsidRDefault="00FD551D" w:rsidP="00FD551D">
    <w:pPr>
      <w:pStyle w:val="Footer"/>
      <w:jc w:val="right"/>
      <w:rPr>
        <w:lang w:val="en-US"/>
      </w:rPr>
    </w:pPr>
    <w:r>
      <w:rPr>
        <w:lang w:val="en-US"/>
      </w:rPr>
      <w:t>/…</w:t>
    </w:r>
  </w:p>
  <w:p w14:paraId="3C58D376" w14:textId="77777777" w:rsidR="00FD551D" w:rsidRDefault="004C4AF6" w:rsidP="00051A79">
    <w:pPr>
      <w:pStyle w:val="Footer"/>
      <w:rPr>
        <w:lang w:val="en-US"/>
      </w:rPr>
    </w:pPr>
    <w:r>
      <w:rPr>
        <w:noProof/>
        <w:szCs w:val="20"/>
        <w:lang w:val="en-CA" w:eastAsia="en-US" w:bidi="x-none"/>
      </w:rPr>
      <mc:AlternateContent>
        <mc:Choice Requires="wps">
          <w:drawing>
            <wp:anchor distT="0" distB="0" distL="114300" distR="114300" simplePos="0" relativeHeight="251657728" behindDoc="0" locked="0" layoutInCell="0" allowOverlap="1" wp14:anchorId="60FB9710" wp14:editId="2EDF31CE">
              <wp:simplePos x="0" y="0"/>
              <wp:positionH relativeFrom="column">
                <wp:posOffset>89535</wp:posOffset>
              </wp:positionH>
              <wp:positionV relativeFrom="paragraph">
                <wp:posOffset>-13970</wp:posOffset>
              </wp:positionV>
              <wp:extent cx="5943600" cy="510540"/>
              <wp:effectExtent l="12700" t="12700" r="12700" b="10160"/>
              <wp:wrapNone/>
              <wp:docPr id="121672814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510540"/>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3868261" w14:textId="77777777" w:rsidR="00FD551D" w:rsidRDefault="00FD551D">
                          <w:pPr>
                            <w:rPr>
                              <w:sz w:val="18"/>
                            </w:rPr>
                          </w:pPr>
                          <w:r>
                            <w:rPr>
                              <w:sz w:val="18"/>
                            </w:rPr>
                            <w:t>In order to minimize the environmental impacts of the Secretariat’s processes, and to contribute to the Secretary-General’s initiative for a C-Neutral UN, this document is printed in limited numbers.  Delegates are kindly requested to bring their copies to meetings and not to request additional copies.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FB9710" id="Rectangle 2" o:spid="_x0000_s1026" style="position:absolute;left:0;text-align:left;margin-left:7.05pt;margin-top:-1.1pt;width:468pt;height:40.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" o:allowincell="f" strokeweight="3pt">
              <v:path arrowok="t"/>
              <v:textbox inset="0,0,0,0">
                <w:txbxContent>
                  <w:p w14:paraId="43868261" w14:textId="77777777" w:rsidR="00FD551D" w:rsidRDefault="00FD551D">
                    <w:pPr>
                      <w:rPr>
                        <w:sz w:val="18"/>
                      </w:rPr>
                    </w:pPr>
                    <w:r>
                      <w:rPr>
                        <w:sz w:val="18"/>
                      </w:rPr>
                      <w:t>In order to minimize the environmental impacts of the Secretariat’s processes, and to contribute to the Secretary-General’s initiative for a C-Neutral UN, this document is printed in limited numbers.  Delegates are kindly requested to bring their copies to meetings and not to request additional copies.</w:t>
                    </w:r>
                  </w:p>
                </w:txbxContent>
              </v:textbox>
            </v:rect>
          </w:pict>
        </mc:Fallback>
      </mc:AlternateContent>
    </w:r>
  </w:p>
  <w:p w14:paraId="36B52C1C" w14:textId="77777777" w:rsidR="00FD551D" w:rsidRPr="000849CC" w:rsidRDefault="00FD551D" w:rsidP="00051A79">
    <w:pPr>
      <w:pStyle w:val="Footer"/>
      <w:rPr>
        <w:lang w:val="en-U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6C83D" w14:textId="77777777" w:rsidR="00804008" w:rsidRDefault="00804008" w:rsidP="0080400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F8717" w14:textId="77777777" w:rsidR="00E63794" w:rsidRDefault="00E63794">
      <w:r>
        <w:separator/>
      </w:r>
    </w:p>
  </w:footnote>
  <w:footnote w:type="continuationSeparator" w:id="0">
    <w:p w14:paraId="2BDD73CF" w14:textId="77777777" w:rsidR="00E63794" w:rsidRDefault="00E637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C4098" w14:textId="77777777" w:rsidR="00FD551D" w:rsidRDefault="00FD551D" w:rsidP="00FD551D">
    <w:pPr>
      <w:pStyle w:val="Header"/>
      <w:rPr>
        <w:lang w:val="en-US"/>
      </w:rPr>
    </w:pPr>
    <w:r>
      <w:rPr>
        <w:lang w:val="en-US"/>
      </w:rPr>
      <w:t>UNEP/CBD/COP/DEC/X/41</w:t>
    </w:r>
  </w:p>
  <w:p w14:paraId="2C9707B9" w14:textId="77777777" w:rsidR="00FD551D" w:rsidRDefault="00FD551D">
    <w:pPr>
      <w:pStyle w:val="Header"/>
      <w:rPr>
        <w:rStyle w:val="PageNumber"/>
        <w:lang w:val="en-US"/>
      </w:rPr>
    </w:pPr>
    <w:r>
      <w:rPr>
        <w:lang w:val="en-US"/>
      </w:rPr>
      <w:t xml:space="preserve">Page </w:t>
    </w:r>
    <w:r>
      <w:rPr>
        <w:rStyle w:val="PageNumber"/>
      </w:rPr>
      <w:fldChar w:fldCharType="begin"/>
    </w:r>
    <w:r>
      <w:rPr>
        <w:rStyle w:val="PageNumber"/>
      </w:rPr>
      <w:instrText xml:space="preserve"> PAGE </w:instrText>
    </w:r>
    <w:r>
      <w:rPr>
        <w:rStyle w:val="PageNumber"/>
      </w:rPr>
      <w:fldChar w:fldCharType="separate"/>
    </w:r>
    <w:r w:rsidR="008B03F8">
      <w:rPr>
        <w:rStyle w:val="PageNumber"/>
        <w:noProof/>
      </w:rPr>
      <w:t>2</w:t>
    </w:r>
    <w:r>
      <w:rPr>
        <w:rStyle w:val="PageNumber"/>
      </w:rPr>
      <w:fldChar w:fldCharType="end"/>
    </w:r>
  </w:p>
  <w:p w14:paraId="39100B77" w14:textId="77777777" w:rsidR="00FD551D" w:rsidRDefault="00FD55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83898"/>
    <w:multiLevelType w:val="hybridMultilevel"/>
    <w:tmpl w:val="5D40CB34"/>
    <w:lvl w:ilvl="0" w:tplc="FFFFFFFF">
      <w:start w:val="1"/>
      <w:numFmt w:val="lowerLetter"/>
      <w:lvlText w:val="(%1)"/>
      <w:lvlJc w:val="left"/>
      <w:pPr>
        <w:tabs>
          <w:tab w:val="num" w:pos="1440"/>
        </w:tabs>
        <w:ind w:left="1440" w:hanging="360"/>
      </w:pPr>
      <w:rPr>
        <w:rFonts w:hint="default"/>
      </w:rPr>
    </w:lvl>
    <w:lvl w:ilvl="1" w:tplc="FFFFFFFF">
      <w:start w:val="1"/>
      <w:numFmt w:val="lowerLetter"/>
      <w:lvlText w:val="%2."/>
      <w:lvlJc w:val="left"/>
      <w:pPr>
        <w:tabs>
          <w:tab w:val="num" w:pos="2160"/>
        </w:tabs>
        <w:ind w:left="2160" w:hanging="360"/>
      </w:pPr>
    </w:lvl>
    <w:lvl w:ilvl="2" w:tplc="FFFFFFFF">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 w15:restartNumberingAfterBreak="0">
    <w:nsid w:val="4E0442B4"/>
    <w:multiLevelType w:val="multilevel"/>
    <w:tmpl w:val="3384AF14"/>
    <w:lvl w:ilvl="0">
      <w:start w:val="1"/>
      <w:numFmt w:val="decimal"/>
      <w:pStyle w:val="Para1"/>
      <w:lvlText w:val="%1."/>
      <w:lvlJc w:val="left"/>
      <w:pPr>
        <w:tabs>
          <w:tab w:val="num" w:pos="470"/>
        </w:tabs>
        <w:ind w:left="110" w:firstLine="0"/>
      </w:pPr>
      <w:rPr>
        <w:rFonts w:ascii="Times New Roman" w:hAnsi="Times New Roman" w:hint="default"/>
        <w:b w:val="0"/>
        <w:i w:val="0"/>
        <w:sz w:val="22"/>
      </w:rPr>
    </w:lvl>
    <w:lvl w:ilvl="1">
      <w:start w:val="1"/>
      <w:numFmt w:val="lowerLetter"/>
      <w:lvlText w:val="(%2)"/>
      <w:lvlJc w:val="left"/>
      <w:pPr>
        <w:tabs>
          <w:tab w:val="num" w:pos="1550"/>
        </w:tabs>
        <w:ind w:left="110" w:firstLine="720"/>
      </w:pPr>
      <w:rPr>
        <w:rFonts w:hint="default"/>
        <w:b w:val="0"/>
        <w:i w:val="0"/>
      </w:rPr>
    </w:lvl>
    <w:lvl w:ilvl="2">
      <w:start w:val="1"/>
      <w:numFmt w:val="lowerLetter"/>
      <w:pStyle w:val="Para3"/>
      <w:lvlText w:val="(%3)"/>
      <w:lvlJc w:val="right"/>
      <w:pPr>
        <w:tabs>
          <w:tab w:val="num" w:pos="1757"/>
        </w:tabs>
        <w:ind w:left="0" w:firstLine="1418"/>
      </w:pPr>
      <w:rPr>
        <w:rFonts w:ascii="Times New Roman" w:hAnsi="Times New Roman" w:hint="default"/>
        <w:b w:val="0"/>
        <w:i w:val="0"/>
        <w:sz w:val="22"/>
      </w:rPr>
    </w:lvl>
    <w:lvl w:ilvl="3">
      <w:start w:val="1"/>
      <w:numFmt w:val="bullet"/>
      <w:lvlText w:val=""/>
      <w:lvlJc w:val="left"/>
      <w:pPr>
        <w:tabs>
          <w:tab w:val="num" w:pos="2270"/>
        </w:tabs>
        <w:ind w:left="2270" w:hanging="720"/>
      </w:pPr>
      <w:rPr>
        <w:rFonts w:ascii="Symbol" w:hAnsi="Symbol" w:hint="default"/>
        <w:color w:val="auto"/>
        <w:sz w:val="28"/>
      </w:rPr>
    </w:lvl>
    <w:lvl w:ilvl="4">
      <w:start w:val="1"/>
      <w:numFmt w:val="lowerLetter"/>
      <w:lvlText w:val="(%5)"/>
      <w:lvlJc w:val="left"/>
      <w:pPr>
        <w:tabs>
          <w:tab w:val="num" w:pos="1910"/>
        </w:tabs>
        <w:ind w:left="1910" w:hanging="360"/>
      </w:pPr>
      <w:rPr>
        <w:rFonts w:hint="default"/>
      </w:rPr>
    </w:lvl>
    <w:lvl w:ilvl="5">
      <w:start w:val="1"/>
      <w:numFmt w:val="lowerRoman"/>
      <w:lvlText w:val="(%6)"/>
      <w:lvlJc w:val="left"/>
      <w:pPr>
        <w:tabs>
          <w:tab w:val="num" w:pos="2270"/>
        </w:tabs>
        <w:ind w:left="2270" w:hanging="360"/>
      </w:pPr>
      <w:rPr>
        <w:rFonts w:hint="default"/>
      </w:rPr>
    </w:lvl>
    <w:lvl w:ilvl="6">
      <w:start w:val="1"/>
      <w:numFmt w:val="decimal"/>
      <w:lvlText w:val="%7."/>
      <w:lvlJc w:val="left"/>
      <w:pPr>
        <w:tabs>
          <w:tab w:val="num" w:pos="2630"/>
        </w:tabs>
        <w:ind w:left="2630" w:hanging="360"/>
      </w:pPr>
      <w:rPr>
        <w:rFonts w:hint="default"/>
      </w:rPr>
    </w:lvl>
    <w:lvl w:ilvl="7">
      <w:start w:val="1"/>
      <w:numFmt w:val="lowerLetter"/>
      <w:lvlText w:val="%8."/>
      <w:lvlJc w:val="left"/>
      <w:pPr>
        <w:tabs>
          <w:tab w:val="num" w:pos="2990"/>
        </w:tabs>
        <w:ind w:left="2990" w:hanging="360"/>
      </w:pPr>
      <w:rPr>
        <w:rFonts w:hint="default"/>
      </w:rPr>
    </w:lvl>
    <w:lvl w:ilvl="8">
      <w:start w:val="1"/>
      <w:numFmt w:val="lowerRoman"/>
      <w:lvlText w:val="%9."/>
      <w:lvlJc w:val="left"/>
      <w:pPr>
        <w:tabs>
          <w:tab w:val="num" w:pos="3350"/>
        </w:tabs>
        <w:ind w:left="3350" w:hanging="360"/>
      </w:pPr>
      <w:rPr>
        <w:rFonts w:hint="default"/>
      </w:rPr>
    </w:lvl>
  </w:abstractNum>
  <w:abstractNum w:abstractNumId="2" w15:restartNumberingAfterBreak="0">
    <w:nsid w:val="5FD94E39"/>
    <w:multiLevelType w:val="hybridMultilevel"/>
    <w:tmpl w:val="A336E524"/>
    <w:lvl w:ilvl="0" w:tplc="FFFFFFFF">
      <w:start w:val="1"/>
      <w:numFmt w:val="lowerLetter"/>
      <w:lvlText w:val="(%1)"/>
      <w:lvlJc w:val="left"/>
      <w:pPr>
        <w:tabs>
          <w:tab w:val="num" w:pos="1440"/>
        </w:tabs>
        <w:ind w:left="1440" w:hanging="360"/>
      </w:pPr>
      <w:rPr>
        <w:rFonts w:hint="default"/>
      </w:rPr>
    </w:lvl>
    <w:lvl w:ilvl="1" w:tplc="FFFFFFFF">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num w:numId="1" w16cid:durableId="443309358">
    <w:abstractNumId w:val="2"/>
  </w:num>
  <w:num w:numId="2" w16cid:durableId="2098361852">
    <w:abstractNumId w:val="0"/>
  </w:num>
  <w:num w:numId="3" w16cid:durableId="4746828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B80"/>
    <w:rsid w:val="00043C8F"/>
    <w:rsid w:val="00051A79"/>
    <w:rsid w:val="000E2094"/>
    <w:rsid w:val="001750BC"/>
    <w:rsid w:val="001B7B17"/>
    <w:rsid w:val="004366A5"/>
    <w:rsid w:val="004C4AF6"/>
    <w:rsid w:val="00520D8B"/>
    <w:rsid w:val="005760B8"/>
    <w:rsid w:val="005C7EAB"/>
    <w:rsid w:val="006E2C84"/>
    <w:rsid w:val="00753C0D"/>
    <w:rsid w:val="007C1F4E"/>
    <w:rsid w:val="00804008"/>
    <w:rsid w:val="008B03F8"/>
    <w:rsid w:val="009961D6"/>
    <w:rsid w:val="009A0DC6"/>
    <w:rsid w:val="00A3028C"/>
    <w:rsid w:val="00A77172"/>
    <w:rsid w:val="00AF5F9B"/>
    <w:rsid w:val="00B27CBA"/>
    <w:rsid w:val="00B42D59"/>
    <w:rsid w:val="00BE35DA"/>
    <w:rsid w:val="00C7510A"/>
    <w:rsid w:val="00C90490"/>
    <w:rsid w:val="00CD422A"/>
    <w:rsid w:val="00E160CB"/>
    <w:rsid w:val="00E426C7"/>
    <w:rsid w:val="00E54F71"/>
    <w:rsid w:val="00E55049"/>
    <w:rsid w:val="00E63794"/>
    <w:rsid w:val="00F578D5"/>
    <w:rsid w:val="00FA3EE7"/>
    <w:rsid w:val="00FD551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6B07B4"/>
  <w15:chartTrackingRefBased/>
  <w15:docId w15:val="{6EAD5484-0B78-094B-9A86-130CB7770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A4B80"/>
    <w:pPr>
      <w:jc w:val="both"/>
    </w:pPr>
    <w:rPr>
      <w:sz w:val="22"/>
      <w:szCs w:val="24"/>
      <w:lang w:val="en-GB"/>
    </w:rPr>
  </w:style>
  <w:style w:type="paragraph" w:styleId="Heading1">
    <w:name w:val="heading 1"/>
    <w:basedOn w:val="Normal"/>
    <w:next w:val="Heading2"/>
    <w:link w:val="Heading1Char1"/>
    <w:qFormat/>
    <w:rsid w:val="004A4B80"/>
    <w:pPr>
      <w:keepNext/>
      <w:tabs>
        <w:tab w:val="left" w:pos="720"/>
      </w:tabs>
      <w:spacing w:before="240" w:after="120"/>
      <w:jc w:val="center"/>
      <w:outlineLvl w:val="0"/>
    </w:pPr>
    <w:rPr>
      <w:b/>
      <w:caps/>
    </w:rPr>
  </w:style>
  <w:style w:type="paragraph" w:styleId="Heading2">
    <w:name w:val="heading 2"/>
    <w:basedOn w:val="Normal"/>
    <w:next w:val="Normal"/>
    <w:link w:val="Heading2Char"/>
    <w:qFormat/>
    <w:rsid w:val="004A4B80"/>
    <w:pPr>
      <w:keepNext/>
      <w:tabs>
        <w:tab w:val="left" w:pos="720"/>
      </w:tabs>
      <w:spacing w:before="120" w:after="120"/>
      <w:jc w:val="center"/>
      <w:outlineLvl w:val="1"/>
    </w:pPr>
    <w:rPr>
      <w:b/>
      <w:bCs/>
      <w:i/>
      <w:iCs/>
    </w:rPr>
  </w:style>
  <w:style w:type="paragraph" w:styleId="Heading3">
    <w:name w:val="heading 3"/>
    <w:basedOn w:val="Normal"/>
    <w:next w:val="Normal"/>
    <w:link w:val="Heading3Char"/>
    <w:qFormat/>
    <w:rsid w:val="004A4B80"/>
    <w:pPr>
      <w:keepNext/>
      <w:tabs>
        <w:tab w:val="left" w:pos="567"/>
      </w:tabs>
      <w:spacing w:before="120" w:after="120"/>
      <w:jc w:val="center"/>
      <w:outlineLvl w:val="2"/>
    </w:pPr>
    <w:rPr>
      <w:i/>
      <w:iCs/>
    </w:rPr>
  </w:style>
  <w:style w:type="paragraph" w:styleId="Heading9">
    <w:name w:val="heading 9"/>
    <w:basedOn w:val="Normal"/>
    <w:next w:val="Normal"/>
    <w:qFormat/>
    <w:rsid w:val="004A4B80"/>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Para1">
    <w:name w:val="Para1"/>
    <w:basedOn w:val="Normal"/>
    <w:link w:val="Para1Char"/>
    <w:rsid w:val="004A4B80"/>
    <w:pPr>
      <w:numPr>
        <w:numId w:val="3"/>
      </w:numPr>
      <w:spacing w:before="120" w:after="120"/>
    </w:pPr>
    <w:rPr>
      <w:snapToGrid w:val="0"/>
      <w:szCs w:val="18"/>
    </w:rPr>
  </w:style>
  <w:style w:type="paragraph" w:styleId="FootnoteText">
    <w:name w:val="footnote text"/>
    <w:aliases w:val="fn,Geneva 9,Font: Geneva 9,Boston 10,f,ft,Fotnotstext Char,ft Char,single space,footnote text,FOOTNOTES,ADB,single space1,footnote text1,FOOTNOTES1,fn1,ADB1,single space2,footnote text2,FOOTNOTES2,fn2,ADB2,single space3,footnote text3,fn3"/>
    <w:basedOn w:val="Normal"/>
    <w:link w:val="FootnoteTextChar"/>
    <w:semiHidden/>
    <w:rsid w:val="004A4B80"/>
    <w:pPr>
      <w:keepLines/>
      <w:spacing w:after="60"/>
      <w:ind w:firstLine="720"/>
    </w:pPr>
    <w:rPr>
      <w:sz w:val="18"/>
    </w:rPr>
  </w:style>
  <w:style w:type="paragraph" w:styleId="BodyText">
    <w:name w:val="Body Text"/>
    <w:aliases w:val=" Car"/>
    <w:basedOn w:val="Normal"/>
    <w:link w:val="BodyTextChar"/>
    <w:rsid w:val="004A4B80"/>
    <w:pPr>
      <w:spacing w:before="120" w:after="120"/>
      <w:ind w:firstLine="720"/>
    </w:pPr>
    <w:rPr>
      <w:iCs/>
    </w:rPr>
  </w:style>
  <w:style w:type="character" w:styleId="FootnoteReference">
    <w:name w:val="footnote reference"/>
    <w:basedOn w:val="DefaultParagraphFont"/>
    <w:semiHidden/>
    <w:rsid w:val="004A4B80"/>
    <w:rPr>
      <w:sz w:val="22"/>
      <w:u w:val="none"/>
      <w:vertAlign w:val="superscript"/>
    </w:rPr>
  </w:style>
  <w:style w:type="paragraph" w:customStyle="1" w:styleId="Para3">
    <w:name w:val="Para3"/>
    <w:basedOn w:val="Normal"/>
    <w:rsid w:val="004A4B80"/>
    <w:pPr>
      <w:numPr>
        <w:ilvl w:val="2"/>
        <w:numId w:val="3"/>
      </w:numPr>
      <w:tabs>
        <w:tab w:val="left" w:pos="1980"/>
      </w:tabs>
      <w:spacing w:before="80" w:after="80"/>
    </w:pPr>
    <w:rPr>
      <w:szCs w:val="20"/>
    </w:rPr>
  </w:style>
  <w:style w:type="paragraph" w:styleId="BodyText3">
    <w:name w:val="Body Text 3"/>
    <w:basedOn w:val="Normal"/>
    <w:rsid w:val="004A4B80"/>
    <w:pPr>
      <w:spacing w:before="120" w:after="120"/>
    </w:pPr>
  </w:style>
  <w:style w:type="paragraph" w:customStyle="1" w:styleId="Heading2longmultiline">
    <w:name w:val="Heading 2 (long multiline)"/>
    <w:basedOn w:val="Normal"/>
    <w:rsid w:val="004A4B80"/>
    <w:pPr>
      <w:keepNext/>
      <w:tabs>
        <w:tab w:val="left" w:pos="720"/>
      </w:tabs>
      <w:spacing w:before="120" w:after="120"/>
      <w:ind w:left="2127" w:right="998" w:hanging="1276"/>
      <w:jc w:val="left"/>
      <w:outlineLvl w:val="0"/>
    </w:pPr>
    <w:rPr>
      <w:b/>
      <w:i/>
      <w:iCs/>
    </w:rPr>
  </w:style>
  <w:style w:type="paragraph" w:customStyle="1" w:styleId="HEADINGNOTFORTOC">
    <w:name w:val="HEADING (NOT FOR TOC)"/>
    <w:basedOn w:val="Heading1"/>
    <w:next w:val="Heading2"/>
    <w:link w:val="HEADINGNOTFORTOCChar"/>
    <w:rsid w:val="004A4B80"/>
  </w:style>
  <w:style w:type="paragraph" w:customStyle="1" w:styleId="Heading-item">
    <w:name w:val="Heading-item"/>
    <w:basedOn w:val="Normal"/>
    <w:next w:val="BodyText"/>
    <w:rsid w:val="004A4B80"/>
    <w:pPr>
      <w:keepNext/>
      <w:spacing w:before="120" w:after="120"/>
      <w:ind w:left="709" w:hanging="709"/>
    </w:pPr>
    <w:rPr>
      <w:b/>
      <w:bCs/>
      <w:i/>
      <w:iCs/>
    </w:rPr>
  </w:style>
  <w:style w:type="paragraph" w:customStyle="1" w:styleId="Para1alternative">
    <w:name w:val="Para1 (alternative)"/>
    <w:basedOn w:val="Normal"/>
    <w:rsid w:val="004A4B80"/>
    <w:pPr>
      <w:spacing w:before="240" w:after="120"/>
    </w:pPr>
    <w:rPr>
      <w:rFonts w:eastAsia="MS Mincho"/>
      <w:snapToGrid w:val="0"/>
      <w:szCs w:val="18"/>
    </w:rPr>
  </w:style>
  <w:style w:type="character" w:customStyle="1" w:styleId="Heading2Char">
    <w:name w:val="Heading 2 Char"/>
    <w:basedOn w:val="DefaultParagraphFont"/>
    <w:link w:val="Heading2"/>
    <w:rsid w:val="004A4B80"/>
    <w:rPr>
      <w:b/>
      <w:bCs/>
      <w:i/>
      <w:iCs/>
      <w:sz w:val="22"/>
      <w:szCs w:val="24"/>
      <w:lang w:val="en-GB" w:eastAsia="en-US" w:bidi="ar-SA"/>
    </w:rPr>
  </w:style>
  <w:style w:type="character" w:styleId="Emphasis">
    <w:name w:val="Emphasis"/>
    <w:basedOn w:val="DefaultParagraphFont"/>
    <w:qFormat/>
    <w:rsid w:val="004A4B80"/>
    <w:rPr>
      <w:i/>
      <w:iCs/>
    </w:rPr>
  </w:style>
  <w:style w:type="character" w:customStyle="1" w:styleId="Para1Char">
    <w:name w:val="Para1 Char"/>
    <w:basedOn w:val="DefaultParagraphFont"/>
    <w:link w:val="Para1"/>
    <w:rsid w:val="004A4B80"/>
    <w:rPr>
      <w:snapToGrid w:val="0"/>
      <w:sz w:val="22"/>
      <w:szCs w:val="18"/>
      <w:lang w:val="en-GB" w:eastAsia="en-US" w:bidi="ar-SA"/>
    </w:rPr>
  </w:style>
  <w:style w:type="character" w:customStyle="1" w:styleId="FootnoteTextChar">
    <w:name w:val="Footnote Text Char"/>
    <w:aliases w:val="fn Char,Geneva 9 Char,Font: Geneva 9 Char,Boston 10 Char,f Char,ft Char1,Fotnotstext Char Char,ft Char Char,single space Char,footnote text Char,FOOTNOTES Char,ADB Char,single space1 Char,footnote text1 Char,FOOTNOTES1 Char,fn1 Char"/>
    <w:basedOn w:val="DefaultParagraphFont"/>
    <w:link w:val="FootnoteText"/>
    <w:rsid w:val="004A4B80"/>
    <w:rPr>
      <w:sz w:val="18"/>
      <w:szCs w:val="24"/>
      <w:lang w:val="en-GB" w:eastAsia="en-US" w:bidi="ar-SA"/>
    </w:rPr>
  </w:style>
  <w:style w:type="character" w:customStyle="1" w:styleId="Heading1Char1">
    <w:name w:val="Heading 1 Char1"/>
    <w:basedOn w:val="DefaultParagraphFont"/>
    <w:link w:val="Heading1"/>
    <w:locked/>
    <w:rsid w:val="004A4B80"/>
    <w:rPr>
      <w:b/>
      <w:caps/>
      <w:sz w:val="22"/>
      <w:szCs w:val="24"/>
      <w:lang w:val="en-GB" w:eastAsia="en-US" w:bidi="ar-SA"/>
    </w:rPr>
  </w:style>
  <w:style w:type="character" w:customStyle="1" w:styleId="Heading3Char">
    <w:name w:val="Heading 3 Char"/>
    <w:basedOn w:val="DefaultParagraphFont"/>
    <w:link w:val="Heading3"/>
    <w:semiHidden/>
    <w:locked/>
    <w:rsid w:val="004A4B80"/>
    <w:rPr>
      <w:i/>
      <w:iCs/>
      <w:sz w:val="22"/>
      <w:szCs w:val="24"/>
      <w:lang w:val="en-GB" w:eastAsia="en-US" w:bidi="ar-SA"/>
    </w:rPr>
  </w:style>
  <w:style w:type="character" w:customStyle="1" w:styleId="HEADINGNOTFORTOCChar">
    <w:name w:val="HEADING (NOT FOR TOC) Char"/>
    <w:basedOn w:val="DefaultParagraphFont"/>
    <w:link w:val="HEADINGNOTFORTOC"/>
    <w:rsid w:val="004A4B80"/>
    <w:rPr>
      <w:b/>
      <w:caps/>
      <w:sz w:val="22"/>
      <w:szCs w:val="24"/>
      <w:lang w:val="en-GB" w:eastAsia="en-US" w:bidi="ar-SA"/>
    </w:rPr>
  </w:style>
  <w:style w:type="character" w:customStyle="1" w:styleId="Heading1Char">
    <w:name w:val="Heading 1 Char"/>
    <w:basedOn w:val="DefaultParagraphFont"/>
    <w:rsid w:val="004A4B80"/>
    <w:rPr>
      <w:rFonts w:ascii="Arial" w:hAnsi="Arial" w:cs="Arial"/>
      <w:b/>
      <w:bCs/>
      <w:kern w:val="32"/>
      <w:sz w:val="32"/>
      <w:szCs w:val="32"/>
      <w:lang w:val="en-GB" w:eastAsia="en-US" w:bidi="ar-SA"/>
    </w:rPr>
  </w:style>
  <w:style w:type="paragraph" w:customStyle="1" w:styleId="headreclong">
    <w:name w:val="head_rec (long)"/>
    <w:basedOn w:val="HEADINGNOTFORTOC"/>
    <w:next w:val="BodyText"/>
    <w:rsid w:val="004A4B80"/>
    <w:pPr>
      <w:ind w:left="1440" w:hanging="1440"/>
    </w:pPr>
    <w:rPr>
      <w:i/>
      <w:caps w:val="0"/>
    </w:rPr>
  </w:style>
  <w:style w:type="paragraph" w:customStyle="1" w:styleId="headrec">
    <w:name w:val="head_rec"/>
    <w:basedOn w:val="Heading2"/>
    <w:next w:val="BodyText"/>
    <w:rsid w:val="004A4B80"/>
  </w:style>
  <w:style w:type="paragraph" w:styleId="Footer">
    <w:name w:val="footer"/>
    <w:basedOn w:val="Normal"/>
    <w:link w:val="FooterChar"/>
    <w:rsid w:val="004A4B80"/>
    <w:pPr>
      <w:tabs>
        <w:tab w:val="center" w:pos="4320"/>
        <w:tab w:val="right" w:pos="8640"/>
      </w:tabs>
    </w:pPr>
  </w:style>
  <w:style w:type="character" w:styleId="PageNumber">
    <w:name w:val="page number"/>
    <w:basedOn w:val="DefaultParagraphFont"/>
    <w:rsid w:val="004A4B80"/>
  </w:style>
  <w:style w:type="paragraph" w:styleId="BalloonText">
    <w:name w:val="Balloon Text"/>
    <w:basedOn w:val="Normal"/>
    <w:semiHidden/>
    <w:rsid w:val="006868F8"/>
    <w:rPr>
      <w:rFonts w:ascii="Tahoma" w:hAnsi="Tahoma" w:cs="Tahoma"/>
      <w:sz w:val="16"/>
      <w:szCs w:val="16"/>
    </w:rPr>
  </w:style>
  <w:style w:type="character" w:styleId="CommentReference">
    <w:name w:val="annotation reference"/>
    <w:basedOn w:val="DefaultParagraphFont"/>
    <w:semiHidden/>
    <w:rsid w:val="00A00F9C"/>
    <w:rPr>
      <w:sz w:val="16"/>
      <w:szCs w:val="16"/>
    </w:rPr>
  </w:style>
  <w:style w:type="paragraph" w:styleId="CommentText">
    <w:name w:val="annotation text"/>
    <w:basedOn w:val="Normal"/>
    <w:semiHidden/>
    <w:rsid w:val="00A00F9C"/>
    <w:rPr>
      <w:sz w:val="20"/>
      <w:szCs w:val="20"/>
    </w:rPr>
  </w:style>
  <w:style w:type="paragraph" w:styleId="CommentSubject">
    <w:name w:val="annotation subject"/>
    <w:basedOn w:val="CommentText"/>
    <w:next w:val="CommentText"/>
    <w:semiHidden/>
    <w:rsid w:val="00A00F9C"/>
    <w:rPr>
      <w:b/>
      <w:bCs/>
    </w:rPr>
  </w:style>
  <w:style w:type="paragraph" w:customStyle="1" w:styleId="Cornernotation">
    <w:name w:val="Corner notation"/>
    <w:basedOn w:val="Normal"/>
    <w:rsid w:val="002074D8"/>
    <w:pPr>
      <w:ind w:left="170" w:right="3119" w:hanging="170"/>
      <w:jc w:val="left"/>
    </w:pPr>
  </w:style>
  <w:style w:type="paragraph" w:styleId="Header">
    <w:name w:val="header"/>
    <w:basedOn w:val="Normal"/>
    <w:link w:val="HeaderChar"/>
    <w:rsid w:val="002074D8"/>
    <w:pPr>
      <w:tabs>
        <w:tab w:val="center" w:pos="4320"/>
        <w:tab w:val="right" w:pos="8640"/>
      </w:tabs>
    </w:pPr>
  </w:style>
  <w:style w:type="paragraph" w:styleId="BodyText2">
    <w:name w:val="Body Text 2"/>
    <w:basedOn w:val="Normal"/>
    <w:rsid w:val="00B27CBA"/>
    <w:pPr>
      <w:spacing w:after="120" w:line="480" w:lineRule="auto"/>
    </w:pPr>
  </w:style>
  <w:style w:type="paragraph" w:customStyle="1" w:styleId="Decision">
    <w:name w:val="Decision"/>
    <w:basedOn w:val="Heading2"/>
    <w:rsid w:val="00E54F71"/>
    <w:rPr>
      <w:caps/>
    </w:rPr>
  </w:style>
  <w:style w:type="character" w:customStyle="1" w:styleId="BodyTextChar">
    <w:name w:val="Body Text Char"/>
    <w:aliases w:val=" Car Char"/>
    <w:basedOn w:val="DefaultParagraphFont"/>
    <w:link w:val="BodyText"/>
    <w:rsid w:val="00FD551D"/>
    <w:rPr>
      <w:iCs/>
      <w:sz w:val="22"/>
      <w:szCs w:val="24"/>
      <w:lang w:val="en-GB" w:eastAsia="en-US" w:bidi="ar-SA"/>
    </w:rPr>
  </w:style>
  <w:style w:type="character" w:customStyle="1" w:styleId="FooterChar">
    <w:name w:val="Footer Char"/>
    <w:basedOn w:val="DefaultParagraphFont"/>
    <w:link w:val="Footer"/>
    <w:rsid w:val="00FD551D"/>
    <w:rPr>
      <w:sz w:val="22"/>
      <w:szCs w:val="24"/>
      <w:lang w:val="en-GB" w:eastAsia="en-US" w:bidi="ar-SA"/>
    </w:rPr>
  </w:style>
  <w:style w:type="character" w:customStyle="1" w:styleId="HeaderChar">
    <w:name w:val="Header Char"/>
    <w:basedOn w:val="DefaultParagraphFont"/>
    <w:link w:val="Header"/>
    <w:rsid w:val="00FD551D"/>
    <w:rPr>
      <w:sz w:val="22"/>
      <w:szCs w:val="24"/>
      <w:lang w:val="en-GB" w:eastAsia="en-US" w:bidi="ar-SA"/>
    </w:rPr>
  </w:style>
  <w:style w:type="paragraph" w:customStyle="1" w:styleId="Decheadmuliline">
    <w:name w:val="Dec_head muliline"/>
    <w:basedOn w:val="BodyText"/>
    <w:next w:val="BodyText"/>
    <w:rsid w:val="00FD551D"/>
    <w:pPr>
      <w:ind w:left="2127" w:hanging="1276"/>
    </w:pPr>
    <w:rPr>
      <w:b/>
      <w:i/>
    </w:rPr>
  </w:style>
  <w:style w:type="character" w:customStyle="1" w:styleId="StyleFootnoteReferenceComplex11ptComplexItalic">
    <w:name w:val="Style Footnote Reference + (Complex) 11 pt (Complex) Italic"/>
    <w:basedOn w:val="FootnoteReference"/>
    <w:rsid w:val="00FD551D"/>
    <w:rPr>
      <w:iCs/>
      <w:sz w:val="22"/>
      <w:szCs w:val="22"/>
      <w:u w:val="none"/>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714</Words>
  <Characters>4072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Decision X/41</vt:lpstr>
    </vt:vector>
  </TitlesOfParts>
  <Company/>
  <LinksUpToDate>false</LinksUpToDate>
  <CharactersWithSpaces>4777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Decision X/41</dc:title>
  <dc:subject>Elements of sui generis systems for the protection of traditional knowledge </dc:subject>
  <dc:creator>SCBD</dc:creator>
  <cp:keywords>sui generis systems; Article 8(j)</cp:keywords>
  <dc:description/>
  <cp:lastModifiedBy>Rodrigo Elias</cp:lastModifiedBy>
  <cp:revision>2</cp:revision>
  <cp:lastPrinted>2010-10-26T02:07:00Z</cp:lastPrinted>
  <dcterms:created xsi:type="dcterms:W3CDTF">2025-11-13T18:50:00Z</dcterms:created>
  <dcterms:modified xsi:type="dcterms:W3CDTF">2025-11-13T18:50:00Z</dcterms:modified>
</cp:coreProperties>
</file>