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34" w:type="dxa"/>
        <w:tblBorders>
          <w:bottom w:val="single" w:sz="3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3"/>
        <w:gridCol w:w="1244"/>
        <w:gridCol w:w="2610"/>
        <w:gridCol w:w="1029"/>
        <w:gridCol w:w="3544"/>
      </w:tblGrid>
      <w:tr w:rsidR="00E85B4A" w:rsidRPr="00605FE4" w14:paraId="4D48FA49" w14:textId="77777777" w:rsidTr="001D2672">
        <w:tblPrEx>
          <w:tblCellMar>
            <w:top w:w="0" w:type="dxa"/>
            <w:bottom w:w="0" w:type="dxa"/>
          </w:tblCellMar>
        </w:tblPrEx>
        <w:tc>
          <w:tcPr>
            <w:tcW w:w="1213" w:type="dxa"/>
            <w:tcBorders>
              <w:top w:val="nil"/>
              <w:bottom w:val="single" w:sz="12" w:space="0" w:color="000000"/>
            </w:tcBorders>
          </w:tcPr>
          <w:p w14:paraId="71A057B8" w14:textId="77777777" w:rsidR="00E85B4A" w:rsidRPr="00605FE4" w:rsidRDefault="00CC1DBD" w:rsidP="004452DF">
            <w:pPr>
              <w:pStyle w:val="BodyText2"/>
            </w:pPr>
            <w:r w:rsidRPr="00605FE4">
              <w:rPr>
                <w:noProof/>
              </w:rPr>
              <w:drawing>
                <wp:inline distT="0" distB="0" distL="0" distR="0" wp14:anchorId="4E61DF44" wp14:editId="16DBAECA">
                  <wp:extent cx="501650" cy="584200"/>
                  <wp:effectExtent l="0" t="0" r="0" b="0"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tcBorders>
              <w:top w:val="nil"/>
              <w:bottom w:val="single" w:sz="12" w:space="0" w:color="000000"/>
            </w:tcBorders>
          </w:tcPr>
          <w:p w14:paraId="2F52279B" w14:textId="77777777" w:rsidR="00E85B4A" w:rsidRPr="00605FE4" w:rsidRDefault="00CC1DBD" w:rsidP="004452DF">
            <w:r w:rsidRPr="00605FE4">
              <w:rPr>
                <w:b/>
                <w:noProof/>
              </w:rPr>
              <w:drawing>
                <wp:inline distT="0" distB="0" distL="0" distR="0" wp14:anchorId="0A5DABD8" wp14:editId="42C83D12">
                  <wp:extent cx="685800" cy="558800"/>
                  <wp:effectExtent l="0" t="0" r="0" b="0"/>
                  <wp:docPr id="2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 preferRelativeResize="0"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5" r="43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3" w:type="dxa"/>
            <w:gridSpan w:val="3"/>
            <w:tcBorders>
              <w:top w:val="nil"/>
              <w:bottom w:val="single" w:sz="12" w:space="0" w:color="000000"/>
            </w:tcBorders>
          </w:tcPr>
          <w:p w14:paraId="7DC61F3A" w14:textId="77777777" w:rsidR="00E85B4A" w:rsidRPr="00605FE4" w:rsidRDefault="00E85B4A" w:rsidP="001D2672">
            <w:pPr>
              <w:tabs>
                <w:tab w:val="left" w:pos="1125"/>
                <w:tab w:val="left" w:pos="6815"/>
                <w:tab w:val="right" w:pos="7611"/>
              </w:tabs>
              <w:jc w:val="right"/>
              <w:rPr>
                <w:rFonts w:ascii="Univers" w:hAnsi="Univers"/>
                <w:b/>
                <w:sz w:val="32"/>
              </w:rPr>
            </w:pPr>
            <w:r w:rsidRPr="00605FE4">
              <w:rPr>
                <w:rFonts w:ascii="Univers" w:hAnsi="Univers"/>
                <w:b/>
                <w:sz w:val="32"/>
              </w:rPr>
              <w:tab/>
              <w:t>CBD</w:t>
            </w:r>
          </w:p>
          <w:p w14:paraId="34A8DD92" w14:textId="77777777" w:rsidR="00E85B4A" w:rsidRPr="00605FE4" w:rsidRDefault="00E85B4A" w:rsidP="004452DF">
            <w:pPr>
              <w:jc w:val="right"/>
              <w:rPr>
                <w:b/>
                <w:sz w:val="28"/>
              </w:rPr>
            </w:pPr>
          </w:p>
        </w:tc>
      </w:tr>
      <w:tr w:rsidR="00E85B4A" w:rsidRPr="00605FE4" w14:paraId="24BE7E9D" w14:textId="77777777" w:rsidTr="001D2672">
        <w:tblPrEx>
          <w:tblCellMar>
            <w:top w:w="0" w:type="dxa"/>
            <w:bottom w:w="0" w:type="dxa"/>
          </w:tblCellMar>
        </w:tblPrEx>
        <w:trPr>
          <w:trHeight w:val="1693"/>
        </w:trPr>
        <w:tc>
          <w:tcPr>
            <w:tcW w:w="5067" w:type="dxa"/>
            <w:gridSpan w:val="3"/>
            <w:tcBorders>
              <w:top w:val="nil"/>
              <w:bottom w:val="single" w:sz="36" w:space="0" w:color="000000"/>
            </w:tcBorders>
          </w:tcPr>
          <w:p w14:paraId="03B6B0F8" w14:textId="77777777" w:rsidR="00E85B4A" w:rsidRPr="00605FE4" w:rsidRDefault="00E85B4A" w:rsidP="004452DF"/>
          <w:p w14:paraId="12AFC388" w14:textId="77777777" w:rsidR="00E85B4A" w:rsidRPr="00605FE4" w:rsidRDefault="00CC1DBD" w:rsidP="004452DF">
            <w:r w:rsidRPr="00605FE4">
              <w:rPr>
                <w:noProof/>
              </w:rPr>
              <w:drawing>
                <wp:inline distT="0" distB="0" distL="0" distR="0" wp14:anchorId="0DD76372" wp14:editId="1B0ED805">
                  <wp:extent cx="2838450" cy="1079500"/>
                  <wp:effectExtent l="0" t="0" r="0" b="0"/>
                  <wp:docPr id="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CFD0A" w14:textId="77777777" w:rsidR="00E85B4A" w:rsidRPr="00935295" w:rsidRDefault="00E85B4A" w:rsidP="004452DF">
            <w:pPr>
              <w:rPr>
                <w:rFonts w:ascii="Univers" w:hAnsi="Univers"/>
              </w:rPr>
            </w:pPr>
          </w:p>
        </w:tc>
        <w:tc>
          <w:tcPr>
            <w:tcW w:w="1029" w:type="dxa"/>
            <w:tcBorders>
              <w:top w:val="nil"/>
              <w:bottom w:val="single" w:sz="36" w:space="0" w:color="000000"/>
            </w:tcBorders>
          </w:tcPr>
          <w:p w14:paraId="4DB45128" w14:textId="77777777" w:rsidR="00E85B4A" w:rsidRPr="000248CD" w:rsidRDefault="00E85B4A" w:rsidP="004452DF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szCs w:val="22"/>
              </w:rPr>
            </w:pPr>
          </w:p>
          <w:p w14:paraId="199A545C" w14:textId="77777777" w:rsidR="00E85B4A" w:rsidRPr="000248CD" w:rsidRDefault="00E85B4A" w:rsidP="004452DF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szCs w:val="22"/>
              </w:rPr>
            </w:pPr>
          </w:p>
          <w:p w14:paraId="50A30551" w14:textId="77777777" w:rsidR="00E85B4A" w:rsidRPr="000248CD" w:rsidRDefault="00E85B4A" w:rsidP="004452DF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szCs w:val="22"/>
              </w:rPr>
            </w:pPr>
          </w:p>
          <w:p w14:paraId="190FE199" w14:textId="77777777" w:rsidR="00E85B4A" w:rsidRPr="000248CD" w:rsidRDefault="00E85B4A" w:rsidP="004452DF">
            <w:pPr>
              <w:pStyle w:val="Header"/>
              <w:tabs>
                <w:tab w:val="clear" w:pos="4320"/>
                <w:tab w:val="clear" w:pos="8640"/>
              </w:tabs>
              <w:ind w:right="-2943"/>
              <w:rPr>
                <w:b/>
                <w:szCs w:val="22"/>
                <w:u w:val="single"/>
              </w:rPr>
            </w:pPr>
            <w:r w:rsidRPr="000248CD">
              <w:rPr>
                <w:b/>
                <w:szCs w:val="22"/>
              </w:rPr>
              <w:t xml:space="preserve">  </w:t>
            </w:r>
          </w:p>
          <w:p w14:paraId="114E7703" w14:textId="77777777" w:rsidR="00E85B4A" w:rsidRPr="000248CD" w:rsidRDefault="00E85B4A" w:rsidP="004452DF">
            <w:pPr>
              <w:pStyle w:val="Header"/>
              <w:tabs>
                <w:tab w:val="clear" w:pos="4320"/>
                <w:tab w:val="clear" w:pos="8640"/>
              </w:tabs>
              <w:ind w:left="1478" w:right="-2943"/>
              <w:rPr>
                <w:b/>
                <w:color w:val="FF0000"/>
                <w:szCs w:val="22"/>
              </w:rPr>
            </w:pPr>
          </w:p>
        </w:tc>
        <w:tc>
          <w:tcPr>
            <w:tcW w:w="3544" w:type="dxa"/>
            <w:tcBorders>
              <w:top w:val="nil"/>
              <w:bottom w:val="single" w:sz="36" w:space="0" w:color="000000"/>
            </w:tcBorders>
          </w:tcPr>
          <w:p w14:paraId="0A386C0F" w14:textId="77777777" w:rsidR="00E85B4A" w:rsidRPr="000248CD" w:rsidRDefault="00E85B4A" w:rsidP="00046948">
            <w:pPr>
              <w:ind w:left="34"/>
              <w:rPr>
                <w:szCs w:val="22"/>
              </w:rPr>
            </w:pPr>
            <w:r w:rsidRPr="000248CD">
              <w:rPr>
                <w:szCs w:val="22"/>
              </w:rPr>
              <w:t>Distr.</w:t>
            </w:r>
          </w:p>
          <w:p w14:paraId="3196373E" w14:textId="77777777" w:rsidR="00E85B4A" w:rsidRPr="000248CD" w:rsidRDefault="00D200AB" w:rsidP="00046948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GENERAL</w:t>
            </w:r>
          </w:p>
          <w:p w14:paraId="6AD21D69" w14:textId="77777777" w:rsidR="00E85B4A" w:rsidRPr="000248CD" w:rsidRDefault="00E85B4A" w:rsidP="00046948">
            <w:pPr>
              <w:ind w:left="34"/>
              <w:rPr>
                <w:szCs w:val="22"/>
              </w:rPr>
            </w:pPr>
          </w:p>
          <w:p w14:paraId="19BF47D2" w14:textId="77777777" w:rsidR="00E85B4A" w:rsidRPr="000248CD" w:rsidRDefault="00E85B4A" w:rsidP="00046948">
            <w:pPr>
              <w:ind w:left="34"/>
              <w:rPr>
                <w:szCs w:val="22"/>
              </w:rPr>
            </w:pPr>
            <w:r w:rsidRPr="000248CD">
              <w:rPr>
                <w:szCs w:val="22"/>
              </w:rPr>
              <w:t>UNEP/CBD/COP/</w:t>
            </w:r>
            <w:r w:rsidR="00D200AB">
              <w:rPr>
                <w:szCs w:val="22"/>
              </w:rPr>
              <w:t>DEC/XII/1</w:t>
            </w:r>
            <w:r w:rsidR="00FA48E3">
              <w:rPr>
                <w:szCs w:val="22"/>
              </w:rPr>
              <w:t>4</w:t>
            </w:r>
          </w:p>
          <w:p w14:paraId="5A3314BC" w14:textId="77777777" w:rsidR="00E85B4A" w:rsidRPr="000248CD" w:rsidRDefault="00D200AB" w:rsidP="00046948">
            <w:pPr>
              <w:ind w:left="34"/>
              <w:rPr>
                <w:szCs w:val="22"/>
              </w:rPr>
            </w:pPr>
            <w:r>
              <w:rPr>
                <w:szCs w:val="22"/>
              </w:rPr>
              <w:t>17</w:t>
            </w:r>
            <w:r w:rsidR="00E85B4A">
              <w:rPr>
                <w:szCs w:val="22"/>
              </w:rPr>
              <w:t xml:space="preserve"> October 2014</w:t>
            </w:r>
          </w:p>
          <w:p w14:paraId="74AF5B24" w14:textId="77777777" w:rsidR="00E85B4A" w:rsidRPr="000248CD" w:rsidRDefault="00E85B4A" w:rsidP="00046948">
            <w:pPr>
              <w:ind w:left="34"/>
              <w:rPr>
                <w:szCs w:val="22"/>
              </w:rPr>
            </w:pPr>
          </w:p>
          <w:p w14:paraId="06487509" w14:textId="77777777" w:rsidR="00E85B4A" w:rsidRPr="000248CD" w:rsidRDefault="00E85B4A" w:rsidP="00046948">
            <w:pPr>
              <w:ind w:left="34"/>
              <w:rPr>
                <w:b/>
                <w:bCs/>
                <w:szCs w:val="22"/>
                <w:u w:val="single"/>
              </w:rPr>
            </w:pPr>
            <w:r w:rsidRPr="000248CD">
              <w:rPr>
                <w:szCs w:val="22"/>
              </w:rPr>
              <w:t>ORIGINAL:  ENGLISH</w:t>
            </w:r>
          </w:p>
        </w:tc>
      </w:tr>
    </w:tbl>
    <w:p w14:paraId="3B0C042F" w14:textId="77777777" w:rsidR="009E5797" w:rsidRPr="007D4D05" w:rsidRDefault="009E5797" w:rsidP="00B8039E">
      <w:pPr>
        <w:pStyle w:val="Cornernotation"/>
        <w:ind w:right="3973"/>
        <w:rPr>
          <w:caps/>
        </w:rPr>
      </w:pPr>
      <w:r w:rsidRPr="007D4D05">
        <w:rPr>
          <w:caps/>
        </w:rPr>
        <w:t xml:space="preserve">CONFERENCE OF THE PARTIES TO THE CONVENTION ON BIOLOGICAL DIVERSITY </w:t>
      </w:r>
    </w:p>
    <w:p w14:paraId="57094CEC" w14:textId="77777777" w:rsidR="00B552C9" w:rsidRPr="007D4D05" w:rsidRDefault="00B8039E">
      <w:pPr>
        <w:pStyle w:val="Cornernotation"/>
        <w:ind w:right="3548"/>
        <w:rPr>
          <w:szCs w:val="22"/>
        </w:rPr>
      </w:pPr>
      <w:r w:rsidRPr="007D4D05">
        <w:rPr>
          <w:szCs w:val="22"/>
        </w:rPr>
        <w:t>Twelfth</w:t>
      </w:r>
      <w:r w:rsidR="00B552C9" w:rsidRPr="007D4D05">
        <w:rPr>
          <w:szCs w:val="22"/>
        </w:rPr>
        <w:t xml:space="preserve"> meeting</w:t>
      </w:r>
    </w:p>
    <w:p w14:paraId="1AD8EF60" w14:textId="77777777" w:rsidR="002E61D1" w:rsidRPr="00A6668A" w:rsidRDefault="009E5797" w:rsidP="002E61D1">
      <w:pPr>
        <w:pStyle w:val="Cornernotation"/>
      </w:pPr>
      <w:r w:rsidRPr="007F1F33">
        <w:rPr>
          <w:noProof/>
        </w:rPr>
        <w:t>Py</w:t>
      </w:r>
      <w:r w:rsidR="00B8039E" w:rsidRPr="007F1F33">
        <w:rPr>
          <w:noProof/>
        </w:rPr>
        <w:t>eongchang</w:t>
      </w:r>
      <w:r w:rsidR="00B8039E" w:rsidRPr="00A6668A">
        <w:t>, Republic of Korea, 6</w:t>
      </w:r>
      <w:r w:rsidRPr="00A6668A">
        <w:t>-17 October 2014</w:t>
      </w:r>
    </w:p>
    <w:p w14:paraId="0F63F019" w14:textId="77777777" w:rsidR="005A7C10" w:rsidRPr="007D4D05" w:rsidRDefault="006A323D" w:rsidP="009E5797">
      <w:pPr>
        <w:pStyle w:val="Cornernotation"/>
        <w:ind w:right="3548"/>
        <w:rPr>
          <w:szCs w:val="22"/>
        </w:rPr>
      </w:pPr>
      <w:r w:rsidRPr="007D4D05">
        <w:rPr>
          <w:szCs w:val="22"/>
        </w:rPr>
        <w:t>Agenda item</w:t>
      </w:r>
      <w:r w:rsidR="00344981" w:rsidRPr="007D4D05">
        <w:rPr>
          <w:szCs w:val="22"/>
        </w:rPr>
        <w:t xml:space="preserve"> 20</w:t>
      </w:r>
    </w:p>
    <w:p w14:paraId="07FEA7BB" w14:textId="77777777" w:rsidR="00D200AB" w:rsidRDefault="00D200AB" w:rsidP="009E5797">
      <w:pPr>
        <w:pStyle w:val="HEADINGNOTFORTOC"/>
      </w:pPr>
      <w:r>
        <w:rPr>
          <w:kern w:val="1"/>
          <w:szCs w:val="22"/>
        </w:rPr>
        <w:t>DECISION ADOPTED BY THE CONFERENCE OF THE PARTIES TO THE CONVENTION ON BIOLOGICAL DIVERSITY</w:t>
      </w:r>
    </w:p>
    <w:p w14:paraId="4F7570B2" w14:textId="77777777" w:rsidR="00862F74" w:rsidRPr="007D4D05" w:rsidRDefault="00FA48E3" w:rsidP="009C4746">
      <w:pPr>
        <w:pStyle w:val="recommendationheaderlong"/>
      </w:pPr>
      <w:r>
        <w:t>XII/14</w:t>
      </w:r>
      <w:r w:rsidR="00D200AB">
        <w:t>.</w:t>
      </w:r>
      <w:r w:rsidR="00D200AB">
        <w:tab/>
      </w:r>
      <w:r w:rsidR="00344981" w:rsidRPr="007D4D05">
        <w:t xml:space="preserve">Liability and </w:t>
      </w:r>
      <w:r w:rsidR="00D200AB" w:rsidRPr="007D4D05">
        <w:t>redress</w:t>
      </w:r>
      <w:r w:rsidR="00D200AB">
        <w:t xml:space="preserve"> in the context of paragraph 2 of Article 14 of the Convention</w:t>
      </w:r>
    </w:p>
    <w:p w14:paraId="67714C9B" w14:textId="77777777" w:rsidR="001B228C" w:rsidRPr="00A6668A" w:rsidRDefault="009E5797" w:rsidP="00C64AFF">
      <w:pPr>
        <w:spacing w:before="120" w:after="120"/>
        <w:ind w:firstLine="720"/>
        <w:rPr>
          <w:i/>
        </w:rPr>
      </w:pPr>
      <w:r w:rsidRPr="007F1F33">
        <w:rPr>
          <w:i/>
        </w:rPr>
        <w:t xml:space="preserve">The </w:t>
      </w:r>
      <w:r w:rsidRPr="00A6668A">
        <w:rPr>
          <w:i/>
          <w:snapToGrid w:val="0"/>
          <w:szCs w:val="18"/>
        </w:rPr>
        <w:t>Conference of the Parties</w:t>
      </w:r>
      <w:r w:rsidR="00C64AFF" w:rsidRPr="00A6668A">
        <w:rPr>
          <w:i/>
        </w:rPr>
        <w:t>,</w:t>
      </w:r>
    </w:p>
    <w:p w14:paraId="0094BE63" w14:textId="77777777" w:rsidR="00250436" w:rsidRPr="006B7D7D" w:rsidRDefault="00250436" w:rsidP="007D4D05">
      <w:pPr>
        <w:spacing w:before="60" w:after="120"/>
        <w:ind w:firstLine="709"/>
      </w:pPr>
      <w:r w:rsidRPr="00A6668A">
        <w:rPr>
          <w:i/>
        </w:rPr>
        <w:t>Tak</w:t>
      </w:r>
      <w:r w:rsidR="00344981" w:rsidRPr="00C64FB7">
        <w:rPr>
          <w:i/>
        </w:rPr>
        <w:t>ing</w:t>
      </w:r>
      <w:r w:rsidRPr="00C64FB7">
        <w:rPr>
          <w:i/>
        </w:rPr>
        <w:t xml:space="preserve"> note</w:t>
      </w:r>
      <w:r w:rsidRPr="00C64FB7">
        <w:t xml:space="preserve"> of the Nagoya – Kuala Lumpur Supplementary Protocol on Liability and Redress</w:t>
      </w:r>
      <w:r w:rsidR="009F7BA5" w:rsidRPr="006B7D7D">
        <w:t xml:space="preserve"> to the Cartagena Protocol on Biosafety</w:t>
      </w:r>
      <w:r w:rsidR="00344981" w:rsidRPr="006B7D7D">
        <w:t>,</w:t>
      </w:r>
    </w:p>
    <w:p w14:paraId="65589AE7" w14:textId="77777777" w:rsidR="00250436" w:rsidRPr="00A6668A" w:rsidRDefault="00344981" w:rsidP="007D4D05">
      <w:pPr>
        <w:spacing w:before="60" w:after="120"/>
        <w:ind w:firstLine="709"/>
      </w:pPr>
      <w:r w:rsidRPr="006B7D7D">
        <w:rPr>
          <w:i/>
        </w:rPr>
        <w:t>Also t</w:t>
      </w:r>
      <w:r w:rsidR="00250436" w:rsidRPr="006B7D7D">
        <w:rPr>
          <w:i/>
        </w:rPr>
        <w:t>ak</w:t>
      </w:r>
      <w:r w:rsidRPr="006B7D7D">
        <w:rPr>
          <w:i/>
        </w:rPr>
        <w:t>ing</w:t>
      </w:r>
      <w:r w:rsidR="00250436" w:rsidRPr="006B7D7D">
        <w:rPr>
          <w:i/>
        </w:rPr>
        <w:t xml:space="preserve"> note </w:t>
      </w:r>
      <w:r w:rsidR="00250436" w:rsidRPr="006B7D7D">
        <w:t>of the U</w:t>
      </w:r>
      <w:r w:rsidR="008B4125" w:rsidRPr="006B7D7D">
        <w:t xml:space="preserve">nited </w:t>
      </w:r>
      <w:r w:rsidR="00250436" w:rsidRPr="006B7D7D">
        <w:t>N</w:t>
      </w:r>
      <w:r w:rsidR="008B4125" w:rsidRPr="006B7D7D">
        <w:t xml:space="preserve">ations </w:t>
      </w:r>
      <w:r w:rsidR="00250436" w:rsidRPr="006B7D7D">
        <w:t>E</w:t>
      </w:r>
      <w:r w:rsidR="008B4125" w:rsidRPr="006B7D7D">
        <w:t xml:space="preserve">nvironment </w:t>
      </w:r>
      <w:r w:rsidR="00250436" w:rsidRPr="006B7D7D">
        <w:t>P</w:t>
      </w:r>
      <w:r w:rsidR="008B4125" w:rsidRPr="006B7D7D">
        <w:t>rogramme</w:t>
      </w:r>
      <w:r w:rsidR="00250436" w:rsidRPr="006B7D7D">
        <w:t>’s Guidelines for the development of domestic legislation</w:t>
      </w:r>
      <w:r w:rsidR="00250436" w:rsidRPr="007D4D05">
        <w:t xml:space="preserve"> </w:t>
      </w:r>
      <w:r w:rsidR="00250436" w:rsidRPr="007F1F33">
        <w:t>on liability, response action and compensation</w:t>
      </w:r>
      <w:r w:rsidR="00250436" w:rsidRPr="007D4D05">
        <w:t xml:space="preserve"> </w:t>
      </w:r>
      <w:r w:rsidR="00250436" w:rsidRPr="007F1F33">
        <w:t>for damage caused by activities dangerous to the</w:t>
      </w:r>
      <w:r w:rsidR="00250436" w:rsidRPr="007D4D05">
        <w:t xml:space="preserve"> </w:t>
      </w:r>
      <w:r w:rsidR="00250436" w:rsidRPr="007F1F33">
        <w:t>environment</w:t>
      </w:r>
      <w:r w:rsidR="009F7BA5" w:rsidRPr="007F1F33">
        <w:t>,</w:t>
      </w:r>
    </w:p>
    <w:p w14:paraId="133B7FF1" w14:textId="77777777" w:rsidR="00250436" w:rsidRPr="00B5629C" w:rsidRDefault="009F7BA5" w:rsidP="007D4D05">
      <w:pPr>
        <w:spacing w:before="60" w:after="120"/>
        <w:ind w:firstLine="709"/>
        <w:rPr>
          <w:szCs w:val="22"/>
        </w:rPr>
      </w:pPr>
      <w:r w:rsidRPr="00A6668A">
        <w:rPr>
          <w:i/>
        </w:rPr>
        <w:t xml:space="preserve">Noting </w:t>
      </w:r>
      <w:r w:rsidRPr="007D4D05">
        <w:t>that</w:t>
      </w:r>
      <w:r w:rsidR="00250436" w:rsidRPr="00A6668A">
        <w:t xml:space="preserve"> some of the provisions and approaches of the </w:t>
      </w:r>
      <w:r w:rsidRPr="00A6668A">
        <w:t xml:space="preserve">Nagoya – Kuala Lumpur </w:t>
      </w:r>
      <w:r w:rsidR="00250436" w:rsidRPr="00A6668A">
        <w:t xml:space="preserve">Supplementary Protocol </w:t>
      </w:r>
      <w:r w:rsidRPr="00C64FB7">
        <w:t xml:space="preserve">may be relevant </w:t>
      </w:r>
      <w:r w:rsidR="00250436" w:rsidRPr="00C64FB7">
        <w:t xml:space="preserve">to the issue of liability and redress in the context of </w:t>
      </w:r>
      <w:r w:rsidR="003426B0" w:rsidRPr="00C64FB7">
        <w:t>paragraph</w:t>
      </w:r>
      <w:r w:rsidR="00694B2A" w:rsidRPr="00C64FB7">
        <w:t> </w:t>
      </w:r>
      <w:r w:rsidR="003426B0" w:rsidRPr="006B7D7D">
        <w:t xml:space="preserve">2 </w:t>
      </w:r>
      <w:r w:rsidR="003426B0" w:rsidRPr="00B15F24">
        <w:rPr>
          <w:szCs w:val="22"/>
        </w:rPr>
        <w:t xml:space="preserve">of </w:t>
      </w:r>
      <w:r w:rsidR="00250436" w:rsidRPr="00B5629C">
        <w:rPr>
          <w:szCs w:val="22"/>
        </w:rPr>
        <w:t>Article 14</w:t>
      </w:r>
      <w:r w:rsidR="005A7C10" w:rsidRPr="00B5629C">
        <w:rPr>
          <w:szCs w:val="22"/>
        </w:rPr>
        <w:t xml:space="preserve"> </w:t>
      </w:r>
      <w:r w:rsidR="00250436" w:rsidRPr="00B5629C">
        <w:rPr>
          <w:szCs w:val="22"/>
        </w:rPr>
        <w:t>of the Convention</w:t>
      </w:r>
      <w:r w:rsidRPr="00B5629C">
        <w:rPr>
          <w:szCs w:val="22"/>
        </w:rPr>
        <w:t>,</w:t>
      </w:r>
    </w:p>
    <w:p w14:paraId="6CA7EE54" w14:textId="77777777" w:rsidR="008B4125" w:rsidRPr="00AB08CC" w:rsidRDefault="007B1DAB" w:rsidP="007D4D05">
      <w:pPr>
        <w:spacing w:before="60" w:after="120"/>
        <w:ind w:firstLine="709"/>
        <w:rPr>
          <w:szCs w:val="22"/>
        </w:rPr>
      </w:pPr>
      <w:r w:rsidRPr="00B5629C">
        <w:rPr>
          <w:i/>
          <w:szCs w:val="22"/>
        </w:rPr>
        <w:t xml:space="preserve">Recalling </w:t>
      </w:r>
      <w:r w:rsidRPr="007D4D05">
        <w:rPr>
          <w:szCs w:val="22"/>
        </w:rPr>
        <w:t xml:space="preserve">the </w:t>
      </w:r>
      <w:r w:rsidRPr="00B15F24">
        <w:rPr>
          <w:szCs w:val="22"/>
        </w:rPr>
        <w:t xml:space="preserve">report of the </w:t>
      </w:r>
      <w:r w:rsidRPr="00B5629C">
        <w:rPr>
          <w:szCs w:val="22"/>
        </w:rPr>
        <w:t>Group of Legal and Technical Experts on L</w:t>
      </w:r>
      <w:r w:rsidRPr="003F0A9D">
        <w:rPr>
          <w:szCs w:val="22"/>
        </w:rPr>
        <w:t>iability and R</w:t>
      </w:r>
      <w:r w:rsidRPr="001B5DE1">
        <w:rPr>
          <w:szCs w:val="22"/>
        </w:rPr>
        <w:t>edress in the context of paragraph 2 of Article 14 of the Convention on Biological Diversity,</w:t>
      </w:r>
      <w:r w:rsidR="005A7C10" w:rsidRPr="007D4D05">
        <w:rPr>
          <w:rStyle w:val="FootnoteReference"/>
          <w:sz w:val="22"/>
          <w:szCs w:val="22"/>
          <w:u w:val="none"/>
          <w:vertAlign w:val="superscript"/>
        </w:rPr>
        <w:footnoteReference w:id="1"/>
      </w:r>
      <w:r w:rsidRPr="00B15F24">
        <w:rPr>
          <w:szCs w:val="22"/>
        </w:rPr>
        <w:t xml:space="preserve"> and the conclusions</w:t>
      </w:r>
      <w:r w:rsidRPr="00B5629C">
        <w:rPr>
          <w:szCs w:val="22"/>
        </w:rPr>
        <w:t xml:space="preserve"> annexed to the report, in </w:t>
      </w:r>
      <w:r w:rsidRPr="003F0A9D">
        <w:rPr>
          <w:szCs w:val="22"/>
        </w:rPr>
        <w:t>particular the conclusions</w:t>
      </w:r>
      <w:r w:rsidRPr="001B5DE1">
        <w:rPr>
          <w:szCs w:val="22"/>
        </w:rPr>
        <w:t xml:space="preserve"> on the importance of developing guidance related to a definition of damage to biological diversity</w:t>
      </w:r>
      <w:r w:rsidR="009F7BA5" w:rsidRPr="005172A6">
        <w:rPr>
          <w:szCs w:val="22"/>
        </w:rPr>
        <w:t>; methodologies for restoration and for valuation of biological diversity; and capacity</w:t>
      </w:r>
      <w:r w:rsidR="00694B2A" w:rsidRPr="005172A6">
        <w:rPr>
          <w:szCs w:val="22"/>
        </w:rPr>
        <w:t>-</w:t>
      </w:r>
      <w:r w:rsidR="009F7BA5" w:rsidRPr="005172A6">
        <w:rPr>
          <w:szCs w:val="22"/>
        </w:rPr>
        <w:t>building at the national level</w:t>
      </w:r>
      <w:r w:rsidR="009F7BA5" w:rsidRPr="00AB08CC">
        <w:rPr>
          <w:szCs w:val="22"/>
        </w:rPr>
        <w:t>,</w:t>
      </w:r>
    </w:p>
    <w:p w14:paraId="016F0C0C" w14:textId="77777777" w:rsidR="007B1DAB" w:rsidRPr="00B5629C" w:rsidRDefault="008B4125" w:rsidP="007D4D05">
      <w:pPr>
        <w:spacing w:before="60" w:after="120"/>
        <w:ind w:firstLine="709"/>
        <w:rPr>
          <w:szCs w:val="22"/>
        </w:rPr>
      </w:pPr>
      <w:r w:rsidRPr="00864C6C">
        <w:rPr>
          <w:i/>
          <w:szCs w:val="22"/>
        </w:rPr>
        <w:t xml:space="preserve">Recalling </w:t>
      </w:r>
      <w:r w:rsidRPr="007D4D05">
        <w:rPr>
          <w:szCs w:val="22"/>
        </w:rPr>
        <w:t xml:space="preserve">also </w:t>
      </w:r>
      <w:r w:rsidRPr="00B15F24">
        <w:rPr>
          <w:szCs w:val="22"/>
        </w:rPr>
        <w:t>principle 2</w:t>
      </w:r>
      <w:r w:rsidR="00CA4C2D">
        <w:rPr>
          <w:szCs w:val="22"/>
        </w:rPr>
        <w:t xml:space="preserve"> and principle </w:t>
      </w:r>
      <w:r w:rsidR="00D01CEE">
        <w:rPr>
          <w:szCs w:val="22"/>
        </w:rPr>
        <w:t>1</w:t>
      </w:r>
      <w:r w:rsidR="00CA4C2D">
        <w:rPr>
          <w:szCs w:val="22"/>
        </w:rPr>
        <w:t>3</w:t>
      </w:r>
      <w:r w:rsidRPr="00B15F24">
        <w:rPr>
          <w:szCs w:val="22"/>
        </w:rPr>
        <w:t xml:space="preserve"> of the Rio Declaration</w:t>
      </w:r>
      <w:r w:rsidR="006B7D7D" w:rsidRPr="007D4D05">
        <w:rPr>
          <w:szCs w:val="22"/>
        </w:rPr>
        <w:t xml:space="preserve"> on Environment and Development</w:t>
      </w:r>
      <w:r w:rsidR="00B5629C" w:rsidRPr="007D4D05">
        <w:rPr>
          <w:rStyle w:val="FootnoteReference"/>
          <w:sz w:val="22"/>
          <w:szCs w:val="22"/>
          <w:u w:val="none"/>
          <w:vertAlign w:val="superscript"/>
        </w:rPr>
        <w:footnoteReference w:id="2"/>
      </w:r>
      <w:r w:rsidRPr="00B15F24">
        <w:rPr>
          <w:szCs w:val="22"/>
        </w:rPr>
        <w:t xml:space="preserve"> and the p</w:t>
      </w:r>
      <w:r w:rsidRPr="00B5629C">
        <w:rPr>
          <w:szCs w:val="22"/>
        </w:rPr>
        <w:t>rinciple referred to in Article 3 of the Convention on Biological Diversity,</w:t>
      </w:r>
    </w:p>
    <w:p w14:paraId="1C2DE1AF" w14:textId="77777777" w:rsidR="00B37EA2" w:rsidRPr="00B5629C" w:rsidRDefault="00FA3210" w:rsidP="007D4D05">
      <w:pPr>
        <w:numPr>
          <w:ilvl w:val="0"/>
          <w:numId w:val="24"/>
        </w:numPr>
        <w:tabs>
          <w:tab w:val="clear" w:pos="1440"/>
        </w:tabs>
        <w:spacing w:before="60" w:after="120"/>
        <w:ind w:left="0" w:firstLine="709"/>
        <w:rPr>
          <w:szCs w:val="22"/>
        </w:rPr>
      </w:pPr>
      <w:r w:rsidRPr="007D4D05">
        <w:rPr>
          <w:i/>
          <w:szCs w:val="22"/>
        </w:rPr>
        <w:t>Notes</w:t>
      </w:r>
      <w:r w:rsidRPr="00B15F24">
        <w:rPr>
          <w:szCs w:val="22"/>
        </w:rPr>
        <w:t xml:space="preserve"> the progress that has been made since the eighth meeting of the Conference of the Parties in developing guidance that also</w:t>
      </w:r>
      <w:r w:rsidRPr="00B5629C">
        <w:rPr>
          <w:szCs w:val="22"/>
        </w:rPr>
        <w:t xml:space="preserve"> address</w:t>
      </w:r>
      <w:r w:rsidR="00090349">
        <w:rPr>
          <w:szCs w:val="22"/>
        </w:rPr>
        <w:t>es</w:t>
      </w:r>
      <w:r w:rsidRPr="00B5629C">
        <w:rPr>
          <w:szCs w:val="22"/>
        </w:rPr>
        <w:t xml:space="preserve"> the conclusions of the Group of Legal and Technical Experts on Liability and Redress, </w:t>
      </w:r>
      <w:r w:rsidR="00B37EA2" w:rsidRPr="00B5629C">
        <w:rPr>
          <w:szCs w:val="22"/>
        </w:rPr>
        <w:t>in particular in the following areas:</w:t>
      </w:r>
    </w:p>
    <w:p w14:paraId="2737A854" w14:textId="77777777" w:rsidR="00F4758D" w:rsidRPr="00864C6C" w:rsidRDefault="00B37EA2" w:rsidP="007D4D05">
      <w:pPr>
        <w:pStyle w:val="ColorfulList-Accent1"/>
        <w:numPr>
          <w:ilvl w:val="0"/>
          <w:numId w:val="27"/>
        </w:numPr>
        <w:spacing w:before="60" w:after="120"/>
        <w:ind w:left="0" w:firstLine="709"/>
        <w:contextualSpacing w:val="0"/>
        <w:rPr>
          <w:szCs w:val="22"/>
        </w:rPr>
      </w:pPr>
      <w:r w:rsidRPr="00B5629C">
        <w:rPr>
          <w:szCs w:val="22"/>
        </w:rPr>
        <w:t>Restoration</w:t>
      </w:r>
      <w:r w:rsidR="001B5DE1">
        <w:rPr>
          <w:szCs w:val="22"/>
        </w:rPr>
        <w:t>:</w:t>
      </w:r>
      <w:r w:rsidRPr="00B5629C">
        <w:rPr>
          <w:szCs w:val="22"/>
        </w:rPr>
        <w:t xml:space="preserve"> </w:t>
      </w:r>
      <w:r w:rsidRPr="003F0A9D">
        <w:rPr>
          <w:szCs w:val="22"/>
        </w:rPr>
        <w:t>the guidance to ecosystem restoration</w:t>
      </w:r>
      <w:r w:rsidR="00A80AAB" w:rsidRPr="003F0A9D">
        <w:rPr>
          <w:szCs w:val="22"/>
        </w:rPr>
        <w:t>, including capacity</w:t>
      </w:r>
      <w:r w:rsidR="005A7C10" w:rsidRPr="001B5DE1">
        <w:rPr>
          <w:szCs w:val="22"/>
        </w:rPr>
        <w:t>-</w:t>
      </w:r>
      <w:r w:rsidR="00A80AAB" w:rsidRPr="001B5DE1">
        <w:rPr>
          <w:szCs w:val="22"/>
        </w:rPr>
        <w:t>building</w:t>
      </w:r>
      <w:r w:rsidR="0015059A" w:rsidRPr="001B5DE1">
        <w:rPr>
          <w:szCs w:val="22"/>
        </w:rPr>
        <w:t xml:space="preserve"> in this area</w:t>
      </w:r>
      <w:r w:rsidR="00A80AAB" w:rsidRPr="001B5DE1">
        <w:rPr>
          <w:szCs w:val="22"/>
        </w:rPr>
        <w:t>,</w:t>
      </w:r>
      <w:r w:rsidRPr="001B5DE1">
        <w:rPr>
          <w:szCs w:val="22"/>
        </w:rPr>
        <w:t xml:space="preserve"> as contained in decision XI/16, as well as in information documents UNEP/CBD/COP/</w:t>
      </w:r>
      <w:r w:rsidR="005A7C10" w:rsidRPr="001B5DE1">
        <w:rPr>
          <w:szCs w:val="22"/>
        </w:rPr>
        <w:t>11</w:t>
      </w:r>
      <w:r w:rsidRPr="001B5DE1">
        <w:rPr>
          <w:szCs w:val="22"/>
        </w:rPr>
        <w:t>/INF/17 and UNEP/CBD/COP/</w:t>
      </w:r>
      <w:r w:rsidR="005A7C10" w:rsidRPr="005172A6">
        <w:rPr>
          <w:szCs w:val="22"/>
        </w:rPr>
        <w:t>11</w:t>
      </w:r>
      <w:r w:rsidRPr="005172A6">
        <w:rPr>
          <w:szCs w:val="22"/>
        </w:rPr>
        <w:t>/</w:t>
      </w:r>
      <w:r w:rsidR="005A7C10" w:rsidRPr="005172A6">
        <w:rPr>
          <w:szCs w:val="22"/>
        </w:rPr>
        <w:t>INF/</w:t>
      </w:r>
      <w:r w:rsidRPr="005172A6">
        <w:rPr>
          <w:szCs w:val="22"/>
        </w:rPr>
        <w:t>18</w:t>
      </w:r>
      <w:r w:rsidRPr="00AB08CC">
        <w:rPr>
          <w:szCs w:val="22"/>
        </w:rPr>
        <w:t>;</w:t>
      </w:r>
    </w:p>
    <w:p w14:paraId="1D4174DF" w14:textId="77777777" w:rsidR="00F4758D" w:rsidRPr="00864C6C" w:rsidRDefault="00B37EA2" w:rsidP="007D4D05">
      <w:pPr>
        <w:pStyle w:val="ColorfulList-Accent1"/>
        <w:numPr>
          <w:ilvl w:val="0"/>
          <w:numId w:val="27"/>
        </w:numPr>
        <w:tabs>
          <w:tab w:val="left" w:pos="1440"/>
        </w:tabs>
        <w:spacing w:before="60" w:after="120"/>
        <w:ind w:left="0" w:firstLine="709"/>
        <w:contextualSpacing w:val="0"/>
        <w:rPr>
          <w:szCs w:val="22"/>
        </w:rPr>
      </w:pPr>
      <w:r w:rsidRPr="00864C6C">
        <w:rPr>
          <w:szCs w:val="22"/>
        </w:rPr>
        <w:t>Valuation of biodiversity</w:t>
      </w:r>
      <w:r w:rsidR="001B5DE1">
        <w:rPr>
          <w:szCs w:val="22"/>
        </w:rPr>
        <w:t>:</w:t>
      </w:r>
      <w:r w:rsidR="00FA3210" w:rsidRPr="005172A6">
        <w:rPr>
          <w:szCs w:val="22"/>
        </w:rPr>
        <w:t xml:space="preserve"> </w:t>
      </w:r>
      <w:r w:rsidRPr="005172A6">
        <w:rPr>
          <w:szCs w:val="22"/>
        </w:rPr>
        <w:t xml:space="preserve">options for the application of tools for ecological valuation, </w:t>
      </w:r>
      <w:r w:rsidR="00372226">
        <w:rPr>
          <w:szCs w:val="22"/>
        </w:rPr>
        <w:t>as contained in the</w:t>
      </w:r>
      <w:r w:rsidR="00EA0BFB">
        <w:rPr>
          <w:szCs w:val="22"/>
        </w:rPr>
        <w:t xml:space="preserve"> </w:t>
      </w:r>
      <w:r w:rsidR="005A7C10" w:rsidRPr="005172A6">
        <w:rPr>
          <w:szCs w:val="22"/>
        </w:rPr>
        <w:t>a</w:t>
      </w:r>
      <w:r w:rsidRPr="00AB08CC">
        <w:rPr>
          <w:szCs w:val="22"/>
        </w:rPr>
        <w:t>nnex to decision VIII/25</w:t>
      </w:r>
      <w:r w:rsidRPr="00864C6C">
        <w:rPr>
          <w:szCs w:val="22"/>
        </w:rPr>
        <w:t>;</w:t>
      </w:r>
    </w:p>
    <w:p w14:paraId="732D62BE" w14:textId="77777777" w:rsidR="00F4758D" w:rsidRPr="00B5629C" w:rsidRDefault="00F4758D" w:rsidP="007D4D05">
      <w:pPr>
        <w:spacing w:before="60" w:after="120"/>
        <w:ind w:firstLine="709"/>
        <w:rPr>
          <w:szCs w:val="22"/>
        </w:rPr>
      </w:pPr>
      <w:r w:rsidRPr="007D4D05">
        <w:rPr>
          <w:szCs w:val="22"/>
        </w:rPr>
        <w:lastRenderedPageBreak/>
        <w:t>2</w:t>
      </w:r>
      <w:r w:rsidRPr="00B15F24">
        <w:rPr>
          <w:i/>
          <w:szCs w:val="22"/>
        </w:rPr>
        <w:t>.</w:t>
      </w:r>
      <w:r w:rsidRPr="00B15F24">
        <w:rPr>
          <w:i/>
          <w:szCs w:val="22"/>
        </w:rPr>
        <w:tab/>
      </w:r>
      <w:r w:rsidR="00250436" w:rsidRPr="00B15F24">
        <w:rPr>
          <w:i/>
          <w:szCs w:val="22"/>
        </w:rPr>
        <w:t>Invites</w:t>
      </w:r>
      <w:r w:rsidR="00250436" w:rsidRPr="00B5629C">
        <w:rPr>
          <w:szCs w:val="22"/>
        </w:rPr>
        <w:t xml:space="preserve"> Parties to take into account, as appropriate, </w:t>
      </w:r>
      <w:r w:rsidRPr="00B5629C">
        <w:rPr>
          <w:szCs w:val="22"/>
        </w:rPr>
        <w:t>the following in any efforts to develop or adjust national policy, legislation, guidelines or administrative measures concerning liability and redress for damage to biological diversity:</w:t>
      </w:r>
    </w:p>
    <w:p w14:paraId="2F31FF69" w14:textId="77777777" w:rsidR="00F4758D" w:rsidRPr="001B5DE1" w:rsidRDefault="00F4758D" w:rsidP="007D4D05">
      <w:pPr>
        <w:spacing w:before="60" w:after="120"/>
        <w:ind w:firstLine="709"/>
        <w:rPr>
          <w:szCs w:val="22"/>
        </w:rPr>
      </w:pPr>
      <w:r w:rsidRPr="00B5629C">
        <w:rPr>
          <w:szCs w:val="22"/>
        </w:rPr>
        <w:t>(a)</w:t>
      </w:r>
      <w:r w:rsidR="005A7C10" w:rsidRPr="00B5629C">
        <w:rPr>
          <w:szCs w:val="22"/>
        </w:rPr>
        <w:tab/>
      </w:r>
      <w:r w:rsidRPr="003F0A9D">
        <w:rPr>
          <w:szCs w:val="22"/>
        </w:rPr>
        <w:t>T</w:t>
      </w:r>
      <w:r w:rsidR="008B4125" w:rsidRPr="003F0A9D">
        <w:rPr>
          <w:szCs w:val="22"/>
        </w:rPr>
        <w:t xml:space="preserve">he </w:t>
      </w:r>
      <w:r w:rsidR="00090349">
        <w:rPr>
          <w:szCs w:val="22"/>
        </w:rPr>
        <w:t xml:space="preserve">relevant </w:t>
      </w:r>
      <w:r w:rsidR="00250436" w:rsidRPr="001B5DE1">
        <w:rPr>
          <w:szCs w:val="22"/>
        </w:rPr>
        <w:t xml:space="preserve">provisions and approaches of the </w:t>
      </w:r>
      <w:r w:rsidRPr="001B5DE1">
        <w:rPr>
          <w:szCs w:val="22"/>
        </w:rPr>
        <w:t xml:space="preserve">Nagoya – Kuala Lumpur </w:t>
      </w:r>
      <w:r w:rsidR="00250436" w:rsidRPr="001B5DE1">
        <w:rPr>
          <w:szCs w:val="22"/>
        </w:rPr>
        <w:t>Supplementary Protocol</w:t>
      </w:r>
      <w:r w:rsidRPr="001B5DE1">
        <w:rPr>
          <w:szCs w:val="22"/>
        </w:rPr>
        <w:t xml:space="preserve"> on Liability and Redress</w:t>
      </w:r>
      <w:r w:rsidR="008B4125" w:rsidRPr="001B5DE1">
        <w:rPr>
          <w:szCs w:val="22"/>
        </w:rPr>
        <w:t>;</w:t>
      </w:r>
    </w:p>
    <w:p w14:paraId="2C201BEA" w14:textId="77777777" w:rsidR="005A7C10" w:rsidRPr="00A6668A" w:rsidRDefault="00F4758D" w:rsidP="005A7C10">
      <w:pPr>
        <w:spacing w:before="60" w:after="120"/>
        <w:ind w:firstLine="709"/>
      </w:pPr>
      <w:r w:rsidRPr="006B7D7D">
        <w:t>(</w:t>
      </w:r>
      <w:r w:rsidR="003426B0" w:rsidRPr="006B7D7D">
        <w:t>b</w:t>
      </w:r>
      <w:r w:rsidRPr="006B7D7D">
        <w:t>)</w:t>
      </w:r>
      <w:r w:rsidRPr="006B7D7D">
        <w:tab/>
        <w:t>T</w:t>
      </w:r>
      <w:r w:rsidR="00250436" w:rsidRPr="006B7D7D">
        <w:t>he U</w:t>
      </w:r>
      <w:r w:rsidR="00372226">
        <w:t xml:space="preserve">nited </w:t>
      </w:r>
      <w:r w:rsidR="00250436" w:rsidRPr="006B7D7D">
        <w:t>N</w:t>
      </w:r>
      <w:r w:rsidR="00372226">
        <w:t xml:space="preserve">ations </w:t>
      </w:r>
      <w:r w:rsidR="00250436" w:rsidRPr="006B7D7D">
        <w:t>E</w:t>
      </w:r>
      <w:r w:rsidR="00372226">
        <w:t xml:space="preserve">nvironment </w:t>
      </w:r>
      <w:r w:rsidR="00250436" w:rsidRPr="006B7D7D">
        <w:t>P</w:t>
      </w:r>
      <w:r w:rsidR="00372226">
        <w:t>rogramme’s</w:t>
      </w:r>
      <w:r w:rsidR="00250436" w:rsidRPr="006B7D7D">
        <w:t xml:space="preserve"> Guidelines</w:t>
      </w:r>
      <w:r w:rsidRPr="006B7D7D">
        <w:t xml:space="preserve"> for the development of domestic legislation</w:t>
      </w:r>
      <w:r w:rsidRPr="007D4D05">
        <w:t xml:space="preserve"> </w:t>
      </w:r>
      <w:r w:rsidRPr="007F1F33">
        <w:t>on liability, response action and compensation</w:t>
      </w:r>
      <w:r w:rsidRPr="007D4D05">
        <w:t xml:space="preserve"> </w:t>
      </w:r>
      <w:r w:rsidRPr="007F1F33">
        <w:t>for damage caused by activities dangerous to the</w:t>
      </w:r>
      <w:r w:rsidRPr="007D4D05">
        <w:t xml:space="preserve"> </w:t>
      </w:r>
      <w:r w:rsidRPr="007F1F33">
        <w:t>environment;</w:t>
      </w:r>
    </w:p>
    <w:p w14:paraId="66DB9F65" w14:textId="77777777" w:rsidR="005172A6" w:rsidRPr="005172A6" w:rsidRDefault="005172A6" w:rsidP="005A7C10">
      <w:pPr>
        <w:spacing w:before="60" w:after="120"/>
        <w:ind w:firstLine="709"/>
        <w:sectPr w:rsidR="005172A6" w:rsidRPr="005172A6" w:rsidSect="009E5797">
          <w:headerReference w:type="even" r:id="rId11"/>
          <w:pgSz w:w="12240" w:h="15840" w:code="1"/>
          <w:pgMar w:top="864" w:right="1440" w:bottom="864" w:left="1440" w:header="461" w:footer="720" w:gutter="0"/>
          <w:cols w:space="720"/>
          <w:noEndnote/>
          <w:titlePg/>
          <w:docGrid w:linePitch="299"/>
        </w:sectPr>
      </w:pPr>
    </w:p>
    <w:p w14:paraId="127ED929" w14:textId="77777777" w:rsidR="00F4758D" w:rsidRPr="00A6668A" w:rsidRDefault="00F4758D" w:rsidP="007D4D05">
      <w:pPr>
        <w:spacing w:before="60" w:after="120"/>
        <w:ind w:firstLine="709"/>
        <w:rPr>
          <w:szCs w:val="22"/>
        </w:rPr>
      </w:pPr>
      <w:r w:rsidRPr="005172A6">
        <w:rPr>
          <w:szCs w:val="22"/>
        </w:rPr>
        <w:t>(</w:t>
      </w:r>
      <w:r w:rsidR="003426B0" w:rsidRPr="005172A6">
        <w:rPr>
          <w:szCs w:val="22"/>
        </w:rPr>
        <w:t>c</w:t>
      </w:r>
      <w:r w:rsidRPr="005172A6">
        <w:rPr>
          <w:szCs w:val="22"/>
        </w:rPr>
        <w:t>)</w:t>
      </w:r>
      <w:r w:rsidRPr="005172A6">
        <w:rPr>
          <w:szCs w:val="22"/>
        </w:rPr>
        <w:tab/>
        <w:t>T</w:t>
      </w:r>
      <w:r w:rsidR="008B4125" w:rsidRPr="00AB08CC">
        <w:rPr>
          <w:szCs w:val="22"/>
        </w:rPr>
        <w:t>he conclusions of the Group of Legal and Technical Experts on Liability and Redress in the context of paragraph 2 of Article 14 of the Convention on Biological Diversity;</w:t>
      </w:r>
      <w:r w:rsidR="00AB0BC0" w:rsidRPr="007D4D05">
        <w:rPr>
          <w:rStyle w:val="FootnoteReference"/>
          <w:sz w:val="22"/>
          <w:szCs w:val="22"/>
          <w:u w:val="none"/>
          <w:vertAlign w:val="superscript"/>
        </w:rPr>
        <w:footnoteReference w:id="3"/>
      </w:r>
      <w:r w:rsidR="00250436" w:rsidRPr="007F1F33">
        <w:rPr>
          <w:szCs w:val="22"/>
        </w:rPr>
        <w:t xml:space="preserve"> </w:t>
      </w:r>
    </w:p>
    <w:p w14:paraId="275DA9DA" w14:textId="77777777" w:rsidR="00F4758D" w:rsidRPr="007F1F33" w:rsidRDefault="00F4758D" w:rsidP="007D4D05">
      <w:pPr>
        <w:spacing w:before="60" w:after="120"/>
        <w:ind w:firstLine="709"/>
        <w:rPr>
          <w:szCs w:val="22"/>
        </w:rPr>
      </w:pPr>
      <w:r w:rsidRPr="00A6668A">
        <w:rPr>
          <w:szCs w:val="22"/>
        </w:rPr>
        <w:t>(</w:t>
      </w:r>
      <w:r w:rsidR="003426B0" w:rsidRPr="00C64FB7">
        <w:rPr>
          <w:szCs w:val="22"/>
        </w:rPr>
        <w:t>d</w:t>
      </w:r>
      <w:r w:rsidRPr="00C64FB7">
        <w:rPr>
          <w:szCs w:val="22"/>
        </w:rPr>
        <w:t>)</w:t>
      </w:r>
      <w:r w:rsidRPr="00C64FB7">
        <w:rPr>
          <w:szCs w:val="22"/>
        </w:rPr>
        <w:tab/>
      </w:r>
      <w:r w:rsidRPr="006B7D7D">
        <w:rPr>
          <w:szCs w:val="22"/>
        </w:rPr>
        <w:t xml:space="preserve">The </w:t>
      </w:r>
      <w:r w:rsidR="00372226">
        <w:rPr>
          <w:szCs w:val="22"/>
        </w:rPr>
        <w:t>s</w:t>
      </w:r>
      <w:r w:rsidR="00250436" w:rsidRPr="006B7D7D">
        <w:rPr>
          <w:szCs w:val="22"/>
        </w:rPr>
        <w:t>ynthesis report on technical information relating to damage to biological diversity and approaches to valuation and restoration of damage to biological diversity, as well as information on national/domestic measures and experiences</w:t>
      </w:r>
      <w:r w:rsidR="00B569A6" w:rsidRPr="006B7D7D">
        <w:rPr>
          <w:szCs w:val="22"/>
        </w:rPr>
        <w:t>;</w:t>
      </w:r>
      <w:r w:rsidR="00AB0BC0" w:rsidRPr="007D4D05">
        <w:rPr>
          <w:rStyle w:val="FootnoteReference"/>
          <w:sz w:val="22"/>
          <w:szCs w:val="22"/>
          <w:u w:val="none"/>
          <w:vertAlign w:val="superscript"/>
        </w:rPr>
        <w:footnoteReference w:id="4"/>
      </w:r>
    </w:p>
    <w:p w14:paraId="4F49CD43" w14:textId="77777777" w:rsidR="00F4758D" w:rsidRPr="00B5629C" w:rsidRDefault="00F4758D" w:rsidP="007D4D05">
      <w:pPr>
        <w:spacing w:before="60" w:after="120"/>
        <w:ind w:firstLine="709"/>
        <w:rPr>
          <w:szCs w:val="22"/>
        </w:rPr>
      </w:pPr>
      <w:r w:rsidRPr="00A6668A">
        <w:rPr>
          <w:szCs w:val="22"/>
        </w:rPr>
        <w:t>(</w:t>
      </w:r>
      <w:r w:rsidR="003426B0" w:rsidRPr="00A6668A">
        <w:rPr>
          <w:szCs w:val="22"/>
        </w:rPr>
        <w:t>e</w:t>
      </w:r>
      <w:r w:rsidRPr="00A6668A">
        <w:rPr>
          <w:szCs w:val="22"/>
        </w:rPr>
        <w:t>)</w:t>
      </w:r>
      <w:r w:rsidRPr="00A6668A">
        <w:rPr>
          <w:szCs w:val="22"/>
        </w:rPr>
        <w:tab/>
      </w:r>
      <w:r w:rsidRPr="00C64FB7">
        <w:rPr>
          <w:szCs w:val="22"/>
        </w:rPr>
        <w:t>T</w:t>
      </w:r>
      <w:r w:rsidR="008B4125" w:rsidRPr="006B7D7D">
        <w:rPr>
          <w:szCs w:val="22"/>
        </w:rPr>
        <w:t>he guidance to ecosystem restoration</w:t>
      </w:r>
      <w:r w:rsidR="00B569A6" w:rsidRPr="006B7D7D">
        <w:rPr>
          <w:szCs w:val="22"/>
        </w:rPr>
        <w:t xml:space="preserve"> as contained in decision XI/16, as well as in information documents UNEP/CBD/COP/</w:t>
      </w:r>
      <w:r w:rsidR="00AB0BC0" w:rsidRPr="006B7D7D">
        <w:rPr>
          <w:szCs w:val="22"/>
        </w:rPr>
        <w:t>11</w:t>
      </w:r>
      <w:r w:rsidR="00B569A6" w:rsidRPr="006B7D7D">
        <w:rPr>
          <w:szCs w:val="22"/>
        </w:rPr>
        <w:t xml:space="preserve">/INF/17 and </w:t>
      </w:r>
      <w:r w:rsidR="00B569A6" w:rsidRPr="007420E4">
        <w:rPr>
          <w:szCs w:val="22"/>
        </w:rPr>
        <w:t>UNEP/CBD/COP/</w:t>
      </w:r>
      <w:r w:rsidR="00AB0BC0" w:rsidRPr="007420E4">
        <w:rPr>
          <w:szCs w:val="22"/>
        </w:rPr>
        <w:t>11</w:t>
      </w:r>
      <w:r w:rsidR="00B569A6" w:rsidRPr="00B15F24">
        <w:rPr>
          <w:szCs w:val="22"/>
        </w:rPr>
        <w:t>/</w:t>
      </w:r>
      <w:r w:rsidR="00B37EA2" w:rsidRPr="00B15F24">
        <w:rPr>
          <w:szCs w:val="22"/>
        </w:rPr>
        <w:t>INF/</w:t>
      </w:r>
      <w:r w:rsidR="00B569A6" w:rsidRPr="00B5629C">
        <w:rPr>
          <w:szCs w:val="22"/>
        </w:rPr>
        <w:t>18</w:t>
      </w:r>
      <w:r w:rsidR="008B4125" w:rsidRPr="00B5629C">
        <w:rPr>
          <w:szCs w:val="22"/>
        </w:rPr>
        <w:t>)</w:t>
      </w:r>
      <w:r w:rsidR="00B569A6" w:rsidRPr="00B5629C">
        <w:rPr>
          <w:szCs w:val="22"/>
        </w:rPr>
        <w:t>;</w:t>
      </w:r>
    </w:p>
    <w:p w14:paraId="5D545E9A" w14:textId="77777777" w:rsidR="00250436" w:rsidRPr="00AB08CC" w:rsidRDefault="00F4758D" w:rsidP="007D4D05">
      <w:pPr>
        <w:spacing w:before="60" w:after="120"/>
        <w:ind w:firstLine="709"/>
        <w:rPr>
          <w:szCs w:val="22"/>
        </w:rPr>
      </w:pPr>
      <w:r w:rsidRPr="00B5629C">
        <w:rPr>
          <w:szCs w:val="22"/>
        </w:rPr>
        <w:t>(</w:t>
      </w:r>
      <w:r w:rsidR="003426B0" w:rsidRPr="003F0A9D">
        <w:rPr>
          <w:szCs w:val="22"/>
        </w:rPr>
        <w:t>f</w:t>
      </w:r>
      <w:r w:rsidRPr="001B5DE1">
        <w:rPr>
          <w:szCs w:val="22"/>
        </w:rPr>
        <w:t>)</w:t>
      </w:r>
      <w:r w:rsidRPr="001B5DE1">
        <w:rPr>
          <w:szCs w:val="22"/>
        </w:rPr>
        <w:tab/>
      </w:r>
      <w:r w:rsidRPr="005172A6">
        <w:rPr>
          <w:szCs w:val="22"/>
        </w:rPr>
        <w:t>T</w:t>
      </w:r>
      <w:r w:rsidR="00B569A6" w:rsidRPr="005172A6">
        <w:rPr>
          <w:szCs w:val="22"/>
        </w:rPr>
        <w:t xml:space="preserve">ools for ecological valuation referred to in the annex to decision </w:t>
      </w:r>
      <w:r w:rsidR="00FA3210" w:rsidRPr="005172A6">
        <w:rPr>
          <w:szCs w:val="22"/>
        </w:rPr>
        <w:t>VIII/25</w:t>
      </w:r>
      <w:r w:rsidR="00250436" w:rsidRPr="00AB08CC">
        <w:rPr>
          <w:szCs w:val="22"/>
        </w:rPr>
        <w:t>;</w:t>
      </w:r>
    </w:p>
    <w:p w14:paraId="08BE1CEE" w14:textId="77777777" w:rsidR="00250436" w:rsidRPr="006B7D7D" w:rsidRDefault="00D8496A" w:rsidP="007D4D05">
      <w:pPr>
        <w:spacing w:before="60" w:after="120"/>
        <w:ind w:firstLine="709"/>
        <w:rPr>
          <w:szCs w:val="22"/>
        </w:rPr>
      </w:pPr>
      <w:r w:rsidRPr="007D4D05">
        <w:rPr>
          <w:szCs w:val="22"/>
        </w:rPr>
        <w:t>3.</w:t>
      </w:r>
      <w:r w:rsidRPr="007F1F33">
        <w:rPr>
          <w:i/>
          <w:szCs w:val="22"/>
        </w:rPr>
        <w:tab/>
      </w:r>
      <w:r w:rsidR="00250436" w:rsidRPr="00A6668A">
        <w:rPr>
          <w:i/>
          <w:szCs w:val="22"/>
        </w:rPr>
        <w:t xml:space="preserve">Decides </w:t>
      </w:r>
      <w:r w:rsidR="00250436" w:rsidRPr="00A6668A">
        <w:rPr>
          <w:szCs w:val="22"/>
        </w:rPr>
        <w:t xml:space="preserve">to review this item further at its fourteenth meeting on the basis of </w:t>
      </w:r>
      <w:r w:rsidRPr="00A6668A">
        <w:rPr>
          <w:szCs w:val="22"/>
        </w:rPr>
        <w:t>in</w:t>
      </w:r>
      <w:r w:rsidRPr="00C64FB7">
        <w:rPr>
          <w:szCs w:val="22"/>
        </w:rPr>
        <w:t xml:space="preserve">formation that </w:t>
      </w:r>
      <w:r w:rsidR="00250436" w:rsidRPr="006B7D7D">
        <w:rPr>
          <w:szCs w:val="22"/>
        </w:rPr>
        <w:t xml:space="preserve">the Executive Secretary </w:t>
      </w:r>
      <w:r w:rsidR="003426B0" w:rsidRPr="006B7D7D">
        <w:rPr>
          <w:szCs w:val="22"/>
        </w:rPr>
        <w:t xml:space="preserve">makes available </w:t>
      </w:r>
      <w:r w:rsidRPr="006B7D7D">
        <w:rPr>
          <w:szCs w:val="22"/>
        </w:rPr>
        <w:t>regarding liability and redress for damage to biological diversity, including information on</w:t>
      </w:r>
      <w:r w:rsidR="00250436" w:rsidRPr="006B7D7D">
        <w:rPr>
          <w:szCs w:val="22"/>
        </w:rPr>
        <w:t xml:space="preserve"> any new developments in the adoption and implementation of response measures for damage to the environment in general and to biological diversity in particular, including restoration and compensation.</w:t>
      </w:r>
    </w:p>
    <w:p w14:paraId="006887EB" w14:textId="77777777" w:rsidR="00C64AFF" w:rsidRPr="007F1F33" w:rsidRDefault="00C64AFF" w:rsidP="00C64AFF">
      <w:pPr>
        <w:spacing w:before="60" w:after="120"/>
      </w:pPr>
    </w:p>
    <w:p w14:paraId="4532F15A" w14:textId="77777777" w:rsidR="00B552C9" w:rsidRPr="007D4D05" w:rsidRDefault="009E5797" w:rsidP="006A09C7">
      <w:pPr>
        <w:spacing w:before="60" w:after="120"/>
        <w:jc w:val="center"/>
      </w:pPr>
      <w:r w:rsidRPr="007D4D05">
        <w:t>__________</w:t>
      </w:r>
    </w:p>
    <w:sectPr w:rsidR="00B552C9" w:rsidRPr="007D4D05" w:rsidSect="007D4D05">
      <w:headerReference w:type="first" r:id="rId12"/>
      <w:type w:val="continuous"/>
      <w:pgSz w:w="12240" w:h="15840" w:code="1"/>
      <w:pgMar w:top="864" w:right="1440" w:bottom="864" w:left="1440" w:header="461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D0B63" w14:textId="77777777" w:rsidR="00D91C19" w:rsidRDefault="00D91C19">
      <w:r>
        <w:separator/>
      </w:r>
    </w:p>
  </w:endnote>
  <w:endnote w:type="continuationSeparator" w:id="0">
    <w:p w14:paraId="262F75A0" w14:textId="77777777" w:rsidR="00D91C19" w:rsidRDefault="00D91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CF377" w14:textId="77777777" w:rsidR="00D91C19" w:rsidRDefault="00D91C19">
      <w:r>
        <w:separator/>
      </w:r>
    </w:p>
  </w:footnote>
  <w:footnote w:type="continuationSeparator" w:id="0">
    <w:p w14:paraId="52481717" w14:textId="77777777" w:rsidR="00D91C19" w:rsidRDefault="00D91C19">
      <w:r>
        <w:continuationSeparator/>
      </w:r>
    </w:p>
  </w:footnote>
  <w:footnote w:id="1">
    <w:p w14:paraId="7743F20E" w14:textId="77777777" w:rsidR="005A7C10" w:rsidRPr="007D4D05" w:rsidRDefault="005A7C10" w:rsidP="007D4D05">
      <w:pPr>
        <w:pStyle w:val="FootnoteText"/>
        <w:spacing w:after="80"/>
        <w:ind w:firstLine="0"/>
        <w:jc w:val="left"/>
        <w:rPr>
          <w:szCs w:val="18"/>
          <w:lang w:val="en-US"/>
        </w:rPr>
      </w:pPr>
      <w:r w:rsidRPr="007D4D05">
        <w:rPr>
          <w:rStyle w:val="FootnoteReference"/>
          <w:szCs w:val="18"/>
          <w:u w:val="none"/>
          <w:vertAlign w:val="superscript"/>
        </w:rPr>
        <w:footnoteRef/>
      </w:r>
      <w:r w:rsidRPr="006B7D7D">
        <w:rPr>
          <w:szCs w:val="18"/>
        </w:rPr>
        <w:t xml:space="preserve"> UNEP/CBD/COP/8/27/Add.3.</w:t>
      </w:r>
    </w:p>
  </w:footnote>
  <w:footnote w:id="2">
    <w:p w14:paraId="04AA0324" w14:textId="77777777" w:rsidR="00B5629C" w:rsidRPr="00CD2FD1" w:rsidRDefault="00B5629C" w:rsidP="00B5629C">
      <w:pPr>
        <w:autoSpaceDE w:val="0"/>
        <w:autoSpaceDN w:val="0"/>
        <w:adjustRightInd w:val="0"/>
        <w:spacing w:after="80"/>
        <w:jc w:val="left"/>
        <w:rPr>
          <w:sz w:val="18"/>
          <w:szCs w:val="18"/>
          <w:lang w:val="en-CA"/>
        </w:rPr>
      </w:pPr>
      <w:r w:rsidRPr="00372226">
        <w:rPr>
          <w:rStyle w:val="FootnoteReference"/>
          <w:szCs w:val="18"/>
          <w:u w:val="none"/>
          <w:vertAlign w:val="superscript"/>
        </w:rPr>
        <w:footnoteRef/>
      </w:r>
      <w:r w:rsidRPr="00CD2FD1">
        <w:rPr>
          <w:sz w:val="18"/>
          <w:szCs w:val="18"/>
        </w:rPr>
        <w:t xml:space="preserve"> </w:t>
      </w:r>
      <w:r w:rsidRPr="00CD2FD1">
        <w:rPr>
          <w:i/>
          <w:iCs/>
          <w:color w:val="000000"/>
          <w:sz w:val="18"/>
          <w:szCs w:val="18"/>
        </w:rPr>
        <w:t>Report of the United Nations Conference on Environment and Development, Rio de Janeiro, 3–14 June 1992</w:t>
      </w:r>
      <w:r w:rsidRPr="00CD2FD1">
        <w:rPr>
          <w:color w:val="000000"/>
          <w:sz w:val="18"/>
          <w:szCs w:val="18"/>
        </w:rPr>
        <w:t xml:space="preserve">, vol. I, </w:t>
      </w:r>
      <w:r w:rsidRPr="00CD2FD1">
        <w:rPr>
          <w:i/>
          <w:iCs/>
          <w:color w:val="000000"/>
          <w:sz w:val="18"/>
          <w:szCs w:val="18"/>
        </w:rPr>
        <w:t xml:space="preserve">Resolutions Adopted by the Conference </w:t>
      </w:r>
      <w:r w:rsidRPr="00CD2FD1">
        <w:rPr>
          <w:color w:val="000000"/>
          <w:sz w:val="18"/>
          <w:szCs w:val="18"/>
        </w:rPr>
        <w:t>(United Nations publication, Sales No. E.93.I.8 and corrigendum), resolution 1, annex I.</w:t>
      </w:r>
    </w:p>
  </w:footnote>
  <w:footnote w:id="3">
    <w:p w14:paraId="09473FE4" w14:textId="77777777" w:rsidR="00AB0BC0" w:rsidRPr="007D4D05" w:rsidRDefault="00AB0BC0" w:rsidP="007D4D05">
      <w:pPr>
        <w:pStyle w:val="FootnoteText"/>
        <w:spacing w:after="80"/>
        <w:ind w:firstLine="0"/>
        <w:jc w:val="left"/>
        <w:rPr>
          <w:lang w:val="en-US"/>
        </w:rPr>
      </w:pPr>
      <w:r w:rsidRPr="007D4D05">
        <w:rPr>
          <w:rStyle w:val="FootnoteReference"/>
          <w:u w:val="none"/>
          <w:vertAlign w:val="superscript"/>
        </w:rPr>
        <w:footnoteRef/>
      </w:r>
      <w:r>
        <w:t xml:space="preserve"> UNEP/CBD/COP/8/27/Add.3.</w:t>
      </w:r>
    </w:p>
  </w:footnote>
  <w:footnote w:id="4">
    <w:p w14:paraId="0D6AD011" w14:textId="77777777" w:rsidR="00AB0BC0" w:rsidRPr="007D4D05" w:rsidRDefault="00AB0BC0" w:rsidP="007D4D05">
      <w:pPr>
        <w:pStyle w:val="FootnoteText"/>
        <w:spacing w:after="80"/>
        <w:ind w:firstLine="0"/>
        <w:jc w:val="left"/>
        <w:rPr>
          <w:lang w:val="en-US"/>
        </w:rPr>
      </w:pPr>
      <w:r w:rsidRPr="007D4D05">
        <w:rPr>
          <w:rStyle w:val="FootnoteReference"/>
          <w:u w:val="none"/>
          <w:vertAlign w:val="superscript"/>
        </w:rPr>
        <w:footnoteRef/>
      </w:r>
      <w:r>
        <w:t xml:space="preserve"> UNEP/CBD/COP/9/20/Add.1.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3F34" w14:textId="77777777" w:rsidR="005A7C10" w:rsidRDefault="005A7C10">
    <w:pPr>
      <w:pStyle w:val="Header"/>
    </w:pPr>
    <w:r>
      <w:t>UNEP/CBD/COP/</w:t>
    </w:r>
    <w:r w:rsidR="00D200AB">
      <w:t>DEC/XII/1</w:t>
    </w:r>
    <w:r w:rsidR="00FA48E3">
      <w:t>4</w:t>
    </w:r>
  </w:p>
  <w:p w14:paraId="165B6D5C" w14:textId="77777777" w:rsidR="005A7C10" w:rsidRDefault="005A7C10" w:rsidP="007D4D05">
    <w:pPr>
      <w:pStyle w:val="Header"/>
      <w:spacing w:after="120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D2672"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A942F" w14:textId="77777777" w:rsidR="005A7C10" w:rsidRDefault="005A7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99E2D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A92F02"/>
    <w:multiLevelType w:val="multilevel"/>
    <w:tmpl w:val="1204829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2F0336B8"/>
    <w:multiLevelType w:val="multilevel"/>
    <w:tmpl w:val="99BA12E0"/>
    <w:lvl w:ilvl="0">
      <w:start w:val="1"/>
      <w:numFmt w:val="upperRoman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1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-360"/>
        </w:tabs>
        <w:ind w:left="-7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3" w15:restartNumberingAfterBreak="0">
    <w:nsid w:val="301C60D8"/>
    <w:multiLevelType w:val="multilevel"/>
    <w:tmpl w:val="BE30BA6C"/>
    <w:lvl w:ilvl="0">
      <w:start w:val="1"/>
      <w:numFmt w:val="decimal"/>
      <w:lvlText w:val="%1"/>
      <w:lvlJc w:val="left"/>
      <w:pPr>
        <w:ind w:left="1077" w:hanging="1077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AEB0B1E"/>
    <w:multiLevelType w:val="multilevel"/>
    <w:tmpl w:val="E07EC098"/>
    <w:lvl w:ilvl="0">
      <w:start w:val="1"/>
      <w:numFmt w:val="decimal"/>
      <w:pStyle w:val="para2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2736"/>
        </w:tabs>
        <w:ind w:left="2736" w:hanging="432"/>
      </w:pPr>
      <w:rPr>
        <w:rFonts w:hint="default"/>
      </w:rPr>
    </w:lvl>
    <w:lvl w:ilvl="3">
      <w:start w:val="1"/>
      <w:numFmt w:val="decimal"/>
      <w:lvlText w:val="a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  <w:rPr>
        <w:rFonts w:hint="default"/>
      </w:rPr>
    </w:lvl>
  </w:abstractNum>
  <w:abstractNum w:abstractNumId="5" w15:restartNumberingAfterBreak="0">
    <w:nsid w:val="3CE43C91"/>
    <w:multiLevelType w:val="singleLevel"/>
    <w:tmpl w:val="B36A8C58"/>
    <w:lvl w:ilvl="0">
      <w:start w:val="1"/>
      <w:numFmt w:val="decimal"/>
      <w:pStyle w:val="Paranum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429637AA"/>
    <w:multiLevelType w:val="multilevel"/>
    <w:tmpl w:val="8726330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decimal"/>
      <w:lvlText w:val="%2."/>
      <w:lvlJc w:val="left"/>
      <w:pPr>
        <w:tabs>
          <w:tab w:val="num" w:pos="1620"/>
        </w:tabs>
        <w:ind w:left="180" w:firstLine="720"/>
      </w:pPr>
      <w:rPr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900"/>
        </w:tabs>
        <w:ind w:left="190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44CC7FBB"/>
    <w:multiLevelType w:val="hybridMultilevel"/>
    <w:tmpl w:val="45E4BE68"/>
    <w:lvl w:ilvl="0" w:tplc="F89AE9D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48E4287B"/>
    <w:multiLevelType w:val="multilevel"/>
    <w:tmpl w:val="2E6A1D3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</w:lvl>
    <w:lvl w:ilvl="3">
      <w:start w:val="1"/>
      <w:numFmt w:val="bullet"/>
      <w:pStyle w:val="Para3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4A6E2604"/>
    <w:multiLevelType w:val="multilevel"/>
    <w:tmpl w:val="53F67F1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4E0442B4"/>
    <w:multiLevelType w:val="multilevel"/>
    <w:tmpl w:val="4FF01174"/>
    <w:lvl w:ilvl="0">
      <w:start w:val="1"/>
      <w:numFmt w:val="decimal"/>
      <w:pStyle w:val="Para1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511966F3"/>
    <w:multiLevelType w:val="hybridMultilevel"/>
    <w:tmpl w:val="88A23766"/>
    <w:lvl w:ilvl="0" w:tplc="EB604432">
      <w:start w:val="1"/>
      <w:numFmt w:val="lowerLetter"/>
      <w:lvlText w:val="(%1)"/>
      <w:lvlJc w:val="left"/>
      <w:pPr>
        <w:ind w:left="246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FA0D9A"/>
    <w:multiLevelType w:val="multilevel"/>
    <w:tmpl w:val="187822A4"/>
    <w:lvl w:ilvl="0">
      <w:start w:val="1"/>
      <w:numFmt w:val="decimal"/>
      <w:pStyle w:val="Para1-Annex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 w:val="0"/>
        <w:i w:val="0"/>
        <w:sz w:val="22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72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color w:val="auto"/>
        <w:sz w:val="28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60CC486F"/>
    <w:multiLevelType w:val="hybridMultilevel"/>
    <w:tmpl w:val="FAAEAE2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65357F78"/>
    <w:multiLevelType w:val="hybridMultilevel"/>
    <w:tmpl w:val="E59652FE"/>
    <w:lvl w:ilvl="0" w:tplc="FFFFFFFF">
      <w:start w:val="1"/>
      <w:numFmt w:val="decimal"/>
      <w:pStyle w:val="Paraofficial"/>
      <w:lvlText w:val="%1."/>
      <w:lvlJc w:val="left"/>
      <w:pPr>
        <w:tabs>
          <w:tab w:val="num" w:pos="1080"/>
        </w:tabs>
        <w:ind w:left="0" w:firstLine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CD57C6E"/>
    <w:multiLevelType w:val="multilevel"/>
    <w:tmpl w:val="747AF6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232"/>
        </w:tabs>
        <w:ind w:left="22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64"/>
        </w:tabs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16" w15:restartNumberingAfterBreak="0">
    <w:nsid w:val="708151E1"/>
    <w:multiLevelType w:val="multilevel"/>
    <w:tmpl w:val="FC4EF6E2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31"/>
        </w:tabs>
        <w:ind w:left="1431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62"/>
        </w:tabs>
        <w:ind w:left="22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33"/>
        </w:tabs>
        <w:ind w:left="30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64"/>
        </w:tabs>
        <w:ind w:left="4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35"/>
        </w:tabs>
        <w:ind w:left="4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66"/>
        </w:tabs>
        <w:ind w:left="60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37"/>
        </w:tabs>
        <w:ind w:left="68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08"/>
        </w:tabs>
        <w:ind w:left="7608" w:hanging="1440"/>
      </w:pPr>
      <w:rPr>
        <w:rFonts w:hint="default"/>
      </w:rPr>
    </w:lvl>
  </w:abstractNum>
  <w:abstractNum w:abstractNumId="17" w15:restartNumberingAfterBreak="0">
    <w:nsid w:val="73D15962"/>
    <w:multiLevelType w:val="hybridMultilevel"/>
    <w:tmpl w:val="C50255CC"/>
    <w:lvl w:ilvl="0" w:tplc="D0700F5C">
      <w:start w:val="1"/>
      <w:numFmt w:val="lowerLetter"/>
      <w:lvlText w:val="(%1)"/>
      <w:lvlJc w:val="left"/>
      <w:pPr>
        <w:ind w:left="180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DF1584E"/>
    <w:multiLevelType w:val="hybridMultilevel"/>
    <w:tmpl w:val="1EB8E0A8"/>
    <w:lvl w:ilvl="0" w:tplc="155CBDAA">
      <w:start w:val="1"/>
      <w:numFmt w:val="lowerLetter"/>
      <w:lvlText w:val="(%1)"/>
      <w:lvlJc w:val="left"/>
      <w:pPr>
        <w:ind w:left="1800" w:hanging="360"/>
      </w:pPr>
      <w:rPr>
        <w:rFonts w:ascii="Times New Roman" w:eastAsia="Times New Roman" w:hAnsi="Times New Roman" w:cs="Angsana New"/>
        <w:i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28368011">
    <w:abstractNumId w:val="5"/>
  </w:num>
  <w:num w:numId="2" w16cid:durableId="18432042">
    <w:abstractNumId w:val="4"/>
  </w:num>
  <w:num w:numId="3" w16cid:durableId="1176653480">
    <w:abstractNumId w:val="2"/>
  </w:num>
  <w:num w:numId="4" w16cid:durableId="1188566885">
    <w:abstractNumId w:val="7"/>
  </w:num>
  <w:num w:numId="5" w16cid:durableId="1024984368">
    <w:abstractNumId w:val="8"/>
  </w:num>
  <w:num w:numId="6" w16cid:durableId="933592458">
    <w:abstractNumId w:val="10"/>
  </w:num>
  <w:num w:numId="7" w16cid:durableId="1516994316">
    <w:abstractNumId w:val="15"/>
  </w:num>
  <w:num w:numId="8" w16cid:durableId="1147086701">
    <w:abstractNumId w:val="9"/>
  </w:num>
  <w:num w:numId="9" w16cid:durableId="892273041">
    <w:abstractNumId w:val="1"/>
  </w:num>
  <w:num w:numId="10" w16cid:durableId="1473210520">
    <w:abstractNumId w:val="2"/>
  </w:num>
  <w:num w:numId="11" w16cid:durableId="1239558543">
    <w:abstractNumId w:val="14"/>
  </w:num>
  <w:num w:numId="12" w16cid:durableId="296381668">
    <w:abstractNumId w:val="10"/>
  </w:num>
  <w:num w:numId="13" w16cid:durableId="1213814121">
    <w:abstractNumId w:val="12"/>
  </w:num>
  <w:num w:numId="14" w16cid:durableId="1719469918">
    <w:abstractNumId w:val="4"/>
  </w:num>
  <w:num w:numId="15" w16cid:durableId="1426195049">
    <w:abstractNumId w:val="10"/>
  </w:num>
  <w:num w:numId="16" w16cid:durableId="512843586">
    <w:abstractNumId w:val="8"/>
  </w:num>
  <w:num w:numId="17" w16cid:durableId="553542781">
    <w:abstractNumId w:val="5"/>
  </w:num>
  <w:num w:numId="18" w16cid:durableId="1848672012">
    <w:abstractNumId w:val="16"/>
  </w:num>
  <w:num w:numId="19" w16cid:durableId="1192306703">
    <w:abstractNumId w:val="6"/>
  </w:num>
  <w:num w:numId="20" w16cid:durableId="2093893772">
    <w:abstractNumId w:val="10"/>
  </w:num>
  <w:num w:numId="21" w16cid:durableId="1448086531">
    <w:abstractNumId w:val="10"/>
  </w:num>
  <w:num w:numId="22" w16cid:durableId="2034962763">
    <w:abstractNumId w:val="10"/>
  </w:num>
  <w:num w:numId="23" w16cid:durableId="518590351">
    <w:abstractNumId w:val="10"/>
  </w:num>
  <w:num w:numId="24" w16cid:durableId="349916576">
    <w:abstractNumId w:val="13"/>
  </w:num>
  <w:num w:numId="25" w16cid:durableId="1234773365">
    <w:abstractNumId w:val="17"/>
  </w:num>
  <w:num w:numId="26" w16cid:durableId="1117214055">
    <w:abstractNumId w:val="18"/>
  </w:num>
  <w:num w:numId="27" w16cid:durableId="679357643">
    <w:abstractNumId w:val="11"/>
  </w:num>
  <w:num w:numId="28" w16cid:durableId="893657887">
    <w:abstractNumId w:val="0"/>
  </w:num>
  <w:num w:numId="29" w16cid:durableId="174082403">
    <w:abstractNumId w:val="3"/>
  </w:num>
  <w:num w:numId="30" w16cid:durableId="727187959">
    <w:abstractNumId w:val="2"/>
  </w:num>
  <w:num w:numId="31" w16cid:durableId="249387519">
    <w:abstractNumId w:val="10"/>
  </w:num>
  <w:num w:numId="32" w16cid:durableId="1708333694">
    <w:abstractNumId w:val="7"/>
  </w:num>
  <w:num w:numId="33" w16cid:durableId="82186712">
    <w:abstractNumId w:val="10"/>
  </w:num>
  <w:num w:numId="34" w16cid:durableId="1053387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fr-CA" w:vendorID="64" w:dllVersion="131078" w:nlCheck="1" w:checkStyle="1"/>
  <w:activeWritingStyle w:appName="MSWord" w:lang="en-CA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10"/>
  <w:drawingGridVerticalSpacing w:val="299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8A"/>
    <w:rsid w:val="000448CD"/>
    <w:rsid w:val="00045903"/>
    <w:rsid w:val="00046948"/>
    <w:rsid w:val="00047BA7"/>
    <w:rsid w:val="00090349"/>
    <w:rsid w:val="000D627F"/>
    <w:rsid w:val="00121AE9"/>
    <w:rsid w:val="0015059A"/>
    <w:rsid w:val="00152D10"/>
    <w:rsid w:val="00155C94"/>
    <w:rsid w:val="0017636E"/>
    <w:rsid w:val="001953A7"/>
    <w:rsid w:val="00195E04"/>
    <w:rsid w:val="001B228C"/>
    <w:rsid w:val="001B5DE1"/>
    <w:rsid w:val="001C5949"/>
    <w:rsid w:val="001C6F39"/>
    <w:rsid w:val="001C71F8"/>
    <w:rsid w:val="001D2672"/>
    <w:rsid w:val="001D7585"/>
    <w:rsid w:val="001F16CC"/>
    <w:rsid w:val="001F1DBB"/>
    <w:rsid w:val="001F268A"/>
    <w:rsid w:val="00250436"/>
    <w:rsid w:val="0025359D"/>
    <w:rsid w:val="002812A9"/>
    <w:rsid w:val="002934BD"/>
    <w:rsid w:val="002E61D1"/>
    <w:rsid w:val="002F2D34"/>
    <w:rsid w:val="0030672A"/>
    <w:rsid w:val="003074F8"/>
    <w:rsid w:val="00320E12"/>
    <w:rsid w:val="003426B0"/>
    <w:rsid w:val="00344981"/>
    <w:rsid w:val="00372226"/>
    <w:rsid w:val="003737F0"/>
    <w:rsid w:val="00377BCB"/>
    <w:rsid w:val="00384851"/>
    <w:rsid w:val="003B686A"/>
    <w:rsid w:val="003C125F"/>
    <w:rsid w:val="003C5835"/>
    <w:rsid w:val="003C7A18"/>
    <w:rsid w:val="003D2482"/>
    <w:rsid w:val="003D6323"/>
    <w:rsid w:val="003F0A9D"/>
    <w:rsid w:val="004269FB"/>
    <w:rsid w:val="004452DF"/>
    <w:rsid w:val="00475A39"/>
    <w:rsid w:val="0049153E"/>
    <w:rsid w:val="00492A9A"/>
    <w:rsid w:val="00497218"/>
    <w:rsid w:val="005058B3"/>
    <w:rsid w:val="005163F3"/>
    <w:rsid w:val="005172A6"/>
    <w:rsid w:val="0052421F"/>
    <w:rsid w:val="0052700A"/>
    <w:rsid w:val="005709A4"/>
    <w:rsid w:val="00584F3C"/>
    <w:rsid w:val="00595A13"/>
    <w:rsid w:val="005A7C10"/>
    <w:rsid w:val="005B7A59"/>
    <w:rsid w:val="005E6E33"/>
    <w:rsid w:val="00632E05"/>
    <w:rsid w:val="00636DE8"/>
    <w:rsid w:val="00656ABA"/>
    <w:rsid w:val="00672780"/>
    <w:rsid w:val="00694B2A"/>
    <w:rsid w:val="006970AD"/>
    <w:rsid w:val="006A09C7"/>
    <w:rsid w:val="006A295A"/>
    <w:rsid w:val="006A323D"/>
    <w:rsid w:val="006A61CE"/>
    <w:rsid w:val="006B7D7D"/>
    <w:rsid w:val="006D7282"/>
    <w:rsid w:val="00705BB1"/>
    <w:rsid w:val="0071316E"/>
    <w:rsid w:val="007137C3"/>
    <w:rsid w:val="00731EE3"/>
    <w:rsid w:val="007420E4"/>
    <w:rsid w:val="00743AA4"/>
    <w:rsid w:val="00766657"/>
    <w:rsid w:val="00773218"/>
    <w:rsid w:val="00782E8B"/>
    <w:rsid w:val="00795B36"/>
    <w:rsid w:val="007B1DAB"/>
    <w:rsid w:val="007C558F"/>
    <w:rsid w:val="007C5CBF"/>
    <w:rsid w:val="007D4D05"/>
    <w:rsid w:val="007F1F33"/>
    <w:rsid w:val="00801CB3"/>
    <w:rsid w:val="008048B1"/>
    <w:rsid w:val="0080539A"/>
    <w:rsid w:val="00830D49"/>
    <w:rsid w:val="008544F2"/>
    <w:rsid w:val="00855378"/>
    <w:rsid w:val="00862F74"/>
    <w:rsid w:val="00864C6C"/>
    <w:rsid w:val="00873381"/>
    <w:rsid w:val="008A732F"/>
    <w:rsid w:val="008B4125"/>
    <w:rsid w:val="008C6190"/>
    <w:rsid w:val="008C68C1"/>
    <w:rsid w:val="008E216B"/>
    <w:rsid w:val="008F1FC4"/>
    <w:rsid w:val="00920113"/>
    <w:rsid w:val="00923871"/>
    <w:rsid w:val="0094169A"/>
    <w:rsid w:val="00941A25"/>
    <w:rsid w:val="00953A01"/>
    <w:rsid w:val="009754C5"/>
    <w:rsid w:val="00994493"/>
    <w:rsid w:val="009A3EFB"/>
    <w:rsid w:val="009B0465"/>
    <w:rsid w:val="009C4746"/>
    <w:rsid w:val="009D4270"/>
    <w:rsid w:val="009E5797"/>
    <w:rsid w:val="009F7BA5"/>
    <w:rsid w:val="00A17820"/>
    <w:rsid w:val="00A447C5"/>
    <w:rsid w:val="00A52A6F"/>
    <w:rsid w:val="00A61ADD"/>
    <w:rsid w:val="00A6668A"/>
    <w:rsid w:val="00A7569A"/>
    <w:rsid w:val="00A80AAB"/>
    <w:rsid w:val="00AB08CC"/>
    <w:rsid w:val="00AB0BC0"/>
    <w:rsid w:val="00AC2DE5"/>
    <w:rsid w:val="00AE58E1"/>
    <w:rsid w:val="00B15F24"/>
    <w:rsid w:val="00B214F3"/>
    <w:rsid w:val="00B35134"/>
    <w:rsid w:val="00B37EA2"/>
    <w:rsid w:val="00B552C9"/>
    <w:rsid w:val="00B5629C"/>
    <w:rsid w:val="00B569A6"/>
    <w:rsid w:val="00B746C9"/>
    <w:rsid w:val="00B8039E"/>
    <w:rsid w:val="00B82178"/>
    <w:rsid w:val="00BB26B8"/>
    <w:rsid w:val="00BB3728"/>
    <w:rsid w:val="00BC7913"/>
    <w:rsid w:val="00BE3D7D"/>
    <w:rsid w:val="00C0581C"/>
    <w:rsid w:val="00C0664B"/>
    <w:rsid w:val="00C53110"/>
    <w:rsid w:val="00C604C9"/>
    <w:rsid w:val="00C64AFF"/>
    <w:rsid w:val="00C64FB7"/>
    <w:rsid w:val="00C90CF6"/>
    <w:rsid w:val="00C914FC"/>
    <w:rsid w:val="00CA31DC"/>
    <w:rsid w:val="00CA4C2D"/>
    <w:rsid w:val="00CC1DBD"/>
    <w:rsid w:val="00CF7DDF"/>
    <w:rsid w:val="00D01CEE"/>
    <w:rsid w:val="00D030F9"/>
    <w:rsid w:val="00D0752A"/>
    <w:rsid w:val="00D200AB"/>
    <w:rsid w:val="00D25DDA"/>
    <w:rsid w:val="00D365F6"/>
    <w:rsid w:val="00D4174A"/>
    <w:rsid w:val="00D42BA7"/>
    <w:rsid w:val="00D53611"/>
    <w:rsid w:val="00D64E0A"/>
    <w:rsid w:val="00D6562C"/>
    <w:rsid w:val="00D8496A"/>
    <w:rsid w:val="00D91C19"/>
    <w:rsid w:val="00DA37B9"/>
    <w:rsid w:val="00DA7E17"/>
    <w:rsid w:val="00DE3DA5"/>
    <w:rsid w:val="00DE4554"/>
    <w:rsid w:val="00E23A97"/>
    <w:rsid w:val="00E24250"/>
    <w:rsid w:val="00E2661F"/>
    <w:rsid w:val="00E26D4B"/>
    <w:rsid w:val="00E35E83"/>
    <w:rsid w:val="00E6359E"/>
    <w:rsid w:val="00E85B4A"/>
    <w:rsid w:val="00E9053D"/>
    <w:rsid w:val="00E925F8"/>
    <w:rsid w:val="00EA0BFB"/>
    <w:rsid w:val="00EF0553"/>
    <w:rsid w:val="00F248AE"/>
    <w:rsid w:val="00F4758D"/>
    <w:rsid w:val="00F54F51"/>
    <w:rsid w:val="00F7798E"/>
    <w:rsid w:val="00F86FBB"/>
    <w:rsid w:val="00F91369"/>
    <w:rsid w:val="00F93897"/>
    <w:rsid w:val="00F93949"/>
    <w:rsid w:val="00FA3210"/>
    <w:rsid w:val="00FA48E3"/>
    <w:rsid w:val="00FB586B"/>
    <w:rsid w:val="00FC358B"/>
    <w:rsid w:val="00FC4007"/>
    <w:rsid w:val="00FD1537"/>
    <w:rsid w:val="00FD2849"/>
    <w:rsid w:val="00F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BAA13"/>
  <w15:chartTrackingRefBased/>
  <w15:docId w15:val="{9223F1F2-DC2D-1F4F-9086-13E4D066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00AB"/>
    <w:pPr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Heading2"/>
    <w:qFormat/>
    <w:rsid w:val="00D200AB"/>
    <w:pPr>
      <w:keepNext/>
      <w:tabs>
        <w:tab w:val="left" w:pos="720"/>
      </w:tabs>
      <w:spacing w:before="240" w:after="12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rsid w:val="00D200AB"/>
    <w:pPr>
      <w:keepNext/>
      <w:tabs>
        <w:tab w:val="left" w:pos="720"/>
      </w:tabs>
      <w:spacing w:before="120" w:after="120"/>
      <w:jc w:val="center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D200AB"/>
    <w:pPr>
      <w:keepNext/>
      <w:tabs>
        <w:tab w:val="left" w:pos="567"/>
      </w:tabs>
      <w:spacing w:before="120" w:after="120"/>
      <w:jc w:val="center"/>
      <w:outlineLvl w:val="2"/>
    </w:pPr>
    <w:rPr>
      <w:i/>
      <w:iCs/>
    </w:rPr>
  </w:style>
  <w:style w:type="paragraph" w:styleId="Heading4">
    <w:name w:val="heading 4"/>
    <w:basedOn w:val="Normal"/>
    <w:qFormat/>
    <w:rsid w:val="00D200AB"/>
    <w:pPr>
      <w:keepNext/>
      <w:spacing w:before="120" w:after="120"/>
      <w:outlineLvl w:val="3"/>
    </w:pPr>
    <w:rPr>
      <w:rFonts w:ascii="Times New Roman Bold" w:eastAsia="Arial Unicode MS" w:hAnsi="Times New Roman Bold" w:cs="Arial"/>
      <w:b/>
      <w:bCs/>
      <w:i/>
    </w:rPr>
  </w:style>
  <w:style w:type="paragraph" w:styleId="Heading5">
    <w:name w:val="heading 5"/>
    <w:basedOn w:val="Normal"/>
    <w:next w:val="Normal"/>
    <w:qFormat/>
    <w:rsid w:val="00D200AB"/>
    <w:pPr>
      <w:keepNext/>
      <w:numPr>
        <w:ilvl w:val="4"/>
        <w:numId w:val="30"/>
      </w:numPr>
      <w:spacing w:before="120" w:after="120"/>
      <w:jc w:val="left"/>
      <w:outlineLvl w:val="4"/>
    </w:pPr>
    <w:rPr>
      <w:bCs/>
      <w:i/>
      <w:szCs w:val="26"/>
      <w:lang w:val="en-CA"/>
    </w:rPr>
  </w:style>
  <w:style w:type="paragraph" w:styleId="Heading6">
    <w:name w:val="heading 6"/>
    <w:basedOn w:val="Normal"/>
    <w:next w:val="Normal"/>
    <w:qFormat/>
    <w:rsid w:val="00D200AB"/>
    <w:pPr>
      <w:keepNext/>
      <w:spacing w:after="240" w:line="240" w:lineRule="exact"/>
      <w:ind w:left="720"/>
      <w:outlineLvl w:val="5"/>
    </w:pPr>
    <w:rPr>
      <w:u w:val="single"/>
    </w:rPr>
  </w:style>
  <w:style w:type="paragraph" w:styleId="Heading7">
    <w:name w:val="heading 7"/>
    <w:basedOn w:val="Normal"/>
    <w:next w:val="Normal"/>
    <w:rsid w:val="00D200AB"/>
    <w:pPr>
      <w:keepNext/>
      <w:jc w:val="right"/>
      <w:outlineLvl w:val="6"/>
    </w:pPr>
    <w:rPr>
      <w:rFonts w:ascii="Univers" w:hAnsi="Univers"/>
      <w:b/>
      <w:sz w:val="28"/>
    </w:rPr>
  </w:style>
  <w:style w:type="paragraph" w:styleId="Heading8">
    <w:name w:val="heading 8"/>
    <w:basedOn w:val="Normal"/>
    <w:next w:val="Normal"/>
    <w:qFormat/>
    <w:rsid w:val="00D200AB"/>
    <w:pPr>
      <w:keepNext/>
      <w:jc w:val="right"/>
      <w:outlineLvl w:val="7"/>
    </w:pPr>
    <w:rPr>
      <w:rFonts w:ascii="Univers" w:hAnsi="Univers"/>
      <w:b/>
      <w:sz w:val="32"/>
    </w:rPr>
  </w:style>
  <w:style w:type="paragraph" w:styleId="Heading9">
    <w:name w:val="heading 9"/>
    <w:basedOn w:val="Normal"/>
    <w:next w:val="Normal"/>
    <w:rsid w:val="00D200AB"/>
    <w:pPr>
      <w:keepNext/>
      <w:spacing w:before="100" w:beforeAutospacing="1" w:after="120"/>
      <w:outlineLvl w:val="8"/>
    </w:pPr>
    <w:rPr>
      <w:i/>
      <w:iCs/>
    </w:rPr>
  </w:style>
  <w:style w:type="character" w:default="1" w:styleId="DefaultParagraphFont">
    <w:name w:val="Default Paragraph Font"/>
    <w:semiHidden/>
    <w:rsid w:val="00D200A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D200AB"/>
  </w:style>
  <w:style w:type="paragraph" w:styleId="BodyText">
    <w:name w:val="Body Text"/>
    <w:basedOn w:val="Normal"/>
    <w:rsid w:val="00D200AB"/>
    <w:pPr>
      <w:spacing w:before="120" w:after="120"/>
      <w:ind w:firstLine="720"/>
    </w:pPr>
    <w:rPr>
      <w:iCs/>
    </w:rPr>
  </w:style>
  <w:style w:type="paragraph" w:styleId="Footer">
    <w:name w:val="footer"/>
    <w:basedOn w:val="Normal"/>
    <w:rsid w:val="00D200AB"/>
    <w:pPr>
      <w:tabs>
        <w:tab w:val="center" w:pos="4320"/>
        <w:tab w:val="right" w:pos="8640"/>
      </w:tabs>
      <w:ind w:firstLine="720"/>
      <w:jc w:val="right"/>
    </w:pPr>
  </w:style>
  <w:style w:type="paragraph" w:customStyle="1" w:styleId="Para1">
    <w:name w:val="Para1"/>
    <w:basedOn w:val="Normal"/>
    <w:rsid w:val="00D200AB"/>
    <w:pPr>
      <w:numPr>
        <w:numId w:val="33"/>
      </w:numPr>
      <w:spacing w:before="120" w:after="120"/>
    </w:pPr>
    <w:rPr>
      <w:snapToGrid w:val="0"/>
      <w:szCs w:val="18"/>
    </w:rPr>
  </w:style>
  <w:style w:type="paragraph" w:customStyle="1" w:styleId="Para20">
    <w:name w:val="Para2"/>
    <w:basedOn w:val="Para1"/>
    <w:rsid w:val="00D200AB"/>
    <w:pPr>
      <w:numPr>
        <w:numId w:val="0"/>
      </w:numPr>
      <w:autoSpaceDE w:val="0"/>
      <w:autoSpaceDN w:val="0"/>
    </w:pPr>
  </w:style>
  <w:style w:type="paragraph" w:customStyle="1" w:styleId="Para3">
    <w:name w:val="Para3"/>
    <w:basedOn w:val="Normal"/>
    <w:rsid w:val="00D200AB"/>
    <w:pPr>
      <w:numPr>
        <w:ilvl w:val="3"/>
        <w:numId w:val="34"/>
      </w:numPr>
      <w:tabs>
        <w:tab w:val="left" w:pos="1980"/>
      </w:tabs>
      <w:spacing w:before="80" w:after="80"/>
    </w:pPr>
    <w:rPr>
      <w:szCs w:val="20"/>
    </w:rPr>
  </w:style>
  <w:style w:type="paragraph" w:styleId="FootnoteText">
    <w:name w:val="footnote text"/>
    <w:basedOn w:val="Normal"/>
    <w:semiHidden/>
    <w:rsid w:val="00D200AB"/>
    <w:pPr>
      <w:keepLines/>
      <w:spacing w:after="60"/>
      <w:ind w:firstLine="720"/>
    </w:pPr>
    <w:rPr>
      <w:sz w:val="18"/>
    </w:rPr>
  </w:style>
  <w:style w:type="character" w:styleId="FootnoteReference">
    <w:name w:val="footnote reference"/>
    <w:semiHidden/>
    <w:rsid w:val="00D200AB"/>
    <w:rPr>
      <w:sz w:val="18"/>
      <w:u w:val="single"/>
      <w:vertAlign w:val="baseline"/>
    </w:rPr>
  </w:style>
  <w:style w:type="paragraph" w:customStyle="1" w:styleId="Cornernotation">
    <w:name w:val="Corner notation"/>
    <w:basedOn w:val="Normal"/>
    <w:rsid w:val="00D200AB"/>
    <w:pPr>
      <w:ind w:left="170" w:right="3119" w:hanging="170"/>
      <w:jc w:val="left"/>
    </w:pPr>
  </w:style>
  <w:style w:type="paragraph" w:customStyle="1" w:styleId="para2">
    <w:name w:val="para2"/>
    <w:basedOn w:val="Normal"/>
    <w:pPr>
      <w:numPr>
        <w:numId w:val="14"/>
      </w:numPr>
      <w:spacing w:before="120" w:after="120"/>
    </w:pPr>
    <w:rPr>
      <w:szCs w:val="20"/>
    </w:rPr>
  </w:style>
  <w:style w:type="paragraph" w:customStyle="1" w:styleId="Paranum">
    <w:name w:val="Paranum"/>
    <w:basedOn w:val="Para1"/>
    <w:pPr>
      <w:numPr>
        <w:numId w:val="17"/>
      </w:numPr>
      <w:spacing w:line="240" w:lineRule="exact"/>
    </w:pPr>
    <w:rPr>
      <w:snapToGrid/>
      <w:szCs w:val="20"/>
      <w:lang w:val="en-US"/>
    </w:rPr>
  </w:style>
  <w:style w:type="paragraph" w:styleId="EndnoteText">
    <w:name w:val="endnote text"/>
    <w:basedOn w:val="Normal"/>
    <w:semiHidden/>
    <w:rsid w:val="00D200AB"/>
    <w:pPr>
      <w:widowControl w:val="0"/>
      <w:tabs>
        <w:tab w:val="left" w:pos="-720"/>
      </w:tabs>
      <w:suppressAutoHyphens/>
    </w:pPr>
    <w:rPr>
      <w:rFonts w:ascii="Courier New" w:hAnsi="Courier New"/>
    </w:rPr>
  </w:style>
  <w:style w:type="character" w:styleId="EndnoteReference">
    <w:name w:val="endnote reference"/>
    <w:semiHidden/>
    <w:rsid w:val="00D200AB"/>
    <w:rPr>
      <w:vertAlign w:val="superscript"/>
    </w:rPr>
  </w:style>
  <w:style w:type="character" w:styleId="PageNumber">
    <w:name w:val="page number"/>
    <w:rsid w:val="00D200AB"/>
    <w:rPr>
      <w:rFonts w:ascii="Times New Roman" w:hAnsi="Times New Roman"/>
      <w:sz w:val="22"/>
    </w:rPr>
  </w:style>
  <w:style w:type="paragraph" w:customStyle="1" w:styleId="para4">
    <w:name w:val="para4"/>
    <w:basedOn w:val="Normal"/>
    <w:rsid w:val="00D200AB"/>
    <w:p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rFonts w:ascii="Courier" w:hAnsi="Courier"/>
      <w:color w:val="000000"/>
      <w:sz w:val="20"/>
      <w:szCs w:val="20"/>
    </w:rPr>
  </w:style>
  <w:style w:type="paragraph" w:customStyle="1" w:styleId="Heading1multiline">
    <w:name w:val="Heading 1 (multiline)"/>
    <w:basedOn w:val="Heading1"/>
    <w:rsid w:val="00D200AB"/>
    <w:pPr>
      <w:ind w:left="1843" w:right="996" w:hanging="567"/>
      <w:jc w:val="left"/>
    </w:pPr>
  </w:style>
  <w:style w:type="paragraph" w:customStyle="1" w:styleId="Heading2multiline">
    <w:name w:val="Heading 2 (multiline)"/>
    <w:basedOn w:val="Heading1"/>
    <w:next w:val="Para1"/>
    <w:rsid w:val="00D200AB"/>
    <w:pPr>
      <w:spacing w:before="120"/>
      <w:ind w:left="1843" w:right="998" w:hanging="567"/>
      <w:jc w:val="left"/>
    </w:pPr>
    <w:rPr>
      <w:i/>
      <w:iCs/>
      <w:caps w:val="0"/>
    </w:rPr>
  </w:style>
  <w:style w:type="paragraph" w:customStyle="1" w:styleId="Heading3multiline">
    <w:name w:val="Heading 3 (multiline)"/>
    <w:basedOn w:val="Heading3"/>
    <w:next w:val="Para1"/>
    <w:rsid w:val="00D200AB"/>
    <w:pPr>
      <w:ind w:left="1418" w:hanging="425"/>
      <w:jc w:val="left"/>
    </w:pPr>
  </w:style>
  <w:style w:type="paragraph" w:customStyle="1" w:styleId="Heading2longmultiline">
    <w:name w:val="Heading 2 (long multiline)"/>
    <w:basedOn w:val="Heading2multiline"/>
    <w:rsid w:val="00D200AB"/>
    <w:pPr>
      <w:ind w:left="2127" w:hanging="1276"/>
    </w:pPr>
  </w:style>
  <w:style w:type="paragraph" w:customStyle="1" w:styleId="Heading1longmultiline">
    <w:name w:val="Heading 1 (long multiline)"/>
    <w:basedOn w:val="Heading1"/>
    <w:rsid w:val="00D200AB"/>
    <w:pPr>
      <w:ind w:left="1843" w:hanging="1134"/>
      <w:jc w:val="left"/>
    </w:pPr>
  </w:style>
  <w:style w:type="paragraph" w:styleId="BodyTextIndent">
    <w:name w:val="Body Text Indent"/>
    <w:basedOn w:val="Normal"/>
    <w:rsid w:val="00D200AB"/>
    <w:pPr>
      <w:spacing w:before="120" w:after="120"/>
      <w:ind w:left="1440" w:hanging="720"/>
      <w:jc w:val="left"/>
    </w:pPr>
  </w:style>
  <w:style w:type="paragraph" w:customStyle="1" w:styleId="Heading-plainbold">
    <w:name w:val="Heading-plain bold"/>
    <w:basedOn w:val="BodyText"/>
    <w:pPr>
      <w:ind w:firstLine="0"/>
      <w:jc w:val="center"/>
    </w:pPr>
    <w:rPr>
      <w:b/>
      <w:bCs/>
      <w:i/>
      <w:iCs w:val="0"/>
    </w:rPr>
  </w:style>
  <w:style w:type="paragraph" w:customStyle="1" w:styleId="Heading-plainitalic">
    <w:name w:val="Heading-plain italic"/>
    <w:basedOn w:val="Heading-plainbold"/>
    <w:rPr>
      <w:b w:val="0"/>
      <w:bCs w:val="0"/>
    </w:rPr>
  </w:style>
  <w:style w:type="paragraph" w:styleId="TOC1">
    <w:name w:val="toc 1"/>
    <w:basedOn w:val="Normal"/>
    <w:next w:val="Normal"/>
    <w:autoRedefine/>
    <w:semiHidden/>
    <w:rsid w:val="00D200AB"/>
    <w:pPr>
      <w:ind w:left="720" w:hanging="720"/>
    </w:pPr>
    <w:rPr>
      <w:caps/>
    </w:rPr>
  </w:style>
  <w:style w:type="paragraph" w:styleId="TOC2">
    <w:name w:val="toc 2"/>
    <w:basedOn w:val="Normal"/>
    <w:next w:val="Normal"/>
    <w:autoRedefine/>
    <w:semiHidden/>
    <w:rsid w:val="00D200AB"/>
    <w:pPr>
      <w:tabs>
        <w:tab w:val="right" w:leader="dot" w:pos="9356"/>
      </w:tabs>
      <w:ind w:left="1440" w:hanging="720"/>
    </w:pPr>
    <w:rPr>
      <w:noProof/>
      <w:szCs w:val="22"/>
    </w:rPr>
  </w:style>
  <w:style w:type="paragraph" w:styleId="TOC3">
    <w:name w:val="toc 3"/>
    <w:basedOn w:val="Normal"/>
    <w:next w:val="Normal"/>
    <w:autoRedefine/>
    <w:semiHidden/>
    <w:rsid w:val="00D200AB"/>
    <w:pPr>
      <w:ind w:left="2160" w:hanging="720"/>
    </w:pPr>
  </w:style>
  <w:style w:type="paragraph" w:styleId="Header">
    <w:name w:val="header"/>
    <w:basedOn w:val="Normal"/>
    <w:rsid w:val="00D200AB"/>
    <w:pPr>
      <w:tabs>
        <w:tab w:val="center" w:pos="4320"/>
        <w:tab w:val="right" w:pos="8640"/>
      </w:tabs>
    </w:pPr>
  </w:style>
  <w:style w:type="paragraph" w:customStyle="1" w:styleId="HEADINGNOTFORTOC">
    <w:name w:val="HEADING (NOT FOR TOC)"/>
    <w:basedOn w:val="Heading1"/>
    <w:next w:val="Heading2"/>
    <w:rsid w:val="00D200AB"/>
  </w:style>
  <w:style w:type="character" w:customStyle="1" w:styleId="Document5">
    <w:name w:val="Document 5"/>
    <w:basedOn w:val="DefaultParagraphFont"/>
  </w:style>
  <w:style w:type="paragraph" w:customStyle="1" w:styleId="Paragraph">
    <w:name w:val="Paragraph"/>
    <w:basedOn w:val="Normal"/>
    <w:pPr>
      <w:spacing w:before="120" w:after="120"/>
    </w:p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firstLine="720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textnoindent">
    <w:name w:val="body text (no indent)"/>
    <w:basedOn w:val="Normal"/>
    <w:pPr>
      <w:widowControl w:val="0"/>
      <w:overflowPunct w:val="0"/>
      <w:autoSpaceDE w:val="0"/>
      <w:autoSpaceDN w:val="0"/>
      <w:adjustRightInd w:val="0"/>
      <w:spacing w:before="120" w:after="120"/>
      <w:textAlignment w:val="baseline"/>
    </w:pPr>
    <w:rPr>
      <w:szCs w:val="20"/>
      <w:lang w:eastAsia="de-DE"/>
    </w:rPr>
  </w:style>
  <w:style w:type="paragraph" w:styleId="BodyText2">
    <w:name w:val="Body Text 2"/>
    <w:basedOn w:val="Normal"/>
    <w:rPr>
      <w:i/>
      <w:iCs/>
    </w:rPr>
  </w:style>
  <w:style w:type="paragraph" w:styleId="BodyText3">
    <w:name w:val="Body Text 3"/>
    <w:basedOn w:val="Normal"/>
    <w:pPr>
      <w:jc w:val="center"/>
    </w:pPr>
    <w:rPr>
      <w:sz w:val="28"/>
    </w:rPr>
  </w:style>
  <w:style w:type="character" w:customStyle="1" w:styleId="BodyTextChar">
    <w:name w:val="Body Text Char"/>
    <w:rPr>
      <w:iCs/>
      <w:sz w:val="22"/>
      <w:szCs w:val="24"/>
      <w:lang w:val="en-GB" w:eastAsia="en-US" w:bidi="ar-SA"/>
    </w:rPr>
  </w:style>
  <w:style w:type="paragraph" w:customStyle="1" w:styleId="Bodytextitalic">
    <w:name w:val="Body text italic"/>
    <w:basedOn w:val="BodyText"/>
    <w:rPr>
      <w:i/>
      <w:iCs w:val="0"/>
    </w:rPr>
  </w:style>
  <w:style w:type="paragraph" w:customStyle="1" w:styleId="boxbody">
    <w:name w:val="boxbody"/>
    <w:basedOn w:val="Normal"/>
    <w:pPr>
      <w:spacing w:before="100" w:beforeAutospacing="1" w:after="100" w:afterAutospacing="1"/>
      <w:ind w:left="612" w:right="612"/>
    </w:pPr>
    <w:rPr>
      <w:rFonts w:ascii="Helvetica" w:eastAsia="Arial Unicode MS" w:hAnsi="Helvetica" w:cs="Arial Unicode MS"/>
      <w:sz w:val="18"/>
      <w:szCs w:val="18"/>
    </w:rPr>
  </w:style>
  <w:style w:type="character" w:styleId="FollowedHyperlink">
    <w:name w:val="FollowedHyperlink"/>
    <w:rsid w:val="00D200AB"/>
    <w:rPr>
      <w:color w:val="800080"/>
      <w:u w:val="single"/>
    </w:rPr>
  </w:style>
  <w:style w:type="paragraph" w:customStyle="1" w:styleId="HEADING">
    <w:name w:val="HEADING"/>
    <w:basedOn w:val="Normal"/>
    <w:rsid w:val="00D200AB"/>
    <w:pPr>
      <w:keepNext/>
      <w:spacing w:before="240" w:after="120"/>
      <w:jc w:val="center"/>
    </w:pPr>
    <w:rPr>
      <w:b/>
      <w:bCs/>
      <w:caps/>
    </w:rPr>
  </w:style>
  <w:style w:type="paragraph" w:customStyle="1" w:styleId="Heading-plain">
    <w:name w:val="Heading - plain"/>
    <w:basedOn w:val="Heading2"/>
    <w:next w:val="BodyText"/>
    <w:pPr>
      <w:tabs>
        <w:tab w:val="clear" w:pos="720"/>
        <w:tab w:val="left" w:pos="900"/>
      </w:tabs>
    </w:pPr>
    <w:rPr>
      <w:rFonts w:eastAsia="Batang"/>
      <w:b w:val="0"/>
      <w:bCs w:val="0"/>
      <w:szCs w:val="20"/>
    </w:rPr>
  </w:style>
  <w:style w:type="paragraph" w:customStyle="1" w:styleId="Heading2noletter">
    <w:name w:val="Heading 2 (no letter)"/>
    <w:basedOn w:val="Heading2"/>
    <w:pPr>
      <w:tabs>
        <w:tab w:val="clear" w:pos="720"/>
      </w:tabs>
    </w:pPr>
  </w:style>
  <w:style w:type="character" w:customStyle="1" w:styleId="Heading2CharChar">
    <w:name w:val="Heading 2 Char Char"/>
    <w:rPr>
      <w:rFonts w:ascii="Arial" w:hAnsi="Arial" w:cs="Arial"/>
      <w:b/>
      <w:bCs/>
      <w:i/>
      <w:iCs/>
      <w:noProof w:val="0"/>
      <w:sz w:val="28"/>
      <w:szCs w:val="28"/>
      <w:lang w:val="en-US" w:eastAsia="en-US" w:bidi="ar-SA"/>
    </w:rPr>
  </w:style>
  <w:style w:type="paragraph" w:customStyle="1" w:styleId="Heading-plain0">
    <w:name w:val="Heading-plain"/>
    <w:basedOn w:val="Normal"/>
    <w:pPr>
      <w:spacing w:before="120" w:after="120"/>
      <w:jc w:val="center"/>
      <w:outlineLvl w:val="0"/>
    </w:pPr>
    <w:rPr>
      <w:i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Verdana" w:hAnsi="Verdana"/>
      <w:color w:val="000000"/>
      <w:sz w:val="18"/>
      <w:szCs w:val="18"/>
      <w:lang w:val="en-US"/>
    </w:rPr>
  </w:style>
  <w:style w:type="paragraph" w:customStyle="1" w:styleId="Para10">
    <w:name w:val="Para 1"/>
    <w:basedOn w:val="BodyText"/>
    <w:pPr>
      <w:ind w:firstLine="0"/>
    </w:pPr>
    <w:rPr>
      <w:rFonts w:eastAsia="MS Mincho"/>
      <w:bCs/>
      <w:iCs w:val="0"/>
      <w:szCs w:val="22"/>
    </w:rPr>
  </w:style>
  <w:style w:type="character" w:customStyle="1" w:styleId="Para1Char">
    <w:name w:val="Para 1 Char"/>
    <w:rPr>
      <w:rFonts w:eastAsia="MS Mincho"/>
      <w:bCs/>
      <w:iCs/>
      <w:sz w:val="22"/>
      <w:szCs w:val="22"/>
      <w:lang w:val="en-GB" w:eastAsia="en-US" w:bidi="ar-SA"/>
    </w:rPr>
  </w:style>
  <w:style w:type="paragraph" w:customStyle="1" w:styleId="Para2rev">
    <w:name w:val="Para 2 (rev)"/>
    <w:basedOn w:val="Normal"/>
    <w:pPr>
      <w:tabs>
        <w:tab w:val="num" w:pos="720"/>
      </w:tabs>
      <w:spacing w:after="120"/>
      <w:ind w:left="720" w:hanging="360"/>
    </w:pPr>
  </w:style>
  <w:style w:type="paragraph" w:customStyle="1" w:styleId="Paraofficial">
    <w:name w:val="Para official"/>
    <w:basedOn w:val="Normal"/>
    <w:pPr>
      <w:framePr w:hSpace="187" w:vSpace="187" w:wrap="notBeside" w:vAnchor="text" w:hAnchor="text" w:y="1"/>
      <w:numPr>
        <w:numId w:val="11"/>
      </w:numPr>
      <w:spacing w:before="240" w:after="240"/>
      <w:jc w:val="left"/>
    </w:pPr>
    <w:rPr>
      <w:szCs w:val="20"/>
    </w:rPr>
  </w:style>
  <w:style w:type="paragraph" w:customStyle="1" w:styleId="Para1Char0">
    <w:name w:val="Para1 Char"/>
    <w:basedOn w:val="Normal"/>
    <w:pPr>
      <w:tabs>
        <w:tab w:val="num" w:pos="720"/>
      </w:tabs>
      <w:spacing w:before="120" w:after="120"/>
      <w:ind w:left="360"/>
    </w:pPr>
    <w:rPr>
      <w:snapToGrid w:val="0"/>
      <w:szCs w:val="18"/>
    </w:rPr>
  </w:style>
  <w:style w:type="paragraph" w:customStyle="1" w:styleId="Para1-Annex">
    <w:name w:val="Para1-Annex"/>
    <w:basedOn w:val="Normal"/>
    <w:pPr>
      <w:numPr>
        <w:numId w:val="13"/>
      </w:numPr>
      <w:spacing w:after="120"/>
    </w:pPr>
    <w:rPr>
      <w:szCs w:val="22"/>
      <w:lang w:val="en-US"/>
    </w:rPr>
  </w:style>
  <w:style w:type="paragraph" w:customStyle="1" w:styleId="Para40">
    <w:name w:val="Para4"/>
    <w:basedOn w:val="Para3"/>
    <w:pPr>
      <w:numPr>
        <w:ilvl w:val="0"/>
        <w:numId w:val="0"/>
      </w:numPr>
      <w:tabs>
        <w:tab w:val="clear" w:pos="1980"/>
        <w:tab w:val="left" w:pos="2552"/>
        <w:tab w:val="num" w:pos="3540"/>
      </w:tabs>
      <w:ind w:left="2552" w:hanging="567"/>
    </w:pPr>
    <w:rPr>
      <w:lang w:val="en-US"/>
    </w:rPr>
  </w:style>
  <w:style w:type="character" w:styleId="Strong">
    <w:name w:val="Strong"/>
    <w:qFormat/>
    <w:rPr>
      <w:b/>
      <w:bCs/>
    </w:rPr>
  </w:style>
  <w:style w:type="paragraph" w:customStyle="1" w:styleId="StyleBodyTextTimesNewRoman11ptCharChar">
    <w:name w:val="Style Body Text + Times New Roman 11 pt Char Char"/>
    <w:basedOn w:val="BodyText"/>
    <w:rPr>
      <w:iCs w:val="0"/>
      <w:snapToGrid w:val="0"/>
      <w:color w:val="000000"/>
      <w:szCs w:val="22"/>
      <w:lang w:val="en-US"/>
    </w:rPr>
  </w:style>
  <w:style w:type="character" w:customStyle="1" w:styleId="StyleBodyTextTimesNewRoman11ptCharCharChar">
    <w:name w:val="Style Body Text + Times New Roman 11 pt Char Char Char"/>
    <w:rPr>
      <w:rFonts w:cs="Angsana New"/>
      <w:iCs/>
      <w:snapToGrid w:val="0"/>
      <w:color w:val="000000"/>
      <w:sz w:val="22"/>
      <w:szCs w:val="22"/>
      <w:lang w:val="en-US" w:eastAsia="en-US" w:bidi="ar-SA"/>
    </w:rPr>
  </w:style>
  <w:style w:type="paragraph" w:customStyle="1" w:styleId="StylePara1Firstline127cm">
    <w:name w:val="Style Para1 + First line:  1.27 cm"/>
    <w:basedOn w:val="Para1"/>
    <w:pPr>
      <w:numPr>
        <w:numId w:val="0"/>
      </w:numPr>
      <w:tabs>
        <w:tab w:val="num" w:pos="360"/>
      </w:tabs>
    </w:pPr>
    <w:rPr>
      <w:szCs w:val="20"/>
    </w:rPr>
  </w:style>
  <w:style w:type="paragraph" w:styleId="Title">
    <w:name w:val="Title"/>
    <w:basedOn w:val="Normal"/>
    <w:qFormat/>
    <w:pPr>
      <w:jc w:val="center"/>
    </w:pPr>
    <w:rPr>
      <w:i/>
      <w:iCs/>
    </w:rPr>
  </w:style>
  <w:style w:type="paragraph" w:styleId="TOC5">
    <w:name w:val="toc 5"/>
    <w:basedOn w:val="Normal"/>
    <w:next w:val="Normal"/>
    <w:autoRedefine/>
    <w:semiHidden/>
    <w:rsid w:val="00D200AB"/>
    <w:pPr>
      <w:spacing w:before="120" w:after="120"/>
      <w:ind w:left="880"/>
      <w:jc w:val="left"/>
    </w:pPr>
  </w:style>
  <w:style w:type="character" w:styleId="CommentReference">
    <w:name w:val="annotation reference"/>
    <w:rsid w:val="00D200AB"/>
    <w:rPr>
      <w:sz w:val="16"/>
    </w:rPr>
  </w:style>
  <w:style w:type="paragraph" w:styleId="CommentText">
    <w:name w:val="annotation text"/>
    <w:basedOn w:val="Normal"/>
    <w:link w:val="CommentTextChar"/>
    <w:rsid w:val="00D200AB"/>
    <w:pPr>
      <w:spacing w:after="120" w:line="240" w:lineRule="exact"/>
    </w:pPr>
  </w:style>
  <w:style w:type="character" w:customStyle="1" w:styleId="CommentTextChar">
    <w:name w:val="Comment Text Char"/>
    <w:link w:val="CommentText"/>
    <w:rsid w:val="00C64AFF"/>
    <w:rPr>
      <w:sz w:val="22"/>
      <w:szCs w:val="24"/>
      <w:lang w:val="en-GB"/>
    </w:rPr>
  </w:style>
  <w:style w:type="paragraph" w:styleId="ColorfulList-Accent1">
    <w:name w:val="Colorful List Accent 1"/>
    <w:basedOn w:val="Normal"/>
    <w:uiPriority w:val="34"/>
    <w:qFormat/>
    <w:rsid w:val="00B37EA2"/>
    <w:pPr>
      <w:ind w:left="720"/>
      <w:contextualSpacing/>
    </w:pPr>
  </w:style>
  <w:style w:type="paragraph" w:customStyle="1" w:styleId="heading2notforTOC">
    <w:name w:val="heading 2 not for TOC"/>
    <w:basedOn w:val="Heading3"/>
    <w:rsid w:val="00D200AB"/>
  </w:style>
  <w:style w:type="paragraph" w:customStyle="1" w:styleId="Heading4indent">
    <w:name w:val="Heading 4 indent"/>
    <w:basedOn w:val="Heading4"/>
    <w:rsid w:val="00D200AB"/>
    <w:pPr>
      <w:ind w:left="720"/>
      <w:outlineLvl w:val="9"/>
    </w:pPr>
    <w:rPr>
      <w:rFonts w:ascii="Times New Roman" w:hAnsi="Times New Roman"/>
    </w:rPr>
  </w:style>
  <w:style w:type="paragraph" w:customStyle="1" w:styleId="Para-decision">
    <w:name w:val="Para-decision"/>
    <w:basedOn w:val="Normal"/>
    <w:rsid w:val="00D200AB"/>
    <w:pPr>
      <w:tabs>
        <w:tab w:val="left" w:pos="-1440"/>
        <w:tab w:val="left" w:pos="-720"/>
        <w:tab w:val="left" w:pos="0"/>
        <w:tab w:val="left" w:pos="720"/>
        <w:tab w:val="left" w:pos="1440"/>
      </w:tabs>
      <w:suppressAutoHyphens/>
      <w:overflowPunct w:val="0"/>
      <w:autoSpaceDE w:val="0"/>
      <w:autoSpaceDN w:val="0"/>
      <w:adjustRightInd w:val="0"/>
      <w:spacing w:before="120" w:after="120"/>
      <w:ind w:firstLine="720"/>
      <w:jc w:val="left"/>
      <w:textAlignment w:val="baseline"/>
    </w:pPr>
    <w:rPr>
      <w:color w:val="000000"/>
    </w:rPr>
  </w:style>
  <w:style w:type="paragraph" w:customStyle="1" w:styleId="Quotationtextindented">
    <w:name w:val="Quotation text (indented)"/>
    <w:basedOn w:val="Normal"/>
    <w:qFormat/>
    <w:rsid w:val="00D200AB"/>
    <w:pPr>
      <w:spacing w:before="120" w:after="120"/>
      <w:ind w:left="720" w:right="720"/>
    </w:pPr>
    <w:rPr>
      <w:bCs/>
    </w:rPr>
  </w:style>
  <w:style w:type="paragraph" w:customStyle="1" w:styleId="recommendationheader">
    <w:name w:val="recommendation header"/>
    <w:basedOn w:val="Heading2"/>
    <w:qFormat/>
    <w:rsid w:val="00D200AB"/>
  </w:style>
  <w:style w:type="paragraph" w:customStyle="1" w:styleId="recommendationheaderlong">
    <w:name w:val="recommendation header long"/>
    <w:basedOn w:val="Heading2longmultiline"/>
    <w:qFormat/>
    <w:rsid w:val="00D200AB"/>
  </w:style>
  <w:style w:type="paragraph" w:customStyle="1" w:styleId="reference">
    <w:name w:val="reference"/>
    <w:basedOn w:val="Heading9"/>
    <w:qFormat/>
    <w:rsid w:val="00D200AB"/>
    <w:rPr>
      <w:i w:val="0"/>
      <w:sz w:val="18"/>
    </w:rPr>
  </w:style>
  <w:style w:type="character" w:customStyle="1" w:styleId="StyleFootnoteReferenceNounderline">
    <w:name w:val="Style Footnote Reference + No underline"/>
    <w:rsid w:val="00D200AB"/>
    <w:rPr>
      <w:sz w:val="18"/>
      <w:u w:val="none"/>
      <w:vertAlign w:val="baseline"/>
    </w:rPr>
  </w:style>
  <w:style w:type="paragraph" w:customStyle="1" w:styleId="tabletitle">
    <w:name w:val="table title"/>
    <w:basedOn w:val="Heading2"/>
    <w:qFormat/>
    <w:rsid w:val="00D200AB"/>
    <w:pPr>
      <w:jc w:val="left"/>
      <w:outlineLvl w:val="9"/>
    </w:pPr>
  </w:style>
  <w:style w:type="paragraph" w:styleId="TOAHeading">
    <w:name w:val="toa heading"/>
    <w:basedOn w:val="Normal"/>
    <w:next w:val="Normal"/>
    <w:rsid w:val="00D200AB"/>
    <w:pPr>
      <w:spacing w:before="120"/>
    </w:pPr>
    <w:rPr>
      <w:rFonts w:cs="Arial"/>
      <w:b/>
      <w:bCs/>
      <w:sz w:val="24"/>
    </w:rPr>
  </w:style>
  <w:style w:type="paragraph" w:styleId="TOC4">
    <w:name w:val="toc 4"/>
    <w:basedOn w:val="Normal"/>
    <w:next w:val="Normal"/>
    <w:autoRedefine/>
    <w:rsid w:val="00D200AB"/>
    <w:pPr>
      <w:spacing w:before="120" w:after="120"/>
      <w:ind w:left="660"/>
      <w:jc w:val="left"/>
    </w:pPr>
  </w:style>
  <w:style w:type="paragraph" w:styleId="TOC6">
    <w:name w:val="toc 6"/>
    <w:basedOn w:val="Normal"/>
    <w:next w:val="Normal"/>
    <w:autoRedefine/>
    <w:rsid w:val="00D200AB"/>
    <w:pPr>
      <w:spacing w:before="120" w:after="120"/>
      <w:ind w:left="1100"/>
      <w:jc w:val="left"/>
    </w:pPr>
  </w:style>
  <w:style w:type="paragraph" w:styleId="TOC7">
    <w:name w:val="toc 7"/>
    <w:basedOn w:val="Normal"/>
    <w:next w:val="Normal"/>
    <w:autoRedefine/>
    <w:rsid w:val="00D200AB"/>
    <w:pPr>
      <w:spacing w:before="120" w:after="120"/>
      <w:ind w:left="1320"/>
      <w:jc w:val="left"/>
    </w:pPr>
  </w:style>
  <w:style w:type="paragraph" w:styleId="TOC8">
    <w:name w:val="toc 8"/>
    <w:basedOn w:val="Normal"/>
    <w:next w:val="Normal"/>
    <w:autoRedefine/>
    <w:rsid w:val="00D200AB"/>
    <w:pPr>
      <w:spacing w:before="120" w:after="120"/>
      <w:ind w:left="1540"/>
      <w:jc w:val="left"/>
    </w:pPr>
  </w:style>
  <w:style w:type="paragraph" w:styleId="TOC9">
    <w:name w:val="toc 9"/>
    <w:basedOn w:val="Normal"/>
    <w:next w:val="Normal"/>
    <w:autoRedefine/>
    <w:rsid w:val="00D200AB"/>
    <w:pPr>
      <w:spacing w:before="120" w:after="120"/>
      <w:ind w:left="176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D96E3-9127-4232-AEC9-46776C448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agenda</vt:lpstr>
    </vt:vector>
  </TitlesOfParts>
  <Company>Biodiversity</Company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</dc:title>
  <dc:subject>INTERGOVERNMENTAL COMMITTEE FOR THE NAGOYA PROTOCOL ON ACCESS TO GENETIC RESOURCES AND THE FAIR AND EQUITABLE SHARING OF BENEFITS ARISING OUT OF THEIR UTILIZATION TO THE CONVENTION ON BIOLOGICAL DIVERSITY</dc:subject>
  <dc:creator>SCBD</dc:creator>
  <cp:keywords/>
  <cp:lastModifiedBy>Rodrigo Elias</cp:lastModifiedBy>
  <cp:revision>2</cp:revision>
  <cp:lastPrinted>2014-10-07T15:53:00Z</cp:lastPrinted>
  <dcterms:created xsi:type="dcterms:W3CDTF">2025-11-13T14:41:00Z</dcterms:created>
  <dcterms:modified xsi:type="dcterms:W3CDTF">2025-11-13T14:41:00Z</dcterms:modified>
</cp:coreProperties>
</file>