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tbl>
      <w:tblPr>
        <w:tblW w:w="9923" w:type="dxa"/>
        <w:tblInd w:w="-34" w:type="dxa"/>
        <w:tblLayout w:type="fixed"/>
        <w:tblLook w:val="0000" w:firstRow="0" w:lastRow="0" w:firstColumn="0" w:lastColumn="0" w:noHBand="0" w:noVBand="0"/>
      </w:tblPr>
      <w:tblGrid>
        <w:gridCol w:w="1213"/>
        <w:gridCol w:w="1244"/>
        <w:gridCol w:w="2610"/>
        <w:gridCol w:w="1879"/>
        <w:gridCol w:w="2977"/>
      </w:tblGrid>
      <w:tr w:rsidR="000A02B2" w:rsidRPr="00481BBE" w14:paraId="4B878F17" w14:textId="77777777" w:rsidTr="00481BBE">
        <w:tc>
          <w:tcPr>
            <w:tcW w:w="1213" w:type="dxa"/>
            <w:tcBorders>
              <w:bottom w:val="single" w:sz="8" w:space="0" w:color="000000"/>
            </w:tcBorders>
          </w:tcPr>
          <w:p w14:paraId="79F4EF58" w14:textId="77777777" w:rsidR="000A02B2" w:rsidRPr="00481BBE" w:rsidRDefault="00681D5B">
            <w:pPr>
              <w:pStyle w:val="BodyText2"/>
              <w:snapToGrid w:val="0"/>
              <w:rPr>
                <w:kern w:val="22"/>
              </w:rPr>
            </w:pPr>
            <w:r w:rsidRPr="00481BBE">
              <w:rPr>
                <w:noProof/>
                <w:kern w:val="22"/>
              </w:rPr>
              <w:drawing>
                <wp:inline distT="0" distB="0" distL="0" distR="0" wp14:anchorId="54A80E5B" wp14:editId="4E3BA09C">
                  <wp:extent cx="501650" cy="584200"/>
                  <wp:effectExtent l="0" t="0" r="0" b="0"/>
                  <wp:docPr id="1"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01650" cy="584200"/>
                          </a:xfrm>
                          <a:prstGeom prst="rect">
                            <a:avLst/>
                          </a:prstGeom>
                          <a:solidFill>
                            <a:srgbClr val="FFFFFF">
                              <a:alpha val="0"/>
                            </a:srgbClr>
                          </a:solidFill>
                          <a:ln>
                            <a:noFill/>
                          </a:ln>
                        </pic:spPr>
                      </pic:pic>
                    </a:graphicData>
                  </a:graphic>
                </wp:inline>
              </w:drawing>
            </w:r>
          </w:p>
        </w:tc>
        <w:tc>
          <w:tcPr>
            <w:tcW w:w="1244" w:type="dxa"/>
            <w:tcBorders>
              <w:bottom w:val="single" w:sz="8" w:space="0" w:color="000000"/>
            </w:tcBorders>
          </w:tcPr>
          <w:p w14:paraId="448EFE9A" w14:textId="77777777" w:rsidR="000A02B2" w:rsidRPr="00481BBE" w:rsidRDefault="00681D5B">
            <w:pPr>
              <w:snapToGrid w:val="0"/>
              <w:rPr>
                <w:rFonts w:ascii="Univers" w:hAnsi="Univers"/>
                <w:b/>
                <w:kern w:val="22"/>
                <w:sz w:val="32"/>
              </w:rPr>
            </w:pPr>
            <w:r w:rsidRPr="00481BBE">
              <w:rPr>
                <w:b/>
                <w:noProof/>
                <w:kern w:val="22"/>
              </w:rPr>
              <w:drawing>
                <wp:inline distT="0" distB="0" distL="0" distR="0" wp14:anchorId="608D5B8F" wp14:editId="29FE6374">
                  <wp:extent cx="41535350" cy="558800"/>
                  <wp:effectExtent l="0" t="0" r="0" b="0"/>
                  <wp:docPr id="2"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a:picLocks/>
                          </pic:cNvPicPr>
                        </pic:nvPicPr>
                        <pic:blipFill>
                          <a:blip r:embed="rId9">
                            <a:extLst>
                              <a:ext uri="{28A0092B-C50C-407E-A947-70E740481C1C}">
                                <a14:useLocalDpi xmlns:a14="http://schemas.microsoft.com/office/drawing/2010/main" val="0"/>
                              </a:ext>
                            </a:extLst>
                          </a:blip>
                          <a:srcRect l="4388" r="4388"/>
                          <a:stretch>
                            <a:fillRect/>
                          </a:stretch>
                        </pic:blipFill>
                        <pic:spPr bwMode="auto">
                          <a:xfrm>
                            <a:off x="0" y="0"/>
                            <a:ext cx="41535350" cy="558800"/>
                          </a:xfrm>
                          <a:prstGeom prst="rect">
                            <a:avLst/>
                          </a:prstGeom>
                          <a:solidFill>
                            <a:srgbClr val="FFFFFF">
                              <a:alpha val="0"/>
                            </a:srgbClr>
                          </a:solidFill>
                          <a:ln>
                            <a:noFill/>
                          </a:ln>
                        </pic:spPr>
                      </pic:pic>
                    </a:graphicData>
                  </a:graphic>
                </wp:inline>
              </w:drawing>
            </w:r>
          </w:p>
        </w:tc>
        <w:tc>
          <w:tcPr>
            <w:tcW w:w="7466" w:type="dxa"/>
            <w:gridSpan w:val="3"/>
            <w:tcBorders>
              <w:bottom w:val="single" w:sz="8" w:space="0" w:color="000000"/>
            </w:tcBorders>
          </w:tcPr>
          <w:p w14:paraId="3CCA288C" w14:textId="77777777" w:rsidR="000A02B2" w:rsidRPr="00481BBE" w:rsidRDefault="000A02B2" w:rsidP="00481BBE">
            <w:pPr>
              <w:tabs>
                <w:tab w:val="left" w:pos="1125"/>
                <w:tab w:val="right" w:pos="7250"/>
              </w:tabs>
              <w:snapToGrid w:val="0"/>
              <w:rPr>
                <w:rFonts w:ascii="Univers" w:hAnsi="Univers"/>
                <w:b/>
                <w:kern w:val="22"/>
                <w:sz w:val="32"/>
              </w:rPr>
            </w:pPr>
            <w:r w:rsidRPr="00481BBE">
              <w:rPr>
                <w:rFonts w:ascii="Univers" w:hAnsi="Univers"/>
                <w:b/>
                <w:kern w:val="22"/>
                <w:sz w:val="32"/>
              </w:rPr>
              <w:tab/>
            </w:r>
            <w:r w:rsidRPr="00481BBE">
              <w:rPr>
                <w:rFonts w:ascii="Univers" w:hAnsi="Univers"/>
                <w:b/>
                <w:kern w:val="22"/>
                <w:sz w:val="32"/>
              </w:rPr>
              <w:tab/>
              <w:t>CBD</w:t>
            </w:r>
          </w:p>
          <w:p w14:paraId="32824B17" w14:textId="77777777" w:rsidR="000A02B2" w:rsidRPr="00481BBE" w:rsidRDefault="000A02B2">
            <w:pPr>
              <w:jc w:val="right"/>
              <w:rPr>
                <w:b/>
                <w:kern w:val="22"/>
                <w:sz w:val="28"/>
              </w:rPr>
            </w:pPr>
          </w:p>
        </w:tc>
      </w:tr>
      <w:tr w:rsidR="000A02B2" w:rsidRPr="00481BBE" w14:paraId="63F90A5D" w14:textId="77777777" w:rsidTr="00481BBE">
        <w:trPr>
          <w:trHeight w:val="1693"/>
        </w:trPr>
        <w:tc>
          <w:tcPr>
            <w:tcW w:w="5067" w:type="dxa"/>
            <w:gridSpan w:val="3"/>
            <w:tcBorders>
              <w:bottom w:val="single" w:sz="32" w:space="0" w:color="000000"/>
            </w:tcBorders>
          </w:tcPr>
          <w:p w14:paraId="2A89481D" w14:textId="77777777" w:rsidR="000A02B2" w:rsidRPr="00481BBE" w:rsidRDefault="000A02B2">
            <w:pPr>
              <w:snapToGrid w:val="0"/>
              <w:rPr>
                <w:kern w:val="22"/>
                <w:sz w:val="28"/>
              </w:rPr>
            </w:pPr>
          </w:p>
          <w:p w14:paraId="6FA04372" w14:textId="77777777" w:rsidR="000A02B2" w:rsidRPr="00481BBE" w:rsidRDefault="00681D5B">
            <w:pPr>
              <w:rPr>
                <w:rFonts w:ascii="Univers" w:hAnsi="Univers"/>
                <w:kern w:val="22"/>
              </w:rPr>
            </w:pPr>
            <w:r w:rsidRPr="00481BBE">
              <w:rPr>
                <w:noProof/>
                <w:kern w:val="22"/>
              </w:rPr>
              <w:drawing>
                <wp:inline distT="0" distB="0" distL="0" distR="0" wp14:anchorId="1F3A1F33" wp14:editId="13CBBB00">
                  <wp:extent cx="2838450" cy="1079500"/>
                  <wp:effectExtent l="0" t="0" r="0" b="0"/>
                  <wp:docPr id="3"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
                          <pic:cNvPicPr>
                            <a:picLocks/>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838450" cy="1079500"/>
                          </a:xfrm>
                          <a:prstGeom prst="rect">
                            <a:avLst/>
                          </a:prstGeom>
                          <a:solidFill>
                            <a:srgbClr val="FFFFFF">
                              <a:alpha val="0"/>
                            </a:srgbClr>
                          </a:solidFill>
                          <a:ln>
                            <a:noFill/>
                          </a:ln>
                        </pic:spPr>
                      </pic:pic>
                    </a:graphicData>
                  </a:graphic>
                </wp:inline>
              </w:drawing>
            </w:r>
          </w:p>
          <w:p w14:paraId="72484E1E" w14:textId="77777777" w:rsidR="000A02B2" w:rsidRPr="00481BBE" w:rsidRDefault="000A02B2">
            <w:pPr>
              <w:rPr>
                <w:rFonts w:ascii="Univers" w:hAnsi="Univers"/>
                <w:kern w:val="22"/>
              </w:rPr>
            </w:pPr>
          </w:p>
        </w:tc>
        <w:tc>
          <w:tcPr>
            <w:tcW w:w="1879" w:type="dxa"/>
            <w:tcBorders>
              <w:bottom w:val="single" w:sz="32" w:space="0" w:color="000000"/>
            </w:tcBorders>
          </w:tcPr>
          <w:p w14:paraId="5AE9CFB4" w14:textId="77777777" w:rsidR="000A02B2" w:rsidRPr="00481BBE" w:rsidRDefault="000A02B2">
            <w:pPr>
              <w:pStyle w:val="Header"/>
              <w:tabs>
                <w:tab w:val="clear" w:pos="4320"/>
                <w:tab w:val="clear" w:pos="8640"/>
              </w:tabs>
              <w:snapToGrid w:val="0"/>
              <w:ind w:left="1478" w:right="-2943"/>
              <w:rPr>
                <w:b/>
                <w:kern w:val="22"/>
                <w:szCs w:val="22"/>
              </w:rPr>
            </w:pPr>
          </w:p>
          <w:p w14:paraId="56D22181" w14:textId="77777777" w:rsidR="000A02B2" w:rsidRPr="00481BBE" w:rsidRDefault="000A02B2">
            <w:pPr>
              <w:pStyle w:val="Header"/>
              <w:tabs>
                <w:tab w:val="clear" w:pos="4320"/>
                <w:tab w:val="clear" w:pos="8640"/>
              </w:tabs>
              <w:ind w:left="1478" w:right="-2943"/>
              <w:rPr>
                <w:b/>
                <w:kern w:val="22"/>
                <w:szCs w:val="22"/>
              </w:rPr>
            </w:pPr>
          </w:p>
          <w:p w14:paraId="565C2808" w14:textId="77777777" w:rsidR="000A02B2" w:rsidRPr="00481BBE" w:rsidRDefault="000A02B2">
            <w:pPr>
              <w:pStyle w:val="Header"/>
              <w:tabs>
                <w:tab w:val="clear" w:pos="4320"/>
                <w:tab w:val="clear" w:pos="8640"/>
              </w:tabs>
              <w:ind w:left="1478" w:right="-2943"/>
              <w:rPr>
                <w:b/>
                <w:kern w:val="22"/>
                <w:szCs w:val="22"/>
              </w:rPr>
            </w:pPr>
          </w:p>
          <w:p w14:paraId="28789067" w14:textId="77777777" w:rsidR="000A02B2" w:rsidRPr="00481BBE" w:rsidRDefault="000A02B2">
            <w:pPr>
              <w:pStyle w:val="Header"/>
              <w:tabs>
                <w:tab w:val="clear" w:pos="4320"/>
                <w:tab w:val="clear" w:pos="8640"/>
              </w:tabs>
              <w:ind w:right="-2943"/>
              <w:rPr>
                <w:b/>
                <w:kern w:val="22"/>
                <w:szCs w:val="22"/>
              </w:rPr>
            </w:pPr>
            <w:r w:rsidRPr="00481BBE">
              <w:rPr>
                <w:b/>
                <w:kern w:val="22"/>
                <w:szCs w:val="22"/>
              </w:rPr>
              <w:t xml:space="preserve">  </w:t>
            </w:r>
          </w:p>
          <w:p w14:paraId="34487C8F" w14:textId="77777777" w:rsidR="000A02B2" w:rsidRPr="00481BBE" w:rsidRDefault="000A02B2">
            <w:pPr>
              <w:pStyle w:val="Header"/>
              <w:tabs>
                <w:tab w:val="clear" w:pos="4320"/>
                <w:tab w:val="clear" w:pos="8640"/>
              </w:tabs>
              <w:ind w:left="1478" w:right="-2943"/>
              <w:rPr>
                <w:b/>
                <w:color w:val="FF0000"/>
                <w:kern w:val="22"/>
                <w:szCs w:val="22"/>
              </w:rPr>
            </w:pPr>
          </w:p>
        </w:tc>
        <w:tc>
          <w:tcPr>
            <w:tcW w:w="2977" w:type="dxa"/>
            <w:tcBorders>
              <w:bottom w:val="single" w:sz="32" w:space="0" w:color="000000"/>
            </w:tcBorders>
          </w:tcPr>
          <w:p w14:paraId="5BDF5C2E" w14:textId="77777777" w:rsidR="000A02B2" w:rsidRPr="00481BBE" w:rsidRDefault="000A02B2">
            <w:pPr>
              <w:snapToGrid w:val="0"/>
              <w:ind w:left="34"/>
              <w:rPr>
                <w:kern w:val="22"/>
                <w:szCs w:val="22"/>
              </w:rPr>
            </w:pPr>
            <w:r w:rsidRPr="00481BBE">
              <w:rPr>
                <w:kern w:val="22"/>
                <w:szCs w:val="22"/>
              </w:rPr>
              <w:t>Distr.</w:t>
            </w:r>
          </w:p>
          <w:p w14:paraId="22E02F92" w14:textId="77777777" w:rsidR="000A02B2" w:rsidRPr="00481BBE" w:rsidRDefault="00B95F61">
            <w:pPr>
              <w:ind w:left="34"/>
              <w:rPr>
                <w:kern w:val="22"/>
                <w:szCs w:val="22"/>
              </w:rPr>
            </w:pPr>
            <w:r w:rsidRPr="00481BBE">
              <w:rPr>
                <w:kern w:val="22"/>
                <w:szCs w:val="22"/>
              </w:rPr>
              <w:t>GENERAL</w:t>
            </w:r>
          </w:p>
          <w:p w14:paraId="0D8DCC3C" w14:textId="77777777" w:rsidR="000A02B2" w:rsidRPr="00481BBE" w:rsidRDefault="000A02B2">
            <w:pPr>
              <w:ind w:left="34"/>
              <w:rPr>
                <w:kern w:val="22"/>
                <w:szCs w:val="22"/>
              </w:rPr>
            </w:pPr>
          </w:p>
          <w:p w14:paraId="13E0C542" w14:textId="77777777" w:rsidR="000A02B2" w:rsidRPr="00481BBE" w:rsidRDefault="000A02B2">
            <w:pPr>
              <w:ind w:left="34"/>
              <w:rPr>
                <w:kern w:val="22"/>
                <w:szCs w:val="22"/>
              </w:rPr>
            </w:pPr>
            <w:r w:rsidRPr="00481BBE">
              <w:rPr>
                <w:kern w:val="22"/>
                <w:szCs w:val="22"/>
              </w:rPr>
              <w:t>UNEP/CBD/COP/</w:t>
            </w:r>
            <w:r w:rsidR="007D3044" w:rsidRPr="00481BBE">
              <w:rPr>
                <w:kern w:val="22"/>
                <w:szCs w:val="22"/>
              </w:rPr>
              <w:t>DEC/XII/</w:t>
            </w:r>
            <w:r w:rsidR="0052368C" w:rsidRPr="00481BBE">
              <w:rPr>
                <w:kern w:val="22"/>
                <w:szCs w:val="22"/>
              </w:rPr>
              <w:t>16</w:t>
            </w:r>
          </w:p>
          <w:p w14:paraId="30FC35F1" w14:textId="77777777" w:rsidR="000A02B2" w:rsidRPr="00481BBE" w:rsidRDefault="009305DE">
            <w:pPr>
              <w:ind w:left="34"/>
              <w:rPr>
                <w:kern w:val="22"/>
                <w:szCs w:val="22"/>
              </w:rPr>
            </w:pPr>
            <w:r w:rsidRPr="00481BBE">
              <w:rPr>
                <w:kern w:val="22"/>
                <w:szCs w:val="22"/>
              </w:rPr>
              <w:t>17</w:t>
            </w:r>
            <w:r w:rsidR="000A02B2" w:rsidRPr="00481BBE">
              <w:rPr>
                <w:kern w:val="22"/>
                <w:szCs w:val="22"/>
              </w:rPr>
              <w:t xml:space="preserve"> October 2014</w:t>
            </w:r>
          </w:p>
          <w:p w14:paraId="56AE2488" w14:textId="77777777" w:rsidR="000A02B2" w:rsidRPr="00481BBE" w:rsidRDefault="000A02B2">
            <w:pPr>
              <w:ind w:left="34"/>
              <w:rPr>
                <w:kern w:val="22"/>
                <w:szCs w:val="22"/>
              </w:rPr>
            </w:pPr>
          </w:p>
          <w:p w14:paraId="71BC6845" w14:textId="77777777" w:rsidR="000A02B2" w:rsidRPr="00481BBE" w:rsidRDefault="000A02B2">
            <w:pPr>
              <w:ind w:left="34"/>
              <w:rPr>
                <w:kern w:val="22"/>
                <w:szCs w:val="22"/>
              </w:rPr>
            </w:pPr>
            <w:r w:rsidRPr="00481BBE">
              <w:rPr>
                <w:kern w:val="22"/>
                <w:szCs w:val="22"/>
              </w:rPr>
              <w:t>ORIGINAL:  ENGLISH</w:t>
            </w:r>
          </w:p>
        </w:tc>
      </w:tr>
    </w:tbl>
    <w:p w14:paraId="640F6FD1" w14:textId="77777777" w:rsidR="000A02B2" w:rsidRPr="00481BBE" w:rsidRDefault="000A02B2">
      <w:pPr>
        <w:pStyle w:val="Cornernotation"/>
        <w:ind w:right="3973"/>
        <w:rPr>
          <w:caps/>
          <w:kern w:val="22"/>
          <w:szCs w:val="22"/>
        </w:rPr>
      </w:pPr>
      <w:r w:rsidRPr="00481BBE">
        <w:rPr>
          <w:caps/>
          <w:kern w:val="22"/>
          <w:szCs w:val="22"/>
        </w:rPr>
        <w:t xml:space="preserve">CONFERENCE OF THE PARTIES TO THE CONVENTION ON BIOLOGICAL DIVERSITY </w:t>
      </w:r>
    </w:p>
    <w:p w14:paraId="3F41A38E" w14:textId="77777777" w:rsidR="000A02B2" w:rsidRPr="00481BBE" w:rsidRDefault="000A02B2">
      <w:pPr>
        <w:pStyle w:val="Cornernotation"/>
        <w:ind w:right="3548"/>
        <w:rPr>
          <w:kern w:val="22"/>
          <w:szCs w:val="22"/>
        </w:rPr>
      </w:pPr>
      <w:r w:rsidRPr="00481BBE">
        <w:rPr>
          <w:kern w:val="22"/>
          <w:szCs w:val="22"/>
        </w:rPr>
        <w:t>Twelfth meeting</w:t>
      </w:r>
    </w:p>
    <w:p w14:paraId="542C5760" w14:textId="77777777" w:rsidR="000A02B2" w:rsidRPr="00481BBE" w:rsidRDefault="000A02B2">
      <w:pPr>
        <w:pStyle w:val="Cornernotation"/>
        <w:rPr>
          <w:kern w:val="22"/>
          <w:szCs w:val="22"/>
        </w:rPr>
      </w:pPr>
      <w:r w:rsidRPr="00481BBE">
        <w:rPr>
          <w:noProof/>
          <w:kern w:val="22"/>
          <w:szCs w:val="22"/>
        </w:rPr>
        <w:t>Pyeongchang</w:t>
      </w:r>
      <w:r w:rsidRPr="00481BBE">
        <w:rPr>
          <w:kern w:val="22"/>
          <w:szCs w:val="22"/>
        </w:rPr>
        <w:t>, Republic of Korea, 6-17 October 2014</w:t>
      </w:r>
    </w:p>
    <w:p w14:paraId="4420E115" w14:textId="77777777" w:rsidR="000A02B2" w:rsidRPr="00481BBE" w:rsidRDefault="000A02B2">
      <w:pPr>
        <w:pStyle w:val="Cornernotation"/>
        <w:ind w:right="3548"/>
        <w:rPr>
          <w:kern w:val="22"/>
          <w:szCs w:val="22"/>
        </w:rPr>
      </w:pPr>
      <w:r w:rsidRPr="00481BBE">
        <w:rPr>
          <w:kern w:val="22"/>
          <w:szCs w:val="22"/>
        </w:rPr>
        <w:t>Agenda item 22</w:t>
      </w:r>
    </w:p>
    <w:p w14:paraId="3C67A8FD" w14:textId="77777777" w:rsidR="007D3044" w:rsidRPr="00481BBE" w:rsidRDefault="007D3044">
      <w:pPr>
        <w:pStyle w:val="HEADINGNOTFORTOC"/>
        <w:rPr>
          <w:kern w:val="22"/>
          <w:szCs w:val="22"/>
        </w:rPr>
      </w:pPr>
      <w:r w:rsidRPr="00481BBE">
        <w:rPr>
          <w:kern w:val="22"/>
          <w:szCs w:val="22"/>
        </w:rPr>
        <w:t>DECISION ADOPTED BY THE CONFERENCE OF THE PARTIES TO THE CONVENTION ON BIOLOGICAL DIVERSITY</w:t>
      </w:r>
    </w:p>
    <w:p w14:paraId="6FCABAE3" w14:textId="77777777" w:rsidR="00FB349F" w:rsidRPr="00481BBE" w:rsidRDefault="003A6883" w:rsidP="00481BBE">
      <w:pPr>
        <w:pStyle w:val="recommendationheaderlong"/>
        <w:ind w:right="996" w:hanging="1418"/>
        <w:rPr>
          <w:kern w:val="22"/>
        </w:rPr>
      </w:pPr>
      <w:r w:rsidRPr="00481BBE">
        <w:rPr>
          <w:kern w:val="22"/>
        </w:rPr>
        <w:t>X</w:t>
      </w:r>
      <w:r w:rsidR="0052368C" w:rsidRPr="00481BBE">
        <w:rPr>
          <w:kern w:val="22"/>
        </w:rPr>
        <w:t>II/16</w:t>
      </w:r>
      <w:r w:rsidR="007D3044" w:rsidRPr="00481BBE">
        <w:rPr>
          <w:kern w:val="22"/>
        </w:rPr>
        <w:t>.</w:t>
      </w:r>
      <w:r w:rsidR="007D3044" w:rsidRPr="00481BBE">
        <w:rPr>
          <w:kern w:val="22"/>
        </w:rPr>
        <w:tab/>
      </w:r>
      <w:r w:rsidRPr="00481BBE">
        <w:rPr>
          <w:kern w:val="22"/>
        </w:rPr>
        <w:t>Invasive alien species</w:t>
      </w:r>
      <w:r w:rsidR="00FB349F" w:rsidRPr="00481BBE">
        <w:rPr>
          <w:kern w:val="22"/>
        </w:rPr>
        <w:t>: management of risks associated with introduction of alien species as pets, aquarium and terrarium species, and as live bait and live food, and related issues</w:t>
      </w:r>
    </w:p>
    <w:p w14:paraId="4F709385" w14:textId="77777777" w:rsidR="000A02B2" w:rsidRPr="00481BBE" w:rsidRDefault="000A02B2">
      <w:pPr>
        <w:keepNext/>
        <w:suppressLineNumbers/>
        <w:spacing w:before="120" w:after="120"/>
        <w:ind w:firstLine="720"/>
        <w:rPr>
          <w:i/>
          <w:kern w:val="22"/>
          <w:szCs w:val="22"/>
        </w:rPr>
      </w:pPr>
      <w:r w:rsidRPr="00481BBE">
        <w:rPr>
          <w:i/>
          <w:kern w:val="22"/>
          <w:szCs w:val="22"/>
        </w:rPr>
        <w:t>The Conference of the Parties,</w:t>
      </w:r>
    </w:p>
    <w:p w14:paraId="2CD8354D" w14:textId="77777777" w:rsidR="000A02B2" w:rsidRPr="00481BBE" w:rsidRDefault="000A02B2">
      <w:pPr>
        <w:suppressLineNumbers/>
        <w:spacing w:before="120" w:after="120"/>
        <w:ind w:firstLine="720"/>
        <w:rPr>
          <w:kern w:val="22"/>
          <w:szCs w:val="22"/>
        </w:rPr>
      </w:pPr>
      <w:r w:rsidRPr="00481BBE">
        <w:rPr>
          <w:i/>
          <w:kern w:val="22"/>
          <w:szCs w:val="22"/>
        </w:rPr>
        <w:t>Recognizing</w:t>
      </w:r>
      <w:r w:rsidRPr="00481BBE">
        <w:rPr>
          <w:kern w:val="22"/>
          <w:szCs w:val="22"/>
        </w:rPr>
        <w:t xml:space="preserve"> the negative impacts of invasive alien species introduced as pets, aquarium and terrarium species, and as live bait and live food, on biodiversity,</w:t>
      </w:r>
      <w:r w:rsidRPr="00481BBE">
        <w:rPr>
          <w:i/>
          <w:kern w:val="22"/>
          <w:szCs w:val="22"/>
        </w:rPr>
        <w:t xml:space="preserve"> </w:t>
      </w:r>
      <w:r w:rsidRPr="00481BBE">
        <w:rPr>
          <w:kern w:val="22"/>
          <w:szCs w:val="22"/>
        </w:rPr>
        <w:t>and the risk of escape and release,</w:t>
      </w:r>
    </w:p>
    <w:p w14:paraId="7D819898" w14:textId="77777777" w:rsidR="000A02B2" w:rsidRPr="00481BBE" w:rsidRDefault="000A02B2" w:rsidP="00BA131C">
      <w:pPr>
        <w:suppressLineNumbers/>
        <w:spacing w:before="120" w:after="120"/>
        <w:ind w:firstLine="720"/>
        <w:rPr>
          <w:kern w:val="22"/>
          <w:szCs w:val="22"/>
        </w:rPr>
      </w:pPr>
      <w:r w:rsidRPr="00481BBE">
        <w:rPr>
          <w:i/>
          <w:kern w:val="22"/>
          <w:szCs w:val="22"/>
        </w:rPr>
        <w:t xml:space="preserve">Reaffirming </w:t>
      </w:r>
      <w:r w:rsidRPr="00481BBE">
        <w:rPr>
          <w:kern w:val="22"/>
          <w:szCs w:val="22"/>
        </w:rPr>
        <w:t xml:space="preserve">that the Guiding Principles for the Prevention, Introduction and Mitigation of Impacts of Alien Species that Threaten Ecosystems, Habitats or Species </w:t>
      </w:r>
      <w:r w:rsidR="00BA131C" w:rsidRPr="00481BBE">
        <w:rPr>
          <w:kern w:val="22"/>
          <w:szCs w:val="22"/>
        </w:rPr>
        <w:t xml:space="preserve">contained in the annex </w:t>
      </w:r>
      <w:r w:rsidRPr="00481BBE">
        <w:rPr>
          <w:kern w:val="22"/>
          <w:szCs w:val="22"/>
        </w:rPr>
        <w:t>to decision VI/23</w:t>
      </w:r>
      <w:r w:rsidR="00FB349F" w:rsidRPr="00481BBE">
        <w:rPr>
          <w:rStyle w:val="FootnoteReference0"/>
          <w:kern w:val="22"/>
          <w:sz w:val="22"/>
          <w:szCs w:val="22"/>
          <w:u w:val="none"/>
        </w:rPr>
        <w:footnoteReference w:customMarkFollows="1" w:id="1"/>
        <w:t>*</w:t>
      </w:r>
      <w:r w:rsidR="00FB349F" w:rsidRPr="00481BBE">
        <w:rPr>
          <w:kern w:val="22"/>
          <w:szCs w:val="22"/>
        </w:rPr>
        <w:t xml:space="preserve"> c</w:t>
      </w:r>
      <w:r w:rsidRPr="00481BBE">
        <w:rPr>
          <w:kern w:val="22"/>
          <w:szCs w:val="22"/>
        </w:rPr>
        <w:t>ontinue to provide guidance to Parties, other Governments, relevant organizations and all biodiversity stakeholders,</w:t>
      </w:r>
    </w:p>
    <w:p w14:paraId="6FC80650" w14:textId="77777777" w:rsidR="00FF2A2F" w:rsidRPr="00481BBE" w:rsidRDefault="000A02B2">
      <w:pPr>
        <w:suppressLineNumbers/>
        <w:spacing w:before="120" w:after="120"/>
        <w:ind w:firstLine="720"/>
        <w:rPr>
          <w:kern w:val="22"/>
          <w:szCs w:val="22"/>
        </w:rPr>
      </w:pPr>
      <w:r w:rsidRPr="00481BBE">
        <w:rPr>
          <w:i/>
          <w:kern w:val="22"/>
          <w:szCs w:val="22"/>
        </w:rPr>
        <w:t>Recalling</w:t>
      </w:r>
      <w:r w:rsidRPr="00481BBE">
        <w:rPr>
          <w:kern w:val="22"/>
          <w:szCs w:val="22"/>
        </w:rPr>
        <w:t xml:space="preserve"> its encouragement to Parties, in decision IX/4, to make use of the risk assessment guidance and other procedures and standards developed by the International Plant Protection Convention, the World Organisation for Animal Health and other relevant organizations,</w:t>
      </w:r>
    </w:p>
    <w:p w14:paraId="67A71815" w14:textId="77777777" w:rsidR="00FF2A2F" w:rsidRPr="00481BBE" w:rsidRDefault="00FF2A2F">
      <w:pPr>
        <w:suppressLineNumbers/>
        <w:spacing w:before="120" w:after="120"/>
        <w:ind w:firstLine="720"/>
        <w:rPr>
          <w:kern w:val="22"/>
          <w:szCs w:val="22"/>
        </w:rPr>
        <w:sectPr w:rsidR="00FF2A2F" w:rsidRPr="00481BBE" w:rsidSect="00481BBE">
          <w:headerReference w:type="even" r:id="rId11"/>
          <w:headerReference w:type="default" r:id="rId12"/>
          <w:footerReference w:type="even" r:id="rId13"/>
          <w:footerReference w:type="default" r:id="rId14"/>
          <w:headerReference w:type="first" r:id="rId15"/>
          <w:footerReference w:type="first" r:id="rId16"/>
          <w:footnotePr>
            <w:numFmt w:val="chicago"/>
          </w:footnotePr>
          <w:type w:val="continuous"/>
          <w:pgSz w:w="12240" w:h="15840"/>
          <w:pgMar w:top="1116" w:right="1440" w:bottom="1116" w:left="1440" w:header="864" w:footer="864" w:gutter="0"/>
          <w:cols w:space="720"/>
          <w:titlePg/>
          <w:docGrid w:linePitch="299"/>
        </w:sectPr>
      </w:pPr>
    </w:p>
    <w:p w14:paraId="1053C290" w14:textId="77777777" w:rsidR="000A02B2" w:rsidRPr="00481BBE" w:rsidRDefault="000A02B2">
      <w:pPr>
        <w:suppressLineNumbers/>
        <w:spacing w:before="120" w:after="120"/>
        <w:ind w:firstLine="720"/>
        <w:rPr>
          <w:kern w:val="22"/>
          <w:szCs w:val="22"/>
        </w:rPr>
        <w:sectPr w:rsidR="000A02B2" w:rsidRPr="00481BBE" w:rsidSect="00FF2A2F">
          <w:type w:val="continuous"/>
          <w:pgSz w:w="12240" w:h="15840"/>
          <w:pgMar w:top="1116" w:right="1440" w:bottom="1116" w:left="1440" w:header="864" w:footer="864" w:gutter="0"/>
          <w:cols w:space="720"/>
          <w:docGrid w:linePitch="299"/>
        </w:sectPr>
      </w:pPr>
      <w:r w:rsidRPr="00481BBE">
        <w:rPr>
          <w:i/>
          <w:kern w:val="22"/>
          <w:szCs w:val="22"/>
        </w:rPr>
        <w:t>Also recalling</w:t>
      </w:r>
      <w:r w:rsidRPr="00481BBE">
        <w:rPr>
          <w:kern w:val="22"/>
          <w:szCs w:val="22"/>
        </w:rPr>
        <w:t xml:space="preserve"> the request to the Executive Secretary, in decision XI/28, to continue to pursue the tasks set out in paragraphs 11, 12 and 13 of decision IX/4 A and paragraph 13 of decision X/38, especially regarding progress in its relationship with standard-setting bodies recognized by the World Trade Organization (the International Plant Protection Convention, the World Organisation for Animal Health and the Codex </w:t>
      </w:r>
      <w:r w:rsidRPr="00481BBE">
        <w:rPr>
          <w:noProof/>
          <w:kern w:val="22"/>
          <w:szCs w:val="22"/>
        </w:rPr>
        <w:t>Alimentarius</w:t>
      </w:r>
      <w:r w:rsidRPr="00481BBE">
        <w:rPr>
          <w:kern w:val="22"/>
          <w:szCs w:val="22"/>
        </w:rPr>
        <w:t xml:space="preserve"> Commission), and other relevant organizations,</w:t>
      </w:r>
    </w:p>
    <w:p w14:paraId="785BB51F" w14:textId="77777777" w:rsidR="000A02B2" w:rsidRPr="00481BBE" w:rsidRDefault="000A02B2">
      <w:pPr>
        <w:suppressLineNumbers/>
        <w:spacing w:before="120" w:after="120"/>
        <w:ind w:firstLine="720"/>
        <w:rPr>
          <w:kern w:val="22"/>
          <w:szCs w:val="22"/>
        </w:rPr>
        <w:sectPr w:rsidR="000A02B2" w:rsidRPr="00481BBE" w:rsidSect="008B43D1">
          <w:headerReference w:type="even" r:id="rId17"/>
          <w:type w:val="continuous"/>
          <w:pgSz w:w="12240" w:h="15840"/>
          <w:pgMar w:top="1117" w:right="1440" w:bottom="1117" w:left="1440" w:header="862" w:footer="862" w:gutter="0"/>
          <w:cols w:space="720"/>
          <w:docGrid w:linePitch="299"/>
        </w:sectPr>
      </w:pPr>
      <w:r w:rsidRPr="00481BBE">
        <w:rPr>
          <w:kern w:val="22"/>
          <w:szCs w:val="22"/>
        </w:rPr>
        <w:lastRenderedPageBreak/>
        <w:t>1.</w:t>
      </w:r>
      <w:r w:rsidRPr="00481BBE">
        <w:rPr>
          <w:kern w:val="22"/>
          <w:szCs w:val="22"/>
        </w:rPr>
        <w:tab/>
      </w:r>
      <w:r w:rsidRPr="00481BBE">
        <w:rPr>
          <w:i/>
          <w:kern w:val="22"/>
          <w:szCs w:val="22"/>
        </w:rPr>
        <w:t xml:space="preserve">Adopts </w:t>
      </w:r>
      <w:r w:rsidRPr="00481BBE">
        <w:rPr>
          <w:kern w:val="22"/>
          <w:szCs w:val="22"/>
        </w:rPr>
        <w:t xml:space="preserve">the voluntary </w:t>
      </w:r>
      <w:r w:rsidR="00013BB7" w:rsidRPr="00481BBE">
        <w:rPr>
          <w:kern w:val="22"/>
          <w:szCs w:val="22"/>
        </w:rPr>
        <w:t>g</w:t>
      </w:r>
      <w:r w:rsidRPr="00481BBE">
        <w:rPr>
          <w:kern w:val="22"/>
          <w:szCs w:val="22"/>
        </w:rPr>
        <w:t xml:space="preserve">uidance on devising and implementing measures to address the risks associated with the introduction of alien species as pets, aquarium and terrarium species, and as live bait and live food, as contained in the annex to this decision, noting that measures taken under this </w:t>
      </w:r>
      <w:r w:rsidR="00013BB7" w:rsidRPr="00481BBE">
        <w:rPr>
          <w:kern w:val="22"/>
          <w:szCs w:val="22"/>
        </w:rPr>
        <w:t>g</w:t>
      </w:r>
      <w:r w:rsidRPr="00481BBE">
        <w:rPr>
          <w:kern w:val="22"/>
          <w:szCs w:val="22"/>
        </w:rPr>
        <w:t>uidance are to be consistent with applicable national and international obligations;</w:t>
      </w:r>
    </w:p>
    <w:p w14:paraId="714069E8" w14:textId="77777777" w:rsidR="000A02B2" w:rsidRPr="00481BBE" w:rsidRDefault="000A02B2">
      <w:pPr>
        <w:suppressLineNumbers/>
        <w:spacing w:before="120" w:after="120"/>
        <w:ind w:firstLine="720"/>
        <w:rPr>
          <w:kern w:val="22"/>
          <w:szCs w:val="22"/>
        </w:rPr>
      </w:pPr>
      <w:r w:rsidRPr="00481BBE">
        <w:rPr>
          <w:kern w:val="22"/>
          <w:szCs w:val="22"/>
        </w:rPr>
        <w:t>2.</w:t>
      </w:r>
      <w:r w:rsidRPr="00481BBE">
        <w:rPr>
          <w:kern w:val="22"/>
          <w:szCs w:val="22"/>
        </w:rPr>
        <w:tab/>
      </w:r>
      <w:r w:rsidRPr="00481BBE">
        <w:rPr>
          <w:i/>
          <w:kern w:val="22"/>
          <w:szCs w:val="22"/>
        </w:rPr>
        <w:t>Urges</w:t>
      </w:r>
      <w:r w:rsidRPr="00481BBE">
        <w:rPr>
          <w:kern w:val="22"/>
          <w:szCs w:val="22"/>
        </w:rPr>
        <w:t xml:space="preserve"> Parties, other Governments, and relevant organizations to disseminate this guidance widely and to promote its use for the development of regulations, codes of conduct  and/or other guidance, as appropriate, by States, industry and relevant organizations at all levels, and to facilitat</w:t>
      </w:r>
      <w:r w:rsidR="00734AB3">
        <w:rPr>
          <w:kern w:val="22"/>
          <w:szCs w:val="22"/>
        </w:rPr>
        <w:t>e the harmonization of measures;</w:t>
      </w:r>
    </w:p>
    <w:p w14:paraId="4F2BEF07" w14:textId="77777777" w:rsidR="000A02B2" w:rsidRPr="00481BBE" w:rsidRDefault="000A02B2">
      <w:pPr>
        <w:suppressLineNumbers/>
        <w:spacing w:before="120" w:after="120"/>
        <w:ind w:firstLine="720"/>
        <w:rPr>
          <w:kern w:val="22"/>
          <w:szCs w:val="22"/>
        </w:rPr>
      </w:pPr>
      <w:r w:rsidRPr="00481BBE">
        <w:rPr>
          <w:kern w:val="22"/>
          <w:szCs w:val="22"/>
        </w:rPr>
        <w:t>3.</w:t>
      </w:r>
      <w:r w:rsidRPr="00481BBE">
        <w:rPr>
          <w:kern w:val="22"/>
          <w:szCs w:val="22"/>
        </w:rPr>
        <w:tab/>
      </w:r>
      <w:r w:rsidRPr="00481BBE">
        <w:rPr>
          <w:i/>
          <w:kern w:val="22"/>
          <w:szCs w:val="22"/>
        </w:rPr>
        <w:t>Invites</w:t>
      </w:r>
      <w:r w:rsidRPr="00481BBE">
        <w:rPr>
          <w:kern w:val="22"/>
          <w:szCs w:val="22"/>
        </w:rPr>
        <w:t xml:space="preserve"> Parties, Governments and other relevant bodies to make available relevant information, including the results of risk assessments on invasive alien species and lists of species, as well as National Invasive Species Strategies and Action Plans</w:t>
      </w:r>
      <w:r w:rsidR="00B47F6C" w:rsidRPr="00481BBE">
        <w:rPr>
          <w:kern w:val="22"/>
          <w:szCs w:val="22"/>
        </w:rPr>
        <w:t>,</w:t>
      </w:r>
      <w:r w:rsidRPr="00481BBE">
        <w:rPr>
          <w:kern w:val="22"/>
          <w:szCs w:val="22"/>
        </w:rPr>
        <w:t xml:space="preserve"> through clearing-house mechanisms and/or the Global Invasive Alien Species Information Partnership;</w:t>
      </w:r>
    </w:p>
    <w:p w14:paraId="637DC239" w14:textId="77777777" w:rsidR="000A02B2" w:rsidRPr="00481BBE" w:rsidRDefault="000A02B2">
      <w:pPr>
        <w:suppressLineNumbers/>
        <w:spacing w:before="120" w:after="120"/>
        <w:ind w:firstLine="720"/>
        <w:rPr>
          <w:kern w:val="22"/>
          <w:szCs w:val="22"/>
        </w:rPr>
      </w:pPr>
      <w:r w:rsidRPr="00481BBE">
        <w:rPr>
          <w:kern w:val="22"/>
          <w:szCs w:val="22"/>
        </w:rPr>
        <w:t>4.</w:t>
      </w:r>
      <w:r w:rsidRPr="00481BBE">
        <w:rPr>
          <w:kern w:val="22"/>
          <w:szCs w:val="22"/>
        </w:rPr>
        <w:tab/>
      </w:r>
      <w:r w:rsidRPr="00481BBE">
        <w:rPr>
          <w:i/>
          <w:kern w:val="22"/>
          <w:szCs w:val="22"/>
        </w:rPr>
        <w:t>Requests</w:t>
      </w:r>
      <w:r w:rsidRPr="00481BBE">
        <w:rPr>
          <w:kern w:val="22"/>
          <w:szCs w:val="22"/>
        </w:rPr>
        <w:t xml:space="preserve"> the Executive Secretary, in collaboration with the Convention on International Trade in Endangered Species of Wild Fauna and Flora and relevant organizations, to explore ways and means to address the risks associated with trade in wildlife introduced as pets, aquarium and terrarium species, and as live bait and live food, noting that some trade is unregulated, unreported or illegal, including by enhancing cooperation with authorities responsible for the control of wildlife trade and to report to the Subsidiary Body on Scientific, Technical and Technological Advice at a meeting prior to thirteenth meeting of the Conference of the Parties.</w:t>
      </w:r>
    </w:p>
    <w:p w14:paraId="6A90E703" w14:textId="77777777" w:rsidR="000A02B2" w:rsidRPr="00481BBE" w:rsidRDefault="000A02B2">
      <w:pPr>
        <w:keepNext/>
        <w:suppressLineNumbers/>
        <w:spacing w:before="120" w:after="120"/>
        <w:jc w:val="center"/>
        <w:rPr>
          <w:i/>
          <w:kern w:val="22"/>
          <w:szCs w:val="22"/>
        </w:rPr>
      </w:pPr>
      <w:r w:rsidRPr="00481BBE">
        <w:rPr>
          <w:i/>
          <w:kern w:val="22"/>
          <w:szCs w:val="22"/>
        </w:rPr>
        <w:t>Annex</w:t>
      </w:r>
    </w:p>
    <w:p w14:paraId="53FB43EB" w14:textId="77777777" w:rsidR="000A02B2" w:rsidRPr="00481BBE" w:rsidRDefault="000A02B2">
      <w:pPr>
        <w:keepNext/>
        <w:suppressLineNumbers/>
        <w:spacing w:before="240" w:after="120"/>
        <w:jc w:val="center"/>
        <w:rPr>
          <w:b/>
          <w:kern w:val="22"/>
          <w:szCs w:val="22"/>
        </w:rPr>
      </w:pPr>
      <w:r w:rsidRPr="00481BBE">
        <w:rPr>
          <w:b/>
          <w:kern w:val="22"/>
          <w:szCs w:val="22"/>
        </w:rPr>
        <w:t>GUIDANCE ON DEVISING AND IMPLEMENTING MEASURES TO ADDRESS THE RISKS</w:t>
      </w:r>
      <w:r w:rsidRPr="00481BBE">
        <w:rPr>
          <w:b/>
          <w:kern w:val="22"/>
          <w:szCs w:val="22"/>
        </w:rPr>
        <w:br/>
        <w:t>ASSOCIATED WITH THE INTRODUCTION OF ALIEN SPECIES AS PETS, AQUARIUM</w:t>
      </w:r>
      <w:r w:rsidRPr="00481BBE">
        <w:rPr>
          <w:b/>
          <w:kern w:val="22"/>
          <w:szCs w:val="22"/>
        </w:rPr>
        <w:br/>
        <w:t>AND TERRARIUM SPECIES, AND AS LIVE BAIT AND LIVE FOOD</w:t>
      </w:r>
    </w:p>
    <w:p w14:paraId="69696270" w14:textId="77777777" w:rsidR="000A02B2" w:rsidRPr="00481BBE" w:rsidRDefault="000A02B2">
      <w:pPr>
        <w:keepNext/>
        <w:suppressLineNumbers/>
        <w:spacing w:before="120" w:after="120"/>
        <w:rPr>
          <w:i/>
          <w:kern w:val="22"/>
          <w:szCs w:val="22"/>
        </w:rPr>
      </w:pPr>
      <w:r w:rsidRPr="00481BBE">
        <w:rPr>
          <w:i/>
          <w:kern w:val="22"/>
          <w:szCs w:val="22"/>
        </w:rPr>
        <w:t>Objectives and nature of this guidance</w:t>
      </w:r>
    </w:p>
    <w:p w14:paraId="0AF25B40" w14:textId="77777777" w:rsidR="000A02B2" w:rsidRPr="00481BBE" w:rsidRDefault="000A02B2">
      <w:pPr>
        <w:numPr>
          <w:ilvl w:val="0"/>
          <w:numId w:val="2"/>
        </w:numPr>
        <w:suppressLineNumbers/>
        <w:tabs>
          <w:tab w:val="left" w:pos="0"/>
        </w:tabs>
        <w:snapToGrid w:val="0"/>
        <w:spacing w:before="120" w:after="120"/>
        <w:rPr>
          <w:kern w:val="22"/>
          <w:szCs w:val="22"/>
        </w:rPr>
      </w:pPr>
      <w:r w:rsidRPr="00481BBE">
        <w:rPr>
          <w:kern w:val="22"/>
          <w:szCs w:val="22"/>
        </w:rPr>
        <w:t>This guidance is intended to assist countries and relevant organizations in devising and implementing measures, at national, regional, subregional and other levels, to address the risks associated with the introduction of alien species as pets, aquarium and terrarium species, and as live bait and live food. It provides elements that relevant authorities may use for the development of regulations or codes of conduct, or that international organizations, industry and civil society organizations may use in voluntary codes of conduct and other guidance.</w:t>
      </w:r>
    </w:p>
    <w:p w14:paraId="0EA363B2" w14:textId="77777777" w:rsidR="000A02B2" w:rsidRPr="00481BBE" w:rsidRDefault="000A02B2">
      <w:pPr>
        <w:numPr>
          <w:ilvl w:val="0"/>
          <w:numId w:val="2"/>
        </w:numPr>
        <w:suppressLineNumbers/>
        <w:tabs>
          <w:tab w:val="left" w:pos="0"/>
        </w:tabs>
        <w:snapToGrid w:val="0"/>
        <w:spacing w:before="120" w:after="120"/>
        <w:rPr>
          <w:kern w:val="22"/>
          <w:szCs w:val="22"/>
        </w:rPr>
      </w:pPr>
      <w:r w:rsidRPr="00481BBE">
        <w:rPr>
          <w:kern w:val="22"/>
          <w:szCs w:val="22"/>
        </w:rPr>
        <w:t>The introduction of invasive alien species as pets, aquarium and terrarium species, and as live bait and live food, is a subcategory of “escape” as a pathway. Escape is the movement of organisms from captivity or confined conditions into the natural environment. Through this pathway the organisms are initially intentionally imported or transported into the confined conditions, then escape. This may include intentional, accidental or careless release of live organisms into the environment, including cases such as the disposal of live food into the environment or the use of live bait in non</w:t>
      </w:r>
      <w:r w:rsidRPr="00481BBE">
        <w:rPr>
          <w:kern w:val="22"/>
          <w:szCs w:val="22"/>
        </w:rPr>
        <w:noBreakHyphen/>
        <w:t>confined water systems.</w:t>
      </w:r>
    </w:p>
    <w:p w14:paraId="2D34550B" w14:textId="77777777" w:rsidR="000A02B2" w:rsidRPr="00481BBE" w:rsidRDefault="000A02B2">
      <w:pPr>
        <w:numPr>
          <w:ilvl w:val="0"/>
          <w:numId w:val="2"/>
        </w:numPr>
        <w:suppressLineNumbers/>
        <w:tabs>
          <w:tab w:val="left" w:pos="0"/>
        </w:tabs>
        <w:snapToGrid w:val="0"/>
        <w:spacing w:before="120" w:after="120"/>
        <w:rPr>
          <w:kern w:val="22"/>
          <w:szCs w:val="22"/>
        </w:rPr>
      </w:pPr>
      <w:r w:rsidRPr="00481BBE">
        <w:rPr>
          <w:kern w:val="22"/>
          <w:szCs w:val="22"/>
        </w:rPr>
        <w:t>For the purpose of this guidance, pets, aquarium and terrarium species, live bait and live food are understood to include lower taxa and hybrids (including hybrids between native organisms and organisms that are alien in the region to which they are intended to be imported or transported).</w:t>
      </w:r>
    </w:p>
    <w:p w14:paraId="4BAF555F" w14:textId="77777777" w:rsidR="000A02B2" w:rsidRPr="00481BBE" w:rsidRDefault="000A02B2">
      <w:pPr>
        <w:numPr>
          <w:ilvl w:val="0"/>
          <w:numId w:val="2"/>
        </w:numPr>
        <w:suppressLineNumbers/>
        <w:tabs>
          <w:tab w:val="left" w:pos="0"/>
        </w:tabs>
        <w:snapToGrid w:val="0"/>
        <w:spacing w:before="120" w:after="120"/>
        <w:rPr>
          <w:kern w:val="22"/>
          <w:szCs w:val="22"/>
        </w:rPr>
      </w:pPr>
      <w:r w:rsidRPr="00481BBE">
        <w:rPr>
          <w:kern w:val="22"/>
          <w:szCs w:val="22"/>
        </w:rPr>
        <w:t xml:space="preserve">This guidance is intended to apply to the import or transport to a country or distinct biogeographical area within the country, of pets, aquarium and terrarium species, live bait and live food, including </w:t>
      </w:r>
      <w:r w:rsidRPr="00481BBE">
        <w:rPr>
          <w:kern w:val="22"/>
          <w:szCs w:val="22"/>
        </w:rPr>
        <w:lastRenderedPageBreak/>
        <w:t>trade via the Internet. This guidance is relevant to States, relevant organizations, the industry and consumers, including all actors along the value chain (such as importers, breeders, wholesalers, retailers and customers). For the case of live food, this also includes restaurants and markets.</w:t>
      </w:r>
    </w:p>
    <w:p w14:paraId="206AF734" w14:textId="77777777" w:rsidR="000A02B2" w:rsidRPr="00481BBE" w:rsidRDefault="000A02B2">
      <w:pPr>
        <w:numPr>
          <w:ilvl w:val="0"/>
          <w:numId w:val="2"/>
        </w:numPr>
        <w:suppressLineNumbers/>
        <w:tabs>
          <w:tab w:val="left" w:pos="0"/>
        </w:tabs>
        <w:snapToGrid w:val="0"/>
        <w:spacing w:before="120" w:after="120"/>
        <w:rPr>
          <w:kern w:val="22"/>
          <w:szCs w:val="22"/>
        </w:rPr>
      </w:pPr>
      <w:r w:rsidRPr="00481BBE">
        <w:rPr>
          <w:kern w:val="22"/>
          <w:szCs w:val="22"/>
        </w:rPr>
        <w:t>This guidance is voluntary and is not intended to affect any existing national and international obligations. It is intended to be used in conjunction and mutually supportive with other relevant guidance, for example the Guiding Principles for the Prevention, Introduction and Mitigation of Impacts of Alien Species that Threaten Ecosystems, Habitats and Species; standards, guidelines and recommendations developed under the International Plant Protection Convention or under the World Organisation for Animal Health and Codex Alimentarius Commission and other relevant organizations; and relevant voluntary codes.</w:t>
      </w:r>
    </w:p>
    <w:p w14:paraId="429A49A0" w14:textId="77777777" w:rsidR="000A02B2" w:rsidRPr="00481BBE" w:rsidRDefault="000A02B2">
      <w:pPr>
        <w:keepNext/>
        <w:suppressLineNumbers/>
        <w:spacing w:before="120" w:after="120"/>
        <w:rPr>
          <w:i/>
          <w:kern w:val="22"/>
          <w:szCs w:val="22"/>
        </w:rPr>
      </w:pPr>
      <w:r w:rsidRPr="00481BBE">
        <w:rPr>
          <w:i/>
          <w:kern w:val="22"/>
          <w:szCs w:val="22"/>
        </w:rPr>
        <w:t>Prevention and responsible conduct</w:t>
      </w:r>
    </w:p>
    <w:p w14:paraId="340760C2" w14:textId="77777777" w:rsidR="000A02B2" w:rsidRPr="00481BBE" w:rsidRDefault="000A02B2">
      <w:pPr>
        <w:numPr>
          <w:ilvl w:val="0"/>
          <w:numId w:val="2"/>
        </w:numPr>
        <w:suppressLineNumbers/>
        <w:tabs>
          <w:tab w:val="left" w:pos="0"/>
        </w:tabs>
        <w:snapToGrid w:val="0"/>
        <w:spacing w:before="120" w:after="120"/>
        <w:rPr>
          <w:kern w:val="22"/>
          <w:szCs w:val="22"/>
        </w:rPr>
      </w:pPr>
      <w:r w:rsidRPr="00481BBE">
        <w:rPr>
          <w:kern w:val="22"/>
          <w:szCs w:val="22"/>
        </w:rPr>
        <w:t>Industry and all actors should be aware of the risk of alien organisms becoming invasive and their potential negative impacts on biodiversity at ecosystem, habitat, species and gene levels, and related impacts on human health, livelihoods and economies. States, industry and relevant organizations should undertake public awareness campaigns to this effect.</w:t>
      </w:r>
    </w:p>
    <w:p w14:paraId="1A17BFF4" w14:textId="77777777" w:rsidR="000A02B2" w:rsidRPr="00481BBE" w:rsidRDefault="000A02B2">
      <w:pPr>
        <w:numPr>
          <w:ilvl w:val="0"/>
          <w:numId w:val="2"/>
        </w:numPr>
        <w:suppressLineNumbers/>
        <w:tabs>
          <w:tab w:val="left" w:pos="0"/>
        </w:tabs>
        <w:snapToGrid w:val="0"/>
        <w:spacing w:before="120" w:after="120"/>
        <w:rPr>
          <w:kern w:val="22"/>
          <w:szCs w:val="22"/>
        </w:rPr>
      </w:pPr>
      <w:r w:rsidRPr="00481BBE">
        <w:rPr>
          <w:kern w:val="22"/>
          <w:szCs w:val="22"/>
        </w:rPr>
        <w:t>Generally, and as a priority, States, relevant organizations and the industry should promote the use of species that have been shown to be non-invasive in the case of species used as pets and aquarium and terrarium species.</w:t>
      </w:r>
    </w:p>
    <w:p w14:paraId="1C2BC670" w14:textId="77777777" w:rsidR="000A02B2" w:rsidRPr="00481BBE" w:rsidRDefault="000A02B2">
      <w:pPr>
        <w:numPr>
          <w:ilvl w:val="0"/>
          <w:numId w:val="2"/>
        </w:numPr>
        <w:suppressLineNumbers/>
        <w:tabs>
          <w:tab w:val="left" w:pos="0"/>
        </w:tabs>
        <w:snapToGrid w:val="0"/>
        <w:spacing w:before="120" w:after="120"/>
        <w:rPr>
          <w:kern w:val="22"/>
          <w:szCs w:val="22"/>
        </w:rPr>
      </w:pPr>
      <w:r w:rsidRPr="00481BBE">
        <w:rPr>
          <w:kern w:val="22"/>
          <w:szCs w:val="22"/>
        </w:rPr>
        <w:t>States, relevant organizations and the industry should discourage or prohibit the use of live bait that may pose a risk of invasion and/or spread of pathogens or parasites.</w:t>
      </w:r>
    </w:p>
    <w:p w14:paraId="56688583" w14:textId="77777777" w:rsidR="000A02B2" w:rsidRPr="00481BBE" w:rsidRDefault="000A02B2">
      <w:pPr>
        <w:numPr>
          <w:ilvl w:val="0"/>
          <w:numId w:val="2"/>
        </w:numPr>
        <w:suppressLineNumbers/>
        <w:tabs>
          <w:tab w:val="left" w:pos="0"/>
        </w:tabs>
        <w:snapToGrid w:val="0"/>
        <w:spacing w:before="120" w:after="120"/>
        <w:rPr>
          <w:kern w:val="22"/>
          <w:szCs w:val="22"/>
        </w:rPr>
      </w:pPr>
      <w:r w:rsidRPr="00481BBE">
        <w:rPr>
          <w:kern w:val="22"/>
          <w:szCs w:val="22"/>
        </w:rPr>
        <w:t>States, relevant organizations and the industry should raise awareness of buyers, potential buyers, suppliers, sellers consumers, and potential consumers on the importance of safe handling of, and appropriate care for, live organisms as pets, aquarium and terrarium species and of the safe handling and disposal of invasive species used as live bait or live food.</w:t>
      </w:r>
    </w:p>
    <w:p w14:paraId="02D6CFBB" w14:textId="77777777" w:rsidR="000A02B2" w:rsidRPr="00481BBE" w:rsidRDefault="000A02B2">
      <w:pPr>
        <w:numPr>
          <w:ilvl w:val="0"/>
          <w:numId w:val="2"/>
        </w:numPr>
        <w:suppressLineNumbers/>
        <w:tabs>
          <w:tab w:val="left" w:pos="0"/>
        </w:tabs>
        <w:snapToGrid w:val="0"/>
        <w:spacing w:before="120" w:after="120"/>
        <w:rPr>
          <w:kern w:val="22"/>
          <w:szCs w:val="22"/>
        </w:rPr>
      </w:pPr>
      <w:r w:rsidRPr="00481BBE">
        <w:rPr>
          <w:kern w:val="22"/>
          <w:szCs w:val="22"/>
        </w:rPr>
        <w:t>States, relevant organizations, the industry and consumers should handle any potentially invasive pet, aquarium and terrarium species, or species used as live bait and live food, responsibly and with utmost care. They should undertake, where possible and appropriate, the measures listed in paragraph 18 below.</w:t>
      </w:r>
    </w:p>
    <w:p w14:paraId="05EBE3F2" w14:textId="77777777" w:rsidR="000A02B2" w:rsidRPr="00481BBE" w:rsidRDefault="000A02B2">
      <w:pPr>
        <w:keepNext/>
        <w:suppressLineNumbers/>
        <w:spacing w:before="120" w:after="120"/>
        <w:rPr>
          <w:i/>
          <w:kern w:val="22"/>
          <w:szCs w:val="22"/>
        </w:rPr>
      </w:pPr>
      <w:r w:rsidRPr="00481BBE">
        <w:rPr>
          <w:i/>
          <w:kern w:val="22"/>
          <w:szCs w:val="22"/>
        </w:rPr>
        <w:t>Risk assessment and management</w:t>
      </w:r>
    </w:p>
    <w:p w14:paraId="4594786F" w14:textId="77777777" w:rsidR="000A02B2" w:rsidRPr="00481BBE" w:rsidRDefault="000A02B2">
      <w:pPr>
        <w:numPr>
          <w:ilvl w:val="0"/>
          <w:numId w:val="2"/>
        </w:numPr>
        <w:suppressLineNumbers/>
        <w:tabs>
          <w:tab w:val="left" w:pos="0"/>
        </w:tabs>
        <w:snapToGrid w:val="0"/>
        <w:spacing w:before="120" w:after="120"/>
        <w:rPr>
          <w:kern w:val="22"/>
          <w:szCs w:val="22"/>
        </w:rPr>
      </w:pPr>
      <w:r w:rsidRPr="00481BBE">
        <w:rPr>
          <w:kern w:val="22"/>
          <w:szCs w:val="22"/>
        </w:rPr>
        <w:t xml:space="preserve">When planning to import or transport pets, aquarium and terrarium species, live bait and live food to a country, or distinct </w:t>
      </w:r>
      <w:r w:rsidRPr="00481BBE">
        <w:rPr>
          <w:noProof/>
          <w:kern w:val="22"/>
          <w:szCs w:val="22"/>
        </w:rPr>
        <w:t>biogeographical</w:t>
      </w:r>
      <w:r w:rsidRPr="00481BBE">
        <w:rPr>
          <w:kern w:val="22"/>
          <w:szCs w:val="22"/>
        </w:rPr>
        <w:t xml:space="preserve"> area within a country, where they are non</w:t>
      </w:r>
      <w:r w:rsidRPr="00481BBE">
        <w:rPr>
          <w:kern w:val="22"/>
          <w:szCs w:val="22"/>
        </w:rPr>
        <w:noBreakHyphen/>
        <w:t xml:space="preserve">native, States, relevant organizations or the industry, should undertake a risk assessment. The risk assessment may draw on previously conducted assessments and other available information. The risk assessment should consider, </w:t>
      </w:r>
      <w:r w:rsidRPr="00481BBE">
        <w:rPr>
          <w:i/>
          <w:kern w:val="22"/>
          <w:szCs w:val="22"/>
        </w:rPr>
        <w:t>inter alia</w:t>
      </w:r>
      <w:r w:rsidRPr="00481BBE">
        <w:rPr>
          <w:kern w:val="22"/>
          <w:szCs w:val="22"/>
        </w:rPr>
        <w:t>:</w:t>
      </w:r>
    </w:p>
    <w:p w14:paraId="6BDD09AB" w14:textId="77777777" w:rsidR="000A02B2" w:rsidRPr="00481BBE" w:rsidRDefault="000A02B2">
      <w:pPr>
        <w:suppressLineNumbers/>
        <w:spacing w:before="120" w:after="120"/>
        <w:ind w:left="360" w:firstLine="360"/>
        <w:rPr>
          <w:kern w:val="22"/>
          <w:szCs w:val="22"/>
        </w:rPr>
      </w:pPr>
      <w:r w:rsidRPr="00481BBE">
        <w:rPr>
          <w:kern w:val="22"/>
          <w:szCs w:val="22"/>
        </w:rPr>
        <w:t>(a)</w:t>
      </w:r>
      <w:r w:rsidRPr="00481BBE">
        <w:rPr>
          <w:kern w:val="22"/>
          <w:szCs w:val="22"/>
        </w:rPr>
        <w:tab/>
        <w:t>The probability of escape of organisms, at any stage of their life cycle, from confined conditions (including through accidental or careless release);</w:t>
      </w:r>
    </w:p>
    <w:p w14:paraId="19C8C508" w14:textId="77777777" w:rsidR="000A02B2" w:rsidRPr="00481BBE" w:rsidRDefault="000A02B2">
      <w:pPr>
        <w:suppressLineNumbers/>
        <w:spacing w:before="120" w:after="120"/>
        <w:ind w:left="360" w:firstLine="360"/>
        <w:rPr>
          <w:kern w:val="22"/>
          <w:szCs w:val="22"/>
        </w:rPr>
      </w:pPr>
      <w:r w:rsidRPr="00481BBE">
        <w:rPr>
          <w:kern w:val="22"/>
          <w:szCs w:val="22"/>
        </w:rPr>
        <w:t>(b)</w:t>
      </w:r>
      <w:r w:rsidRPr="00481BBE">
        <w:rPr>
          <w:kern w:val="22"/>
          <w:szCs w:val="22"/>
        </w:rPr>
        <w:tab/>
        <w:t>The probability of establishment and spread of the species;</w:t>
      </w:r>
    </w:p>
    <w:p w14:paraId="463B8A90" w14:textId="77777777" w:rsidR="000A02B2" w:rsidRPr="00481BBE" w:rsidRDefault="000A02B2">
      <w:pPr>
        <w:suppressLineNumbers/>
        <w:spacing w:before="120" w:after="120"/>
        <w:ind w:left="360" w:firstLine="360"/>
        <w:rPr>
          <w:kern w:val="22"/>
          <w:szCs w:val="22"/>
        </w:rPr>
      </w:pPr>
      <w:r w:rsidRPr="00481BBE">
        <w:rPr>
          <w:kern w:val="22"/>
          <w:szCs w:val="22"/>
        </w:rPr>
        <w:t>(c)</w:t>
      </w:r>
      <w:r w:rsidRPr="00481BBE">
        <w:rPr>
          <w:kern w:val="22"/>
          <w:szCs w:val="22"/>
        </w:rPr>
        <w:tab/>
        <w:t>The impacts of establishment and spread of the species on biodiversity, including hybridization with native species leading to loss of genetic diversity, and related impacts on productive activities and human health and the significance of these impacts;</w:t>
      </w:r>
    </w:p>
    <w:p w14:paraId="753F9B2A" w14:textId="77777777" w:rsidR="000A02B2" w:rsidRPr="00481BBE" w:rsidRDefault="000A02B2">
      <w:pPr>
        <w:suppressLineNumbers/>
        <w:snapToGrid w:val="0"/>
        <w:spacing w:before="120" w:after="120"/>
        <w:ind w:left="360" w:firstLine="360"/>
        <w:rPr>
          <w:kern w:val="22"/>
          <w:szCs w:val="22"/>
        </w:rPr>
      </w:pPr>
      <w:r w:rsidRPr="00481BBE">
        <w:rPr>
          <w:kern w:val="22"/>
          <w:szCs w:val="22"/>
        </w:rPr>
        <w:lastRenderedPageBreak/>
        <w:t>(d)</w:t>
      </w:r>
      <w:r w:rsidRPr="00481BBE">
        <w:rPr>
          <w:kern w:val="22"/>
          <w:szCs w:val="22"/>
        </w:rPr>
        <w:tab/>
      </w:r>
      <w:r w:rsidR="00B47F6C" w:rsidRPr="00481BBE">
        <w:rPr>
          <w:kern w:val="22"/>
          <w:szCs w:val="22"/>
        </w:rPr>
        <w:t>R</w:t>
      </w:r>
      <w:r w:rsidRPr="00481BBE">
        <w:rPr>
          <w:kern w:val="22"/>
          <w:szCs w:val="22"/>
        </w:rPr>
        <w:t>isk regarding spread of pathogens and parasites.</w:t>
      </w:r>
    </w:p>
    <w:p w14:paraId="243086D5" w14:textId="77777777" w:rsidR="000A02B2" w:rsidRPr="00481BBE" w:rsidRDefault="000A02B2">
      <w:pPr>
        <w:numPr>
          <w:ilvl w:val="0"/>
          <w:numId w:val="2"/>
        </w:numPr>
        <w:suppressLineNumbers/>
        <w:tabs>
          <w:tab w:val="left" w:pos="0"/>
        </w:tabs>
        <w:snapToGrid w:val="0"/>
        <w:spacing w:before="120" w:after="120"/>
        <w:rPr>
          <w:kern w:val="22"/>
          <w:szCs w:val="22"/>
        </w:rPr>
      </w:pPr>
      <w:r w:rsidRPr="00481BBE">
        <w:rPr>
          <w:kern w:val="22"/>
          <w:szCs w:val="22"/>
        </w:rPr>
        <w:t>The assessment of the probability of escape should take into account the specific characteristics of the species as well as existing measures in place to retain it within confined conditions.</w:t>
      </w:r>
    </w:p>
    <w:p w14:paraId="74B1547F" w14:textId="77777777" w:rsidR="000A02B2" w:rsidRPr="00481BBE" w:rsidRDefault="000A02B2">
      <w:pPr>
        <w:numPr>
          <w:ilvl w:val="0"/>
          <w:numId w:val="2"/>
        </w:numPr>
        <w:suppressLineNumbers/>
        <w:tabs>
          <w:tab w:val="left" w:pos="0"/>
        </w:tabs>
        <w:snapToGrid w:val="0"/>
        <w:spacing w:before="120" w:after="120"/>
        <w:rPr>
          <w:kern w:val="22"/>
          <w:szCs w:val="22"/>
        </w:rPr>
      </w:pPr>
      <w:r w:rsidRPr="00481BBE">
        <w:rPr>
          <w:kern w:val="22"/>
          <w:szCs w:val="22"/>
        </w:rPr>
        <w:t xml:space="preserve">Where the risk assessment indicates that the risk associated with the pet, aquarium and terrarium species, live bait or live food is acceptable, the species may be imported or transported to a country or distinct </w:t>
      </w:r>
      <w:r w:rsidRPr="00481BBE">
        <w:rPr>
          <w:noProof/>
          <w:kern w:val="22"/>
          <w:szCs w:val="22"/>
        </w:rPr>
        <w:t>biogeographical</w:t>
      </w:r>
      <w:r w:rsidRPr="00481BBE">
        <w:rPr>
          <w:kern w:val="22"/>
          <w:szCs w:val="22"/>
        </w:rPr>
        <w:t xml:space="preserve"> area within a country. States, relevant organizations and the industry may need to repeat the risk assessment if new information becomes available that may change the outcome of the assessment.</w:t>
      </w:r>
    </w:p>
    <w:p w14:paraId="5203720A" w14:textId="77777777" w:rsidR="000A02B2" w:rsidRPr="00481BBE" w:rsidRDefault="000A02B2">
      <w:pPr>
        <w:numPr>
          <w:ilvl w:val="0"/>
          <w:numId w:val="2"/>
        </w:numPr>
        <w:suppressLineNumbers/>
        <w:tabs>
          <w:tab w:val="left" w:pos="0"/>
        </w:tabs>
        <w:snapToGrid w:val="0"/>
        <w:spacing w:before="120" w:after="120"/>
        <w:rPr>
          <w:kern w:val="22"/>
          <w:szCs w:val="22"/>
        </w:rPr>
      </w:pPr>
      <w:r w:rsidRPr="00481BBE">
        <w:rPr>
          <w:kern w:val="22"/>
          <w:szCs w:val="22"/>
        </w:rPr>
        <w:t>Where the risk assessment indicates that the risk associated with the pet, aquarium and terrarium species, live bait or live food is not acceptable, measures to manage the risk should be taken. They could include the requirement to undertake one or more of the actions listed in paragraph 18 below.</w:t>
      </w:r>
    </w:p>
    <w:p w14:paraId="693AC4AB" w14:textId="77777777" w:rsidR="000A02B2" w:rsidRPr="00481BBE" w:rsidRDefault="000A02B2">
      <w:pPr>
        <w:numPr>
          <w:ilvl w:val="0"/>
          <w:numId w:val="2"/>
        </w:numPr>
        <w:suppressLineNumbers/>
        <w:tabs>
          <w:tab w:val="left" w:pos="0"/>
        </w:tabs>
        <w:snapToGrid w:val="0"/>
        <w:spacing w:before="120" w:after="120"/>
        <w:rPr>
          <w:kern w:val="22"/>
          <w:szCs w:val="22"/>
        </w:rPr>
      </w:pPr>
      <w:r w:rsidRPr="00481BBE">
        <w:rPr>
          <w:kern w:val="22"/>
          <w:szCs w:val="22"/>
        </w:rPr>
        <w:t>Where the risk assessment indicates that the risk associated with the pet, aquarium and terrarium species, live bait or live food is not acceptable and risk management measures are not sufficient to lower the risk, the import or transport of the species as pets, aquarium and terrarium species, live bait or live food should not be permitted.</w:t>
      </w:r>
    </w:p>
    <w:p w14:paraId="0E97C890" w14:textId="77777777" w:rsidR="000A02B2" w:rsidRPr="00481BBE" w:rsidRDefault="000A02B2">
      <w:pPr>
        <w:numPr>
          <w:ilvl w:val="0"/>
          <w:numId w:val="2"/>
        </w:numPr>
        <w:suppressLineNumbers/>
        <w:snapToGrid w:val="0"/>
        <w:spacing w:before="120" w:after="120"/>
        <w:rPr>
          <w:kern w:val="22"/>
          <w:szCs w:val="22"/>
        </w:rPr>
      </w:pPr>
      <w:r w:rsidRPr="00481BBE">
        <w:rPr>
          <w:kern w:val="22"/>
          <w:szCs w:val="22"/>
        </w:rPr>
        <w:t>Alien species of pet, aquarium and terrarium species, live bait or live food that have not been subjected to a risk assessment should be treated as having the potential to become invasive.</w:t>
      </w:r>
    </w:p>
    <w:p w14:paraId="6FF5FA20" w14:textId="77777777" w:rsidR="000A02B2" w:rsidRPr="00481BBE" w:rsidRDefault="000A02B2">
      <w:pPr>
        <w:numPr>
          <w:ilvl w:val="0"/>
          <w:numId w:val="2"/>
        </w:numPr>
        <w:suppressLineNumbers/>
        <w:snapToGrid w:val="0"/>
        <w:spacing w:before="120" w:after="120"/>
        <w:rPr>
          <w:kern w:val="22"/>
          <w:szCs w:val="22"/>
        </w:rPr>
      </w:pPr>
      <w:r w:rsidRPr="00481BBE">
        <w:rPr>
          <w:kern w:val="22"/>
          <w:szCs w:val="22"/>
        </w:rPr>
        <w:t xml:space="preserve">The standards, guidelines and recommendations developed by the standard-setting organizations recognized by the Agreement on the Application of Sanitary and </w:t>
      </w:r>
      <w:r w:rsidRPr="00481BBE">
        <w:rPr>
          <w:noProof/>
          <w:kern w:val="22"/>
          <w:szCs w:val="22"/>
        </w:rPr>
        <w:t>Phytosanitary</w:t>
      </w:r>
      <w:r w:rsidRPr="00481BBE">
        <w:rPr>
          <w:kern w:val="22"/>
          <w:szCs w:val="22"/>
        </w:rPr>
        <w:t xml:space="preserve"> Measures of the World Trade Organization may be relevant in the conduct of risk assessments.</w:t>
      </w:r>
    </w:p>
    <w:p w14:paraId="4A899835" w14:textId="77777777" w:rsidR="000A02B2" w:rsidRPr="00481BBE" w:rsidRDefault="000A02B2">
      <w:pPr>
        <w:keepNext/>
        <w:suppressLineNumbers/>
        <w:spacing w:before="120" w:after="120"/>
        <w:rPr>
          <w:i/>
          <w:kern w:val="22"/>
          <w:szCs w:val="22"/>
        </w:rPr>
      </w:pPr>
      <w:r w:rsidRPr="00481BBE">
        <w:rPr>
          <w:i/>
          <w:kern w:val="22"/>
          <w:szCs w:val="22"/>
        </w:rPr>
        <w:t>Measures</w:t>
      </w:r>
    </w:p>
    <w:p w14:paraId="1BA10964" w14:textId="77777777" w:rsidR="000A02B2" w:rsidRPr="00481BBE" w:rsidRDefault="000A02B2">
      <w:pPr>
        <w:numPr>
          <w:ilvl w:val="0"/>
          <w:numId w:val="2"/>
        </w:numPr>
        <w:suppressLineNumbers/>
        <w:tabs>
          <w:tab w:val="left" w:pos="0"/>
        </w:tabs>
        <w:snapToGrid w:val="0"/>
        <w:spacing w:before="120" w:after="120"/>
        <w:rPr>
          <w:kern w:val="22"/>
          <w:szCs w:val="22"/>
        </w:rPr>
      </w:pPr>
      <w:r w:rsidRPr="00481BBE">
        <w:rPr>
          <w:kern w:val="22"/>
          <w:szCs w:val="22"/>
        </w:rPr>
        <w:t>A number of measures are available to address the risk</w:t>
      </w:r>
      <w:r w:rsidR="00B47F6C" w:rsidRPr="00481BBE">
        <w:rPr>
          <w:kern w:val="22"/>
          <w:szCs w:val="22"/>
        </w:rPr>
        <w:t>s</w:t>
      </w:r>
      <w:r w:rsidRPr="00481BBE">
        <w:rPr>
          <w:kern w:val="22"/>
          <w:szCs w:val="22"/>
        </w:rPr>
        <w:t xml:space="preserve"> associated with alien species introduced as pets, aquarium and terrarium species, live bait and live food. Examples of such measures include, inter alia:</w:t>
      </w:r>
    </w:p>
    <w:p w14:paraId="0BF1F688" w14:textId="77777777" w:rsidR="000A02B2" w:rsidRPr="00481BBE" w:rsidRDefault="000A02B2">
      <w:pPr>
        <w:suppressLineNumbers/>
        <w:spacing w:before="120" w:after="120"/>
        <w:ind w:left="360" w:firstLine="360"/>
        <w:rPr>
          <w:kern w:val="22"/>
          <w:szCs w:val="22"/>
        </w:rPr>
      </w:pPr>
      <w:r w:rsidRPr="00481BBE">
        <w:rPr>
          <w:kern w:val="22"/>
          <w:szCs w:val="22"/>
        </w:rPr>
        <w:t>(a)</w:t>
      </w:r>
      <w:r w:rsidRPr="00481BBE">
        <w:rPr>
          <w:kern w:val="22"/>
          <w:szCs w:val="22"/>
        </w:rPr>
        <w:tab/>
        <w:t>To ensure that efficient measures to prevent escape (for example, methods of secure confinement, handling, and transport) are in place;</w:t>
      </w:r>
    </w:p>
    <w:p w14:paraId="5C8B7188" w14:textId="77777777" w:rsidR="000A02B2" w:rsidRPr="00481BBE" w:rsidRDefault="000A02B2">
      <w:pPr>
        <w:suppressLineNumbers/>
        <w:spacing w:before="120" w:after="120"/>
        <w:ind w:left="360" w:firstLine="360"/>
        <w:rPr>
          <w:kern w:val="22"/>
          <w:szCs w:val="22"/>
        </w:rPr>
      </w:pPr>
      <w:r w:rsidRPr="00481BBE">
        <w:rPr>
          <w:kern w:val="22"/>
          <w:szCs w:val="22"/>
        </w:rPr>
        <w:t>(b)</w:t>
      </w:r>
      <w:r w:rsidRPr="00481BBE">
        <w:rPr>
          <w:kern w:val="22"/>
          <w:szCs w:val="22"/>
        </w:rPr>
        <w:tab/>
        <w:t xml:space="preserve">To raise awareness and develop capacity among all persons involved in transporting, handling, selling, using or keeping </w:t>
      </w:r>
      <w:r w:rsidR="00B47F6C" w:rsidRPr="00481BBE">
        <w:rPr>
          <w:kern w:val="22"/>
          <w:szCs w:val="22"/>
        </w:rPr>
        <w:t xml:space="preserve">a </w:t>
      </w:r>
      <w:r w:rsidRPr="00481BBE">
        <w:rPr>
          <w:kern w:val="22"/>
          <w:szCs w:val="22"/>
        </w:rPr>
        <w:t>species of its risk and appropriate measures to prevent escape (for example, methods of secure confinement, handling, and transport);</w:t>
      </w:r>
    </w:p>
    <w:p w14:paraId="6C8F5C19" w14:textId="77777777" w:rsidR="000A02B2" w:rsidRPr="00481BBE" w:rsidRDefault="000A02B2">
      <w:pPr>
        <w:suppressLineNumbers/>
        <w:spacing w:before="120" w:after="120"/>
        <w:ind w:left="360" w:firstLine="360"/>
        <w:rPr>
          <w:kern w:val="22"/>
          <w:szCs w:val="22"/>
        </w:rPr>
      </w:pPr>
      <w:r w:rsidRPr="00481BBE">
        <w:rPr>
          <w:kern w:val="22"/>
          <w:szCs w:val="22"/>
        </w:rPr>
        <w:t>(c)</w:t>
      </w:r>
      <w:r w:rsidRPr="00481BBE">
        <w:rPr>
          <w:kern w:val="22"/>
          <w:szCs w:val="22"/>
        </w:rPr>
        <w:tab/>
        <w:t xml:space="preserve">To discourage or prohibit users, consumers, owners, traders, and keepers of live organisms from releasing the </w:t>
      </w:r>
      <w:r w:rsidR="00B47F6C" w:rsidRPr="00481BBE">
        <w:rPr>
          <w:kern w:val="22"/>
          <w:szCs w:val="22"/>
        </w:rPr>
        <w:t xml:space="preserve">organisms </w:t>
      </w:r>
      <w:r w:rsidRPr="00481BBE">
        <w:rPr>
          <w:kern w:val="22"/>
          <w:szCs w:val="22"/>
        </w:rPr>
        <w:t>into the natural environment and, in the event of an escape, to urge or require them to take immediate measures to recapture the organism</w:t>
      </w:r>
      <w:r w:rsidR="00B47F6C" w:rsidRPr="00481BBE">
        <w:rPr>
          <w:kern w:val="22"/>
          <w:szCs w:val="22"/>
        </w:rPr>
        <w:t>s</w:t>
      </w:r>
      <w:r w:rsidRPr="00481BBE">
        <w:rPr>
          <w:kern w:val="22"/>
          <w:szCs w:val="22"/>
        </w:rPr>
        <w:t xml:space="preserve"> and, if appropriate, report the escape to the relevant authorities in order to facilitate a rapid response;</w:t>
      </w:r>
    </w:p>
    <w:p w14:paraId="52CD2849" w14:textId="77777777" w:rsidR="000A02B2" w:rsidRPr="00481BBE" w:rsidRDefault="000A02B2">
      <w:pPr>
        <w:suppressLineNumbers/>
        <w:spacing w:before="120" w:after="120"/>
        <w:ind w:left="360" w:firstLine="360"/>
        <w:rPr>
          <w:kern w:val="22"/>
          <w:szCs w:val="22"/>
        </w:rPr>
      </w:pPr>
      <w:r w:rsidRPr="00481BBE">
        <w:rPr>
          <w:kern w:val="22"/>
          <w:szCs w:val="22"/>
        </w:rPr>
        <w:t>(d)</w:t>
      </w:r>
      <w:r w:rsidRPr="00481BBE">
        <w:rPr>
          <w:kern w:val="22"/>
          <w:szCs w:val="22"/>
        </w:rPr>
        <w:tab/>
        <w:t>To provide secure and humane services for the return, resale, rehoming or disposal of undesired species;</w:t>
      </w:r>
    </w:p>
    <w:p w14:paraId="238F6671" w14:textId="77777777" w:rsidR="000A02B2" w:rsidRPr="00481BBE" w:rsidRDefault="000A02B2">
      <w:pPr>
        <w:suppressLineNumbers/>
        <w:spacing w:before="120" w:after="120"/>
        <w:ind w:left="360" w:firstLine="360"/>
        <w:rPr>
          <w:kern w:val="22"/>
          <w:szCs w:val="22"/>
        </w:rPr>
      </w:pPr>
      <w:r w:rsidRPr="00481BBE">
        <w:rPr>
          <w:kern w:val="22"/>
          <w:szCs w:val="22"/>
        </w:rPr>
        <w:t>(e)</w:t>
      </w:r>
      <w:r w:rsidRPr="00481BBE">
        <w:rPr>
          <w:kern w:val="22"/>
          <w:szCs w:val="22"/>
        </w:rPr>
        <w:tab/>
        <w:t>To ensure that appropriate response measures, including eradication and control, are in place to address potential introduction, establishment and spread;</w:t>
      </w:r>
    </w:p>
    <w:p w14:paraId="4F59C26F" w14:textId="77777777" w:rsidR="000A02B2" w:rsidRPr="00481BBE" w:rsidRDefault="000A02B2">
      <w:pPr>
        <w:suppressLineNumbers/>
        <w:spacing w:before="120" w:after="120"/>
        <w:ind w:left="360" w:firstLine="360"/>
        <w:rPr>
          <w:kern w:val="22"/>
          <w:szCs w:val="22"/>
        </w:rPr>
      </w:pPr>
      <w:r w:rsidRPr="00481BBE">
        <w:rPr>
          <w:kern w:val="22"/>
          <w:szCs w:val="22"/>
        </w:rPr>
        <w:t>(f)</w:t>
      </w:r>
      <w:r w:rsidRPr="00481BBE">
        <w:rPr>
          <w:kern w:val="22"/>
          <w:szCs w:val="22"/>
        </w:rPr>
        <w:tab/>
        <w:t>To ensure that appropriate and safe methods of disposal for live bait and live food are used by buyers and sellers;</w:t>
      </w:r>
    </w:p>
    <w:p w14:paraId="4184FDCE" w14:textId="77777777" w:rsidR="000A02B2" w:rsidRPr="00481BBE" w:rsidRDefault="000A02B2">
      <w:pPr>
        <w:suppressLineNumbers/>
        <w:spacing w:before="120" w:after="120"/>
        <w:ind w:left="360" w:firstLine="360"/>
        <w:rPr>
          <w:kern w:val="22"/>
          <w:szCs w:val="22"/>
        </w:rPr>
      </w:pPr>
      <w:r w:rsidRPr="00481BBE">
        <w:rPr>
          <w:kern w:val="22"/>
          <w:szCs w:val="22"/>
        </w:rPr>
        <w:lastRenderedPageBreak/>
        <w:t>(g)</w:t>
      </w:r>
      <w:r w:rsidRPr="00481BBE">
        <w:rPr>
          <w:kern w:val="22"/>
          <w:szCs w:val="22"/>
        </w:rPr>
        <w:tab/>
        <w:t>To ensure that appropriate control measures are taken to prevent illegal import, transit and export or re-export;</w:t>
      </w:r>
    </w:p>
    <w:p w14:paraId="2609ADBE" w14:textId="77777777" w:rsidR="000A02B2" w:rsidRPr="00481BBE" w:rsidRDefault="000A02B2">
      <w:pPr>
        <w:suppressLineNumbers/>
        <w:spacing w:before="120" w:after="120"/>
        <w:ind w:left="360" w:firstLine="360"/>
        <w:rPr>
          <w:kern w:val="22"/>
          <w:szCs w:val="22"/>
        </w:rPr>
      </w:pPr>
      <w:r w:rsidRPr="00481BBE">
        <w:rPr>
          <w:kern w:val="22"/>
          <w:szCs w:val="22"/>
        </w:rPr>
        <w:t>(h)</w:t>
      </w:r>
      <w:r w:rsidRPr="00481BBE">
        <w:rPr>
          <w:kern w:val="22"/>
          <w:szCs w:val="22"/>
        </w:rPr>
        <w:tab/>
        <w:t>To encourage the use, where appropriate, of sterile organisms as pets, aquarium and terrarium species, as live bait and live food;</w:t>
      </w:r>
    </w:p>
    <w:p w14:paraId="5C5B06B2" w14:textId="77777777" w:rsidR="000A02B2" w:rsidRPr="00481BBE" w:rsidRDefault="000A02B2">
      <w:pPr>
        <w:numPr>
          <w:ilvl w:val="0"/>
          <w:numId w:val="2"/>
        </w:numPr>
        <w:suppressLineNumbers/>
        <w:snapToGrid w:val="0"/>
        <w:spacing w:before="120" w:after="120"/>
        <w:rPr>
          <w:kern w:val="22"/>
          <w:szCs w:val="22"/>
        </w:rPr>
      </w:pPr>
      <w:r w:rsidRPr="00481BBE">
        <w:rPr>
          <w:kern w:val="22"/>
          <w:szCs w:val="22"/>
        </w:rPr>
        <w:t>All consignments of pet, aquarium and terrarium species, live bait or live food should clearly indicate the taxon (at the lowest known taxonomic rank and if available, the genotype, using the scientific name and the Taxonomic Serial Number or alternatives to such numbers</w:t>
      </w:r>
      <w:r w:rsidR="00B47F6C" w:rsidRPr="00481BBE">
        <w:rPr>
          <w:kern w:val="22"/>
          <w:szCs w:val="22"/>
        </w:rPr>
        <w:t>)</w:t>
      </w:r>
      <w:r w:rsidRPr="00481BBE">
        <w:rPr>
          <w:kern w:val="22"/>
          <w:szCs w:val="22"/>
        </w:rPr>
        <w:t>, as well as any relevant requirements on confinement, handling and transport.</w:t>
      </w:r>
    </w:p>
    <w:p w14:paraId="2B1CCF1B" w14:textId="77777777" w:rsidR="000A02B2" w:rsidRPr="00481BBE" w:rsidRDefault="000A02B2">
      <w:pPr>
        <w:numPr>
          <w:ilvl w:val="0"/>
          <w:numId w:val="2"/>
        </w:numPr>
        <w:suppressLineNumbers/>
        <w:tabs>
          <w:tab w:val="left" w:pos="0"/>
        </w:tabs>
        <w:snapToGrid w:val="0"/>
        <w:spacing w:before="120" w:after="120"/>
        <w:rPr>
          <w:kern w:val="22"/>
          <w:szCs w:val="22"/>
        </w:rPr>
      </w:pPr>
      <w:r w:rsidRPr="00481BBE">
        <w:rPr>
          <w:kern w:val="22"/>
          <w:szCs w:val="22"/>
        </w:rPr>
        <w:t>Consignments may be labelled as a potential hazard to biodiversity unless the species has been shown to be safe for import to the particular country or biogeographical region within the country in question.</w:t>
      </w:r>
    </w:p>
    <w:p w14:paraId="0B41FCA1" w14:textId="77777777" w:rsidR="000A02B2" w:rsidRPr="00481BBE" w:rsidRDefault="000A02B2">
      <w:pPr>
        <w:keepNext/>
        <w:suppressLineNumbers/>
        <w:spacing w:before="120" w:after="120"/>
        <w:rPr>
          <w:i/>
          <w:kern w:val="22"/>
          <w:szCs w:val="22"/>
        </w:rPr>
      </w:pPr>
      <w:r w:rsidRPr="00481BBE">
        <w:rPr>
          <w:i/>
          <w:kern w:val="22"/>
          <w:szCs w:val="22"/>
        </w:rPr>
        <w:t>Information sharing</w:t>
      </w:r>
    </w:p>
    <w:p w14:paraId="7D855A57" w14:textId="77777777" w:rsidR="000A02B2" w:rsidRPr="00481BBE" w:rsidRDefault="000A02B2">
      <w:pPr>
        <w:numPr>
          <w:ilvl w:val="0"/>
          <w:numId w:val="2"/>
        </w:numPr>
        <w:suppressLineNumbers/>
        <w:tabs>
          <w:tab w:val="left" w:pos="0"/>
        </w:tabs>
        <w:snapToGrid w:val="0"/>
        <w:spacing w:before="120" w:after="120"/>
        <w:rPr>
          <w:kern w:val="22"/>
          <w:szCs w:val="22"/>
        </w:rPr>
      </w:pPr>
      <w:r w:rsidRPr="00481BBE">
        <w:rPr>
          <w:kern w:val="22"/>
          <w:szCs w:val="22"/>
        </w:rPr>
        <w:t>The results of risk assessments should be made publicly available and shared among Parties through the clearing-house mechanism or other appropriate means.</w:t>
      </w:r>
    </w:p>
    <w:p w14:paraId="7FE7C219" w14:textId="77777777" w:rsidR="000A02B2" w:rsidRPr="00481BBE" w:rsidRDefault="000A02B2">
      <w:pPr>
        <w:numPr>
          <w:ilvl w:val="0"/>
          <w:numId w:val="2"/>
        </w:numPr>
        <w:suppressLineNumbers/>
        <w:tabs>
          <w:tab w:val="left" w:pos="0"/>
        </w:tabs>
        <w:snapToGrid w:val="0"/>
        <w:spacing w:before="120" w:after="120"/>
        <w:rPr>
          <w:kern w:val="22"/>
          <w:szCs w:val="22"/>
        </w:rPr>
      </w:pPr>
      <w:r w:rsidRPr="00481BBE">
        <w:rPr>
          <w:kern w:val="22"/>
          <w:szCs w:val="22"/>
        </w:rPr>
        <w:t xml:space="preserve">States could maintain lists of species shown to be safe for import into their territory or into particular biogeographical regions within their territory, and for specific sectors, including detailed information on their native range and a clear definition of the countries or </w:t>
      </w:r>
      <w:r w:rsidRPr="00481BBE">
        <w:rPr>
          <w:noProof/>
          <w:kern w:val="22"/>
          <w:szCs w:val="22"/>
        </w:rPr>
        <w:t>biogeographical</w:t>
      </w:r>
      <w:r w:rsidRPr="00481BBE">
        <w:rPr>
          <w:kern w:val="22"/>
          <w:szCs w:val="22"/>
        </w:rPr>
        <w:t xml:space="preserve"> regions for which they are shown to be safe.</w:t>
      </w:r>
    </w:p>
    <w:p w14:paraId="790E3B14" w14:textId="77777777" w:rsidR="000A02B2" w:rsidRPr="00481BBE" w:rsidRDefault="000A02B2">
      <w:pPr>
        <w:numPr>
          <w:ilvl w:val="0"/>
          <w:numId w:val="2"/>
        </w:numPr>
        <w:suppressLineNumbers/>
        <w:tabs>
          <w:tab w:val="left" w:pos="0"/>
        </w:tabs>
        <w:snapToGrid w:val="0"/>
        <w:spacing w:before="120" w:after="120"/>
        <w:rPr>
          <w:kern w:val="22"/>
          <w:szCs w:val="22"/>
        </w:rPr>
      </w:pPr>
      <w:r w:rsidRPr="00481BBE">
        <w:rPr>
          <w:kern w:val="22"/>
          <w:szCs w:val="22"/>
        </w:rPr>
        <w:t xml:space="preserve">States should maintain lists of species with the assessed potential to become invasive and associated with unacceptable risks for biodiversity and make it available through </w:t>
      </w:r>
      <w:r w:rsidR="00B47F6C" w:rsidRPr="00481BBE">
        <w:rPr>
          <w:kern w:val="22"/>
          <w:szCs w:val="22"/>
        </w:rPr>
        <w:t xml:space="preserve">the </w:t>
      </w:r>
      <w:r w:rsidRPr="00481BBE">
        <w:rPr>
          <w:kern w:val="22"/>
          <w:szCs w:val="22"/>
        </w:rPr>
        <w:t>clearing-house mechanism</w:t>
      </w:r>
      <w:r w:rsidR="00B47F6C" w:rsidRPr="00481BBE">
        <w:rPr>
          <w:kern w:val="22"/>
          <w:szCs w:val="22"/>
        </w:rPr>
        <w:t xml:space="preserve"> or other appropriate means</w:t>
      </w:r>
      <w:r w:rsidRPr="00481BBE">
        <w:rPr>
          <w:kern w:val="22"/>
          <w:szCs w:val="22"/>
        </w:rPr>
        <w:t>.</w:t>
      </w:r>
    </w:p>
    <w:p w14:paraId="31FD742A" w14:textId="77777777" w:rsidR="000A02B2" w:rsidRPr="00481BBE" w:rsidRDefault="000A02B2">
      <w:pPr>
        <w:keepNext/>
        <w:suppressLineNumbers/>
        <w:spacing w:before="120" w:after="120"/>
        <w:rPr>
          <w:i/>
          <w:kern w:val="22"/>
          <w:szCs w:val="22"/>
        </w:rPr>
      </w:pPr>
      <w:r w:rsidRPr="00481BBE">
        <w:rPr>
          <w:i/>
          <w:kern w:val="22"/>
          <w:szCs w:val="22"/>
        </w:rPr>
        <w:t>Consistency with other international obligations</w:t>
      </w:r>
    </w:p>
    <w:p w14:paraId="635E3983" w14:textId="77777777" w:rsidR="000A02B2" w:rsidRPr="00481BBE" w:rsidRDefault="000A02B2">
      <w:pPr>
        <w:numPr>
          <w:ilvl w:val="0"/>
          <w:numId w:val="2"/>
        </w:numPr>
        <w:suppressLineNumbers/>
        <w:snapToGrid w:val="0"/>
        <w:spacing w:before="120" w:after="120"/>
        <w:rPr>
          <w:kern w:val="22"/>
          <w:szCs w:val="22"/>
        </w:rPr>
      </w:pPr>
      <w:r w:rsidRPr="00481BBE">
        <w:rPr>
          <w:kern w:val="22"/>
          <w:szCs w:val="22"/>
        </w:rPr>
        <w:t>Measures under this guidance should be undertaken in a manner that is consistent with applicable international obligations, for example, the Agreement on the Application of Sanitary and Phytosanitary Measures of the World Trade Organization, and the standard-setting organizations recognized by this agreement, as well as the Convention on International Trade in Endangered Species of Wild Fauna and Flora.</w:t>
      </w:r>
    </w:p>
    <w:p w14:paraId="30D130A8" w14:textId="77777777" w:rsidR="000A02B2" w:rsidRPr="00481BBE" w:rsidRDefault="000A02B2">
      <w:pPr>
        <w:suppressLineNumbers/>
        <w:snapToGrid w:val="0"/>
        <w:spacing w:before="120" w:after="120"/>
        <w:ind w:left="360"/>
        <w:jc w:val="center"/>
        <w:rPr>
          <w:kern w:val="22"/>
          <w:szCs w:val="22"/>
        </w:rPr>
      </w:pPr>
      <w:r w:rsidRPr="00481BBE">
        <w:rPr>
          <w:kern w:val="22"/>
          <w:szCs w:val="22"/>
        </w:rPr>
        <w:t>__________</w:t>
      </w:r>
    </w:p>
    <w:p w14:paraId="64445D3E" w14:textId="77777777" w:rsidR="000A02B2" w:rsidRPr="00481BBE" w:rsidRDefault="000A02B2">
      <w:pPr>
        <w:suppressLineNumbers/>
        <w:snapToGrid w:val="0"/>
        <w:spacing w:before="120" w:after="120"/>
        <w:ind w:left="360"/>
        <w:rPr>
          <w:kern w:val="22"/>
          <w:szCs w:val="22"/>
        </w:rPr>
      </w:pPr>
    </w:p>
    <w:p w14:paraId="2DBA06EA" w14:textId="77777777" w:rsidR="000A02B2" w:rsidRPr="00481BBE" w:rsidRDefault="000A02B2">
      <w:pPr>
        <w:pStyle w:val="Heading-plain0"/>
        <w:rPr>
          <w:kern w:val="22"/>
        </w:rPr>
      </w:pPr>
    </w:p>
    <w:sectPr w:rsidR="000A02B2" w:rsidRPr="00481BBE">
      <w:type w:val="continuous"/>
      <w:pgSz w:w="12240" w:h="15840"/>
      <w:pgMar w:top="864" w:right="1440" w:bottom="864" w:left="1440" w:header="720" w:footer="72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4ACD7A" w14:textId="77777777" w:rsidR="00470396" w:rsidRDefault="00470396">
      <w:r>
        <w:separator/>
      </w:r>
    </w:p>
  </w:endnote>
  <w:endnote w:type="continuationSeparator" w:id="0">
    <w:p w14:paraId="60277A46" w14:textId="77777777" w:rsidR="00470396" w:rsidRDefault="0047039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Times New Roman Bold">
    <w:altName w:val="Times New Roman"/>
    <w:panose1 w:val="020B0604020202020204"/>
    <w:charset w:val="00"/>
    <w:family w:val="auto"/>
    <w:pitch w:val="variable"/>
    <w:sig w:usb0="E0002AFF" w:usb1="C0007841"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Arial">
    <w:panose1 w:val="020B0604020202020204"/>
    <w:charset w:val="00"/>
    <w:family w:val="swiss"/>
    <w:pitch w:val="variable"/>
    <w:sig w:usb0="E0002EFF" w:usb1="C000785B" w:usb2="00000009" w:usb3="00000000" w:csb0="000001FF" w:csb1="00000000"/>
  </w:font>
  <w:font w:name="Univers">
    <w:panose1 w:val="020B0503020202020204"/>
    <w:charset w:val="00"/>
    <w:family w:val="swiss"/>
    <w:pitch w:val="variable"/>
    <w:sig w:usb0="80000287" w:usb1="00000000" w:usb2="00000000" w:usb3="00000000" w:csb0="0000000F" w:csb1="00000000"/>
  </w:font>
  <w:font w:name="MS Mincho">
    <w:altName w:val="ＭＳ 明朝"/>
    <w:panose1 w:val="02020609040205080304"/>
    <w:charset w:val="80"/>
    <w:family w:val="modern"/>
    <w:pitch w:val="fixed"/>
    <w:sig w:usb0="E00002FF" w:usb1="6AC7FDFB" w:usb2="08000012" w:usb3="00000000" w:csb0="0002009F" w:csb1="00000000"/>
  </w:font>
  <w:font w:name="Angsana New">
    <w:panose1 w:val="02020603050405020304"/>
    <w:charset w:val="DE"/>
    <w:family w:val="roman"/>
    <w:pitch w:val="variable"/>
    <w:sig w:usb0="81000003" w:usb1="00000000" w:usb2="00000000" w:usb3="00000000" w:csb0="00010001" w:csb1="00000000"/>
  </w:font>
  <w:font w:name="ヒラギノ角ゴ ProN W3">
    <w:panose1 w:val="020B0604020202020204"/>
    <w:charset w:val="80"/>
    <w:family w:val="auto"/>
    <w:pitch w:val="variable"/>
    <w:sig w:usb0="00000001" w:usb1="00000000" w:usb2="01000407" w:usb3="00000000" w:csb0="00020000" w:csb1="00000000"/>
  </w:font>
  <w:font w:name="Courier New">
    <w:panose1 w:val="02070309020205020404"/>
    <w:charset w:val="00"/>
    <w:family w:val="modern"/>
    <w:pitch w:val="fixed"/>
    <w:sig w:usb0="E0002EFF" w:usb1="C0007843" w:usb2="00000009" w:usb3="00000000" w:csb0="000001FF" w:csb1="00000000"/>
  </w:font>
  <w:font w:name="Courier">
    <w:panose1 w:val="02070309020205020404"/>
    <w:charset w:val="00"/>
    <w:family w:val="modern"/>
    <w:pitch w:val="fixed"/>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Helvetica">
    <w:panose1 w:val="00000000000000000000"/>
    <w:charset w:val="00"/>
    <w:family w:val="auto"/>
    <w:pitch w:val="variable"/>
    <w:sig w:usb0="E00002FF" w:usb1="5000785B" w:usb2="00000000" w:usb3="00000000" w:csb0="0000019F" w:csb1="00000000"/>
  </w:font>
  <w:font w:name="Batang">
    <w:altName w:val="바탕"/>
    <w:panose1 w:val="02030600000101010101"/>
    <w:charset w:val="81"/>
    <w:family w:val="roman"/>
    <w:pitch w:val="variable"/>
    <w:sig w:usb0="B00002AF" w:usb1="69D77CFB" w:usb2="00000030" w:usb3="00000000" w:csb0="0008009F" w:csb1="00000000"/>
  </w:font>
  <w:font w:name="Verdana">
    <w:panose1 w:val="020B0604030504040204"/>
    <w:charset w:val="00"/>
    <w:family w:val="swiss"/>
    <w:pitch w:val="variable"/>
    <w:sig w:usb0="A10006FF" w:usb1="4000205B" w:usb2="0000001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A6789C" w14:textId="77777777" w:rsidR="00681D5B" w:rsidRDefault="00681D5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36FA79" w14:textId="77777777" w:rsidR="00681D5B" w:rsidRDefault="00681D5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6AAA51" w14:textId="77777777" w:rsidR="00681D5B" w:rsidRDefault="00681D5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B22F8F" w14:textId="77777777" w:rsidR="00470396" w:rsidRDefault="00470396">
      <w:r>
        <w:separator/>
      </w:r>
    </w:p>
  </w:footnote>
  <w:footnote w:type="continuationSeparator" w:id="0">
    <w:p w14:paraId="64A635DB" w14:textId="77777777" w:rsidR="00470396" w:rsidRDefault="00470396">
      <w:r>
        <w:continuationSeparator/>
      </w:r>
    </w:p>
  </w:footnote>
  <w:footnote w:id="1">
    <w:p w14:paraId="6E661D0E" w14:textId="77777777" w:rsidR="00FB349F" w:rsidRPr="00481BBE" w:rsidRDefault="00FB349F" w:rsidP="00481BBE">
      <w:pPr>
        <w:pStyle w:val="FootnoteText"/>
        <w:ind w:firstLine="0"/>
        <w:rPr>
          <w:lang w:val="en-US"/>
        </w:rPr>
      </w:pPr>
      <w:r w:rsidRPr="00481BBE">
        <w:rPr>
          <w:rStyle w:val="FootnoteReference0"/>
          <w:u w:val="none"/>
        </w:rPr>
        <w:t>*</w:t>
      </w:r>
      <w:r>
        <w:t xml:space="preserve"> </w:t>
      </w:r>
      <w:r>
        <w:rPr>
          <w:kern w:val="1"/>
          <w:szCs w:val="18"/>
        </w:rPr>
        <w:t>One representative entered a formal objection during the process leading to the adoption of this decision and underlined that he did not believe that the Conference of the Parties could legitimately adopt a motion or a text with a formal objection in place. A few representatives expressed reservations regarding the procedure leading to the adoption of this decision (see UNEP/CBD/COP/6/20, paras. 294-324).</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8546DE" w14:textId="77777777" w:rsidR="00FB5C12" w:rsidRDefault="0052368C">
    <w:pPr>
      <w:pStyle w:val="Header"/>
      <w:rPr>
        <w:lang w:val="en-US"/>
      </w:rPr>
    </w:pPr>
    <w:r>
      <w:rPr>
        <w:lang w:val="en-US"/>
      </w:rPr>
      <w:t>UNEP/CBD/COP/DEC/XII/16</w:t>
    </w:r>
  </w:p>
  <w:p w14:paraId="50FC9FF8" w14:textId="77777777" w:rsidR="00FB5C12" w:rsidRPr="00481BBE" w:rsidRDefault="00FB5C12">
    <w:pPr>
      <w:pStyle w:val="Header"/>
      <w:rPr>
        <w:lang w:val="en-US"/>
      </w:rPr>
    </w:pPr>
    <w:r>
      <w:rPr>
        <w:lang w:val="en-US"/>
      </w:rPr>
      <w:t xml:space="preserve">Page </w:t>
    </w:r>
    <w:r w:rsidRPr="00FB5C12">
      <w:rPr>
        <w:lang w:val="en-US"/>
      </w:rPr>
      <w:fldChar w:fldCharType="begin"/>
    </w:r>
    <w:r w:rsidRPr="00FB5C12">
      <w:rPr>
        <w:lang w:val="en-US"/>
      </w:rPr>
      <w:instrText xml:space="preserve"> PAGE   \* MERGEFORMAT </w:instrText>
    </w:r>
    <w:r w:rsidRPr="00FB5C12">
      <w:rPr>
        <w:lang w:val="en-US"/>
      </w:rPr>
      <w:fldChar w:fldCharType="separate"/>
    </w:r>
    <w:r w:rsidR="00FB349F">
      <w:rPr>
        <w:noProof/>
        <w:lang w:val="en-US"/>
      </w:rPr>
      <w:t>2</w:t>
    </w:r>
    <w:r w:rsidRPr="00FB5C12">
      <w:rPr>
        <w:noProof/>
        <w:lang w:val="en-U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9DAF98" w14:textId="77777777" w:rsidR="00FF2A2F" w:rsidRDefault="0052368C" w:rsidP="00481BBE">
    <w:pPr>
      <w:pStyle w:val="Header"/>
      <w:jc w:val="right"/>
      <w:rPr>
        <w:lang w:val="en-US"/>
      </w:rPr>
    </w:pPr>
    <w:r>
      <w:rPr>
        <w:lang w:val="en-US"/>
      </w:rPr>
      <w:t>UNEP/CBD/COP/DEC/XII/16</w:t>
    </w:r>
  </w:p>
  <w:p w14:paraId="396616C3" w14:textId="77777777" w:rsidR="00FF2A2F" w:rsidRPr="004855B4" w:rsidRDefault="00FF2A2F" w:rsidP="00481BBE">
    <w:pPr>
      <w:pStyle w:val="Header"/>
      <w:jc w:val="right"/>
      <w:rPr>
        <w:lang w:val="en-US"/>
      </w:rPr>
    </w:pPr>
    <w:r>
      <w:rPr>
        <w:lang w:val="en-US"/>
      </w:rPr>
      <w:t xml:space="preserve">Page </w:t>
    </w:r>
    <w:r w:rsidRPr="00FF2A2F">
      <w:rPr>
        <w:lang w:val="en-US"/>
      </w:rPr>
      <w:fldChar w:fldCharType="begin"/>
    </w:r>
    <w:r w:rsidRPr="00FF2A2F">
      <w:rPr>
        <w:lang w:val="en-US"/>
      </w:rPr>
      <w:instrText xml:space="preserve"> PAGE   \* MERGEFORMAT </w:instrText>
    </w:r>
    <w:r w:rsidRPr="00FF2A2F">
      <w:rPr>
        <w:lang w:val="en-US"/>
      </w:rPr>
      <w:fldChar w:fldCharType="separate"/>
    </w:r>
    <w:r w:rsidR="008B43D1">
      <w:rPr>
        <w:noProof/>
        <w:lang w:val="en-US"/>
      </w:rPr>
      <w:t>3</w:t>
    </w:r>
    <w:r w:rsidRPr="00FF2A2F">
      <w:rPr>
        <w:noProof/>
        <w:lang w:val="en-US"/>
      </w:rPr>
      <w:fldChar w:fldCharType="end"/>
    </w:r>
  </w:p>
  <w:p w14:paraId="1C8407B1" w14:textId="77777777" w:rsidR="00FF2A2F" w:rsidRDefault="00FF2A2F">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F4D692" w14:textId="77777777" w:rsidR="00681D5B" w:rsidRDefault="00681D5B">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47D660" w14:textId="77777777" w:rsidR="00FF2A2F" w:rsidRDefault="009305DE">
    <w:pPr>
      <w:pStyle w:val="Header"/>
      <w:rPr>
        <w:lang w:val="en-US"/>
      </w:rPr>
    </w:pPr>
    <w:r>
      <w:rPr>
        <w:lang w:val="en-US"/>
      </w:rPr>
      <w:t>UNEP/CBD/COP/DEC/XII/16</w:t>
    </w:r>
  </w:p>
  <w:p w14:paraId="0AF7E896" w14:textId="77777777" w:rsidR="00FF2A2F" w:rsidRPr="00481BBE" w:rsidRDefault="00FF2A2F">
    <w:pPr>
      <w:pStyle w:val="Header"/>
      <w:rPr>
        <w:lang w:val="en-US"/>
      </w:rPr>
    </w:pPr>
    <w:r>
      <w:rPr>
        <w:lang w:val="en-US"/>
      </w:rPr>
      <w:t xml:space="preserve">Page </w:t>
    </w:r>
    <w:r w:rsidRPr="00FF2A2F">
      <w:rPr>
        <w:lang w:val="en-US"/>
      </w:rPr>
      <w:fldChar w:fldCharType="begin"/>
    </w:r>
    <w:r w:rsidRPr="00FF2A2F">
      <w:rPr>
        <w:lang w:val="en-US"/>
      </w:rPr>
      <w:instrText xml:space="preserve"> PAGE   \* MERGEFORMAT </w:instrText>
    </w:r>
    <w:r w:rsidRPr="00FF2A2F">
      <w:rPr>
        <w:lang w:val="en-US"/>
      </w:rPr>
      <w:fldChar w:fldCharType="separate"/>
    </w:r>
    <w:r w:rsidR="008B43D1">
      <w:rPr>
        <w:noProof/>
        <w:lang w:val="en-US"/>
      </w:rPr>
      <w:t>2</w:t>
    </w:r>
    <w:r w:rsidRPr="00FF2A2F">
      <w:rPr>
        <w:noProof/>
        <w:lang w:val="en-US"/>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8B4C8E90"/>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DA187476"/>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BD448F96"/>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E9A61C2C"/>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37226ED2"/>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786EA690"/>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6406C76A"/>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E8A8197C"/>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46081892"/>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3EF6DC80"/>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000001"/>
    <w:multiLevelType w:val="multilevel"/>
    <w:tmpl w:val="00000001"/>
    <w:lvl w:ilvl="0">
      <w:start w:val="1"/>
      <w:numFmt w:val="upperRoman"/>
      <w:lvlText w:val="%1."/>
      <w:lvlJc w:val="left"/>
      <w:pPr>
        <w:tabs>
          <w:tab w:val="num" w:pos="720"/>
        </w:tabs>
        <w:ind w:left="0" w:firstLine="0"/>
      </w:pPr>
    </w:lvl>
    <w:lvl w:ilvl="1">
      <w:start w:val="1"/>
      <w:numFmt w:val="upperLetter"/>
      <w:lvlText w:val="%2."/>
      <w:lvlJc w:val="left"/>
      <w:pPr>
        <w:tabs>
          <w:tab w:val="num" w:pos="360"/>
        </w:tabs>
        <w:ind w:left="0" w:firstLine="0"/>
      </w:pPr>
    </w:lvl>
    <w:lvl w:ilvl="2">
      <w:start w:val="1"/>
      <w:numFmt w:val="decimal"/>
      <w:lvlText w:val="%3."/>
      <w:lvlJc w:val="left"/>
      <w:pPr>
        <w:tabs>
          <w:tab w:val="num" w:pos="360"/>
        </w:tabs>
        <w:ind w:left="0" w:firstLine="0"/>
      </w:pPr>
    </w:lvl>
    <w:lvl w:ilvl="3">
      <w:start w:val="1"/>
      <w:numFmt w:val="decimal"/>
      <w:lvlText w:val="1.%4"/>
      <w:lvlJc w:val="left"/>
      <w:pPr>
        <w:tabs>
          <w:tab w:val="num" w:pos="360"/>
        </w:tabs>
        <w:ind w:left="0" w:firstLine="0"/>
      </w:pPr>
    </w:lvl>
    <w:lvl w:ilvl="4">
      <w:start w:val="1"/>
      <w:numFmt w:val="lowerRoman"/>
      <w:lvlText w:val="(%5)"/>
      <w:lvlJc w:val="left"/>
      <w:pPr>
        <w:tabs>
          <w:tab w:val="num" w:pos="720"/>
        </w:tabs>
        <w:ind w:left="0" w:firstLine="0"/>
      </w:pPr>
    </w:lvl>
    <w:lvl w:ilvl="5">
      <w:start w:val="1"/>
      <w:numFmt w:val="lowerLetter"/>
      <w:lvlText w:val="(%6)"/>
      <w:lvlJc w:val="left"/>
      <w:pPr>
        <w:tabs>
          <w:tab w:val="num" w:pos="1080"/>
        </w:tabs>
        <w:ind w:left="720" w:firstLine="0"/>
      </w:pPr>
    </w:lvl>
    <w:lvl w:ilvl="6">
      <w:start w:val="1"/>
      <w:numFmt w:val="lowerRoman"/>
      <w:lvlText w:val="(%7)"/>
      <w:lvlJc w:val="left"/>
      <w:pPr>
        <w:tabs>
          <w:tab w:val="num" w:pos="4680"/>
        </w:tabs>
        <w:ind w:left="4320" w:firstLine="0"/>
      </w:pPr>
    </w:lvl>
    <w:lvl w:ilvl="7">
      <w:start w:val="1"/>
      <w:numFmt w:val="lowerLetter"/>
      <w:lvlText w:val="(%8)"/>
      <w:lvlJc w:val="left"/>
      <w:pPr>
        <w:tabs>
          <w:tab w:val="num" w:pos="-360"/>
        </w:tabs>
        <w:ind w:left="720" w:firstLine="0"/>
      </w:pPr>
    </w:lvl>
    <w:lvl w:ilvl="8">
      <w:start w:val="1"/>
      <w:numFmt w:val="lowerRoman"/>
      <w:lvlText w:val="(%9)"/>
      <w:lvlJc w:val="left"/>
      <w:pPr>
        <w:tabs>
          <w:tab w:val="num" w:pos="6120"/>
        </w:tabs>
        <w:ind w:left="5760" w:firstLine="0"/>
      </w:pPr>
    </w:lvl>
  </w:abstractNum>
  <w:abstractNum w:abstractNumId="11" w15:restartNumberingAfterBreak="0">
    <w:nsid w:val="00000002"/>
    <w:multiLevelType w:val="singleLevel"/>
    <w:tmpl w:val="00000002"/>
    <w:name w:val="WW8Num2"/>
    <w:lvl w:ilvl="0">
      <w:start w:val="1"/>
      <w:numFmt w:val="decimal"/>
      <w:lvlText w:val="%1."/>
      <w:lvlJc w:val="left"/>
      <w:pPr>
        <w:tabs>
          <w:tab w:val="num" w:pos="0"/>
        </w:tabs>
        <w:ind w:left="360" w:hanging="360"/>
      </w:pPr>
      <w:rPr>
        <w:rFonts w:ascii="Times New Roman" w:hAnsi="Times New Roman" w:cs="Times New Roman"/>
        <w:b w:val="0"/>
        <w:i w:val="0"/>
        <w:sz w:val="22"/>
        <w:szCs w:val="22"/>
      </w:rPr>
    </w:lvl>
  </w:abstractNum>
  <w:abstractNum w:abstractNumId="12" w15:restartNumberingAfterBreak="0">
    <w:nsid w:val="00000003"/>
    <w:multiLevelType w:val="multilevel"/>
    <w:tmpl w:val="00000003"/>
    <w:name w:val="WW8Num3"/>
    <w:lvl w:ilvl="0">
      <w:start w:val="1"/>
      <w:numFmt w:val="decimal"/>
      <w:lvlText w:val="%1."/>
      <w:lvlJc w:val="left"/>
      <w:pPr>
        <w:tabs>
          <w:tab w:val="num" w:pos="360"/>
        </w:tabs>
        <w:ind w:left="0" w:firstLine="0"/>
      </w:pPr>
    </w:lvl>
    <w:lvl w:ilvl="1">
      <w:start w:val="1"/>
      <w:numFmt w:val="lowerLetter"/>
      <w:lvlText w:val="(%2)"/>
      <w:lvlJc w:val="left"/>
      <w:pPr>
        <w:tabs>
          <w:tab w:val="num" w:pos="1080"/>
        </w:tabs>
        <w:ind w:left="0" w:firstLine="720"/>
      </w:pPr>
    </w:lvl>
    <w:lvl w:ilvl="2">
      <w:start w:val="1"/>
      <w:numFmt w:val="lowerRoman"/>
      <w:lvlText w:val="(%3)"/>
      <w:lvlJc w:val="left"/>
      <w:pPr>
        <w:tabs>
          <w:tab w:val="num" w:pos="2736"/>
        </w:tabs>
        <w:ind w:left="2736" w:hanging="432"/>
      </w:pPr>
    </w:lvl>
    <w:lvl w:ilvl="3">
      <w:start w:val="1"/>
      <w:numFmt w:val="decimal"/>
      <w:lvlText w:val="a.%4"/>
      <w:lvlJc w:val="left"/>
      <w:pPr>
        <w:tabs>
          <w:tab w:val="num" w:pos="2160"/>
        </w:tabs>
        <w:ind w:left="2160" w:hanging="360"/>
      </w:pPr>
    </w:lvl>
    <w:lvl w:ilvl="4">
      <w:start w:val="1"/>
      <w:numFmt w:val="lowerLetter"/>
      <w:lvlText w:val="(%5)"/>
      <w:lvlJc w:val="left"/>
      <w:pPr>
        <w:tabs>
          <w:tab w:val="num" w:pos="2520"/>
        </w:tabs>
        <w:ind w:left="2520" w:hanging="360"/>
      </w:pPr>
    </w:lvl>
    <w:lvl w:ilvl="5">
      <w:start w:val="1"/>
      <w:numFmt w:val="lowerRoman"/>
      <w:lvlText w:val="(%6)"/>
      <w:lvlJc w:val="left"/>
      <w:pPr>
        <w:tabs>
          <w:tab w:val="num" w:pos="2880"/>
        </w:tabs>
        <w:ind w:left="2880" w:hanging="360"/>
      </w:pPr>
    </w:lvl>
    <w:lvl w:ilvl="6">
      <w:start w:val="1"/>
      <w:numFmt w:val="decimal"/>
      <w:lvlText w:val="%7."/>
      <w:lvlJc w:val="left"/>
      <w:pPr>
        <w:tabs>
          <w:tab w:val="num" w:pos="3240"/>
        </w:tabs>
        <w:ind w:left="3240" w:hanging="360"/>
      </w:pPr>
    </w:lvl>
    <w:lvl w:ilvl="7">
      <w:start w:val="1"/>
      <w:numFmt w:val="lowerLetter"/>
      <w:lvlText w:val="%8."/>
      <w:lvlJc w:val="left"/>
      <w:pPr>
        <w:tabs>
          <w:tab w:val="num" w:pos="3600"/>
        </w:tabs>
        <w:ind w:left="3600" w:hanging="360"/>
      </w:pPr>
    </w:lvl>
    <w:lvl w:ilvl="8">
      <w:start w:val="1"/>
      <w:numFmt w:val="lowerRoman"/>
      <w:lvlText w:val="%9."/>
      <w:lvlJc w:val="left"/>
      <w:pPr>
        <w:tabs>
          <w:tab w:val="num" w:pos="3960"/>
        </w:tabs>
        <w:ind w:left="3960" w:hanging="360"/>
      </w:pPr>
    </w:lvl>
  </w:abstractNum>
  <w:abstractNum w:abstractNumId="13" w15:restartNumberingAfterBreak="0">
    <w:nsid w:val="00000004"/>
    <w:multiLevelType w:val="singleLevel"/>
    <w:tmpl w:val="00000004"/>
    <w:name w:val="WW8Num4"/>
    <w:lvl w:ilvl="0">
      <w:start w:val="1"/>
      <w:numFmt w:val="decimal"/>
      <w:lvlText w:val="%1."/>
      <w:lvlJc w:val="left"/>
      <w:pPr>
        <w:tabs>
          <w:tab w:val="num" w:pos="360"/>
        </w:tabs>
        <w:ind w:left="0" w:firstLine="0"/>
      </w:pPr>
    </w:lvl>
  </w:abstractNum>
  <w:abstractNum w:abstractNumId="14" w15:restartNumberingAfterBreak="0">
    <w:nsid w:val="00000005"/>
    <w:multiLevelType w:val="singleLevel"/>
    <w:tmpl w:val="00000005"/>
    <w:name w:val="WW8Num5"/>
    <w:lvl w:ilvl="0">
      <w:start w:val="1"/>
      <w:numFmt w:val="upperLetter"/>
      <w:lvlText w:val="%1."/>
      <w:lvlJc w:val="left"/>
      <w:pPr>
        <w:tabs>
          <w:tab w:val="num" w:pos="0"/>
        </w:tabs>
        <w:ind w:left="720" w:hanging="360"/>
      </w:pPr>
    </w:lvl>
  </w:abstractNum>
  <w:abstractNum w:abstractNumId="15" w15:restartNumberingAfterBreak="0">
    <w:nsid w:val="00000006"/>
    <w:multiLevelType w:val="multilevel"/>
    <w:tmpl w:val="00000006"/>
    <w:name w:val="WW8Num6"/>
    <w:lvl w:ilvl="0">
      <w:start w:val="1"/>
      <w:numFmt w:val="decimal"/>
      <w:lvlText w:val="%1."/>
      <w:lvlJc w:val="left"/>
      <w:pPr>
        <w:tabs>
          <w:tab w:val="num" w:pos="360"/>
        </w:tabs>
        <w:ind w:left="0" w:firstLine="0"/>
      </w:pPr>
    </w:lvl>
    <w:lvl w:ilvl="1">
      <w:start w:val="1"/>
      <w:numFmt w:val="lowerLetter"/>
      <w:lvlText w:val="(%2)"/>
      <w:lvlJc w:val="left"/>
      <w:pPr>
        <w:tabs>
          <w:tab w:val="num" w:pos="1440"/>
        </w:tabs>
        <w:ind w:left="0" w:firstLine="720"/>
      </w:pPr>
    </w:lvl>
    <w:lvl w:ilvl="2">
      <w:start w:val="1"/>
      <w:numFmt w:val="lowerRoman"/>
      <w:lvlText w:val="(%3)"/>
      <w:lvlJc w:val="left"/>
      <w:pPr>
        <w:tabs>
          <w:tab w:val="num" w:pos="1800"/>
        </w:tabs>
        <w:ind w:left="1800" w:hanging="72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6" w15:restartNumberingAfterBreak="0">
    <w:nsid w:val="00000007"/>
    <w:multiLevelType w:val="multilevel"/>
    <w:tmpl w:val="00000007"/>
    <w:name w:val="WW8Num7"/>
    <w:lvl w:ilvl="0">
      <w:start w:val="1"/>
      <w:numFmt w:val="decimal"/>
      <w:lvlText w:val="%1."/>
      <w:lvlJc w:val="left"/>
      <w:pPr>
        <w:tabs>
          <w:tab w:val="num" w:pos="360"/>
        </w:tabs>
        <w:ind w:left="0" w:firstLine="0"/>
      </w:pPr>
      <w:rPr>
        <w:rFonts w:ascii="Times New Roman" w:hAnsi="Times New Roman"/>
        <w:b w:val="0"/>
        <w:i w:val="0"/>
        <w:sz w:val="22"/>
      </w:rPr>
    </w:lvl>
    <w:lvl w:ilvl="1">
      <w:start w:val="1"/>
      <w:numFmt w:val="lowerLetter"/>
      <w:lvlText w:val="(%2)"/>
      <w:lvlJc w:val="left"/>
      <w:pPr>
        <w:tabs>
          <w:tab w:val="num" w:pos="1440"/>
        </w:tabs>
        <w:ind w:left="0" w:firstLine="720"/>
      </w:pPr>
      <w:rPr>
        <w:b w:val="0"/>
        <w:i w:val="0"/>
      </w:rPr>
    </w:lvl>
    <w:lvl w:ilvl="2">
      <w:start w:val="1"/>
      <w:numFmt w:val="lowerRoman"/>
      <w:lvlText w:val="(%3)"/>
      <w:lvlJc w:val="left"/>
      <w:pPr>
        <w:tabs>
          <w:tab w:val="num" w:pos="1440"/>
        </w:tabs>
        <w:ind w:left="1440" w:hanging="360"/>
      </w:pPr>
    </w:lvl>
    <w:lvl w:ilvl="3">
      <w:start w:val="1"/>
      <w:numFmt w:val="bullet"/>
      <w:lvlText w:val=""/>
      <w:lvlJc w:val="left"/>
      <w:pPr>
        <w:tabs>
          <w:tab w:val="num" w:pos="2160"/>
        </w:tabs>
        <w:ind w:left="2160" w:hanging="720"/>
      </w:pPr>
      <w:rPr>
        <w:rFonts w:ascii="Symbol" w:hAnsi="Symbol"/>
        <w:color w:val="auto"/>
        <w:sz w:val="28"/>
      </w:r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7" w15:restartNumberingAfterBreak="0">
    <w:nsid w:val="00000008"/>
    <w:multiLevelType w:val="multilevel"/>
    <w:tmpl w:val="00000008"/>
    <w:name w:val="WW8Num8"/>
    <w:lvl w:ilvl="0">
      <w:start w:val="1"/>
      <w:numFmt w:val="decimal"/>
      <w:lvlText w:val="%1."/>
      <w:lvlJc w:val="left"/>
      <w:pPr>
        <w:tabs>
          <w:tab w:val="num" w:pos="360"/>
        </w:tabs>
        <w:ind w:left="0" w:firstLine="0"/>
      </w:pPr>
      <w:rPr>
        <w:b w:val="0"/>
        <w:i w:val="0"/>
      </w:rPr>
    </w:lvl>
    <w:lvl w:ilvl="1">
      <w:start w:val="1"/>
      <w:numFmt w:val="lowerLetter"/>
      <w:lvlText w:val="(%2)"/>
      <w:lvlJc w:val="left"/>
      <w:pPr>
        <w:tabs>
          <w:tab w:val="num" w:pos="1440"/>
        </w:tabs>
        <w:ind w:left="0" w:firstLine="720"/>
      </w:pPr>
      <w:rPr>
        <w:b w:val="0"/>
        <w:i w:val="0"/>
      </w:rPr>
    </w:lvl>
    <w:lvl w:ilvl="2">
      <w:start w:val="1"/>
      <w:numFmt w:val="lowerRoman"/>
      <w:lvlText w:val="(%3)"/>
      <w:lvlJc w:val="left"/>
      <w:pPr>
        <w:tabs>
          <w:tab w:val="num" w:pos="1440"/>
        </w:tabs>
        <w:ind w:left="1440" w:hanging="360"/>
      </w:pPr>
    </w:lvl>
    <w:lvl w:ilvl="3">
      <w:start w:val="1"/>
      <w:numFmt w:val="bullet"/>
      <w:lvlText w:val=""/>
      <w:lvlJc w:val="left"/>
      <w:pPr>
        <w:tabs>
          <w:tab w:val="num" w:pos="2160"/>
        </w:tabs>
        <w:ind w:left="2160" w:hanging="720"/>
      </w:pPr>
      <w:rPr>
        <w:rFonts w:ascii="Symbol" w:hAnsi="Symbol"/>
        <w:color w:val="auto"/>
        <w:sz w:val="28"/>
      </w:r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8" w15:restartNumberingAfterBreak="0">
    <w:nsid w:val="00000009"/>
    <w:multiLevelType w:val="singleLevel"/>
    <w:tmpl w:val="00000009"/>
    <w:name w:val="WW8Num9"/>
    <w:lvl w:ilvl="0">
      <w:start w:val="1"/>
      <w:numFmt w:val="decimal"/>
      <w:lvlText w:val="%1."/>
      <w:lvlJc w:val="left"/>
      <w:pPr>
        <w:tabs>
          <w:tab w:val="num" w:pos="1080"/>
        </w:tabs>
        <w:ind w:left="0" w:firstLine="720"/>
      </w:pPr>
    </w:lvl>
  </w:abstractNum>
  <w:abstractNum w:abstractNumId="19" w15:restartNumberingAfterBreak="0">
    <w:nsid w:val="2F0336B8"/>
    <w:multiLevelType w:val="multilevel"/>
    <w:tmpl w:val="99BA12E0"/>
    <w:lvl w:ilvl="0">
      <w:start w:val="1"/>
      <w:numFmt w:val="upperRoman"/>
      <w:lvlText w:val="%1."/>
      <w:lvlJc w:val="left"/>
      <w:pPr>
        <w:tabs>
          <w:tab w:val="num" w:pos="720"/>
        </w:tabs>
        <w:ind w:left="0" w:firstLine="0"/>
      </w:pPr>
      <w:rPr>
        <w:rFonts w:hint="default"/>
      </w:rPr>
    </w:lvl>
    <w:lvl w:ilvl="1">
      <w:start w:val="1"/>
      <w:numFmt w:val="upperLetter"/>
      <w:lvlText w:val="%2."/>
      <w:lvlJc w:val="left"/>
      <w:pPr>
        <w:tabs>
          <w:tab w:val="num" w:pos="360"/>
        </w:tabs>
        <w:ind w:left="0" w:firstLine="0"/>
      </w:pPr>
      <w:rPr>
        <w:rFonts w:hint="default"/>
      </w:rPr>
    </w:lvl>
    <w:lvl w:ilvl="2">
      <w:start w:val="1"/>
      <w:numFmt w:val="decimal"/>
      <w:lvlText w:val="%3."/>
      <w:lvlJc w:val="left"/>
      <w:pPr>
        <w:tabs>
          <w:tab w:val="num" w:pos="360"/>
        </w:tabs>
        <w:ind w:left="0" w:firstLine="0"/>
      </w:pPr>
      <w:rPr>
        <w:rFonts w:hint="default"/>
      </w:rPr>
    </w:lvl>
    <w:lvl w:ilvl="3">
      <w:start w:val="1"/>
      <w:numFmt w:val="decimal"/>
      <w:lvlText w:val="1.%4"/>
      <w:lvlJc w:val="left"/>
      <w:pPr>
        <w:tabs>
          <w:tab w:val="num" w:pos="360"/>
        </w:tabs>
        <w:ind w:left="0" w:firstLine="0"/>
      </w:pPr>
      <w:rPr>
        <w:rFonts w:hint="default"/>
      </w:rPr>
    </w:lvl>
    <w:lvl w:ilvl="4">
      <w:start w:val="1"/>
      <w:numFmt w:val="lowerRoman"/>
      <w:pStyle w:val="Heading5"/>
      <w:lvlText w:val="(%5)"/>
      <w:lvlJc w:val="left"/>
      <w:pPr>
        <w:tabs>
          <w:tab w:val="num" w:pos="720"/>
        </w:tabs>
        <w:ind w:left="0" w:firstLine="0"/>
      </w:pPr>
      <w:rPr>
        <w:rFonts w:hint="default"/>
      </w:rPr>
    </w:lvl>
    <w:lvl w:ilvl="5">
      <w:start w:val="1"/>
      <w:numFmt w:val="lowerLetter"/>
      <w:lvlText w:val="(%6)"/>
      <w:lvlJc w:val="left"/>
      <w:pPr>
        <w:tabs>
          <w:tab w:val="num" w:pos="1080"/>
        </w:tabs>
        <w:ind w:left="720" w:firstLine="0"/>
      </w:pPr>
      <w:rPr>
        <w:rFonts w:hint="default"/>
      </w:rPr>
    </w:lvl>
    <w:lvl w:ilvl="6">
      <w:start w:val="1"/>
      <w:numFmt w:val="lowerRoman"/>
      <w:lvlText w:val="(%7)"/>
      <w:lvlJc w:val="left"/>
      <w:pPr>
        <w:tabs>
          <w:tab w:val="num" w:pos="4680"/>
        </w:tabs>
        <w:ind w:left="4320" w:firstLine="0"/>
      </w:pPr>
      <w:rPr>
        <w:rFonts w:hint="default"/>
      </w:rPr>
    </w:lvl>
    <w:lvl w:ilvl="7">
      <w:start w:val="1"/>
      <w:numFmt w:val="lowerLetter"/>
      <w:lvlText w:val="(%8)"/>
      <w:lvlJc w:val="left"/>
      <w:pPr>
        <w:tabs>
          <w:tab w:val="num" w:pos="-360"/>
        </w:tabs>
        <w:ind w:left="-720" w:firstLine="0"/>
      </w:pPr>
      <w:rPr>
        <w:rFonts w:hint="default"/>
      </w:rPr>
    </w:lvl>
    <w:lvl w:ilvl="8">
      <w:start w:val="1"/>
      <w:numFmt w:val="lowerRoman"/>
      <w:lvlText w:val="(%9)"/>
      <w:lvlJc w:val="left"/>
      <w:pPr>
        <w:tabs>
          <w:tab w:val="num" w:pos="6120"/>
        </w:tabs>
        <w:ind w:left="5760" w:firstLine="0"/>
      </w:pPr>
      <w:rPr>
        <w:rFonts w:hint="default"/>
      </w:rPr>
    </w:lvl>
  </w:abstractNum>
  <w:abstractNum w:abstractNumId="20" w15:restartNumberingAfterBreak="0">
    <w:nsid w:val="44CC7FBB"/>
    <w:multiLevelType w:val="hybridMultilevel"/>
    <w:tmpl w:val="45E4BE68"/>
    <w:lvl w:ilvl="0" w:tplc="F89AE9DE">
      <w:start w:val="1"/>
      <w:numFmt w:val="lowerLetter"/>
      <w:lvlText w:val="(%1)"/>
      <w:lvlJc w:val="left"/>
      <w:pPr>
        <w:tabs>
          <w:tab w:val="num" w:pos="1080"/>
        </w:tabs>
        <w:ind w:left="1080" w:hanging="360"/>
      </w:pPr>
      <w:rPr>
        <w:rFonts w:hint="default"/>
        <w:b w:val="0"/>
        <w:i w:val="0"/>
      </w:r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21" w15:restartNumberingAfterBreak="0">
    <w:nsid w:val="48E4287B"/>
    <w:multiLevelType w:val="multilevel"/>
    <w:tmpl w:val="2E6A1D38"/>
    <w:lvl w:ilvl="0">
      <w:start w:val="1"/>
      <w:numFmt w:val="decimal"/>
      <w:lvlText w:val="%1."/>
      <w:lvlJc w:val="left"/>
      <w:pPr>
        <w:tabs>
          <w:tab w:val="num" w:pos="360"/>
        </w:tabs>
        <w:ind w:left="0" w:firstLine="0"/>
      </w:pPr>
    </w:lvl>
    <w:lvl w:ilvl="1">
      <w:start w:val="1"/>
      <w:numFmt w:val="lowerLetter"/>
      <w:lvlText w:val="(%2)"/>
      <w:lvlJc w:val="left"/>
      <w:pPr>
        <w:tabs>
          <w:tab w:val="num" w:pos="1440"/>
        </w:tabs>
        <w:ind w:left="0" w:firstLine="720"/>
      </w:pPr>
    </w:lvl>
    <w:lvl w:ilvl="2">
      <w:start w:val="1"/>
      <w:numFmt w:val="lowerRoman"/>
      <w:lvlText w:val="(%3)"/>
      <w:lvlJc w:val="right"/>
      <w:pPr>
        <w:tabs>
          <w:tab w:val="num" w:pos="1440"/>
        </w:tabs>
        <w:ind w:left="1440" w:hanging="360"/>
      </w:pPr>
    </w:lvl>
    <w:lvl w:ilvl="3">
      <w:start w:val="1"/>
      <w:numFmt w:val="bullet"/>
      <w:pStyle w:val="Para3"/>
      <w:lvlText w:val=""/>
      <w:lvlJc w:val="left"/>
      <w:pPr>
        <w:tabs>
          <w:tab w:val="num" w:pos="2160"/>
        </w:tabs>
        <w:ind w:left="2160" w:hanging="720"/>
      </w:pPr>
      <w:rPr>
        <w:rFonts w:ascii="Symbol" w:hAnsi="Symbol" w:hint="default"/>
        <w:sz w:val="28"/>
      </w:r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2" w15:restartNumberingAfterBreak="0">
    <w:nsid w:val="4E0442B4"/>
    <w:multiLevelType w:val="multilevel"/>
    <w:tmpl w:val="4FF01174"/>
    <w:lvl w:ilvl="0">
      <w:start w:val="1"/>
      <w:numFmt w:val="decimal"/>
      <w:pStyle w:val="Para1"/>
      <w:lvlText w:val="%1."/>
      <w:lvlJc w:val="left"/>
      <w:pPr>
        <w:tabs>
          <w:tab w:val="num" w:pos="360"/>
        </w:tabs>
        <w:ind w:left="0" w:firstLine="0"/>
      </w:pPr>
      <w:rPr>
        <w:rFonts w:ascii="Times New Roman" w:hAnsi="Times New Roman" w:hint="default"/>
        <w:b w:val="0"/>
        <w:i w:val="0"/>
        <w:sz w:val="22"/>
      </w:rPr>
    </w:lvl>
    <w:lvl w:ilvl="1">
      <w:start w:val="1"/>
      <w:numFmt w:val="lowerLetter"/>
      <w:lvlText w:val="(%2)"/>
      <w:lvlJc w:val="left"/>
      <w:pPr>
        <w:tabs>
          <w:tab w:val="num" w:pos="1440"/>
        </w:tabs>
        <w:ind w:left="0" w:firstLine="720"/>
      </w:pPr>
      <w:rPr>
        <w:rFonts w:hint="default"/>
        <w:b w:val="0"/>
        <w:i w:val="0"/>
      </w:rPr>
    </w:lvl>
    <w:lvl w:ilvl="2">
      <w:start w:val="1"/>
      <w:numFmt w:val="lowerRoman"/>
      <w:lvlText w:val="(%3)"/>
      <w:lvlJc w:val="right"/>
      <w:pPr>
        <w:tabs>
          <w:tab w:val="num" w:pos="1440"/>
        </w:tabs>
        <w:ind w:left="1440" w:hanging="360"/>
      </w:pPr>
      <w:rPr>
        <w:rFonts w:hint="default"/>
      </w:rPr>
    </w:lvl>
    <w:lvl w:ilvl="3">
      <w:start w:val="1"/>
      <w:numFmt w:val="bullet"/>
      <w:lvlText w:val=""/>
      <w:lvlJc w:val="left"/>
      <w:pPr>
        <w:tabs>
          <w:tab w:val="num" w:pos="2160"/>
        </w:tabs>
        <w:ind w:left="2160" w:hanging="720"/>
      </w:pPr>
      <w:rPr>
        <w:rFonts w:ascii="Symbol" w:hAnsi="Symbol" w:hint="default"/>
        <w:color w:val="auto"/>
        <w:sz w:val="28"/>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num w:numId="1" w16cid:durableId="1042285515">
    <w:abstractNumId w:val="10"/>
  </w:num>
  <w:num w:numId="2" w16cid:durableId="1059866558">
    <w:abstractNumId w:val="11"/>
  </w:num>
  <w:num w:numId="3" w16cid:durableId="234319443">
    <w:abstractNumId w:val="12"/>
  </w:num>
  <w:num w:numId="4" w16cid:durableId="825126338">
    <w:abstractNumId w:val="13"/>
  </w:num>
  <w:num w:numId="5" w16cid:durableId="132412651">
    <w:abstractNumId w:val="14"/>
  </w:num>
  <w:num w:numId="6" w16cid:durableId="667367759">
    <w:abstractNumId w:val="15"/>
  </w:num>
  <w:num w:numId="7" w16cid:durableId="1489203169">
    <w:abstractNumId w:val="16"/>
  </w:num>
  <w:num w:numId="8" w16cid:durableId="1245727011">
    <w:abstractNumId w:val="17"/>
  </w:num>
  <w:num w:numId="9" w16cid:durableId="356472599">
    <w:abstractNumId w:val="18"/>
  </w:num>
  <w:num w:numId="10" w16cid:durableId="1729837862">
    <w:abstractNumId w:val="19"/>
  </w:num>
  <w:num w:numId="11" w16cid:durableId="1602225575">
    <w:abstractNumId w:val="22"/>
  </w:num>
  <w:num w:numId="12" w16cid:durableId="2060742987">
    <w:abstractNumId w:val="20"/>
  </w:num>
  <w:num w:numId="13" w16cid:durableId="341586797">
    <w:abstractNumId w:val="22"/>
  </w:num>
  <w:num w:numId="14" w16cid:durableId="232354484">
    <w:abstractNumId w:val="21"/>
  </w:num>
  <w:num w:numId="15" w16cid:durableId="614019682">
    <w:abstractNumId w:val="9"/>
  </w:num>
  <w:num w:numId="16" w16cid:durableId="605692750">
    <w:abstractNumId w:val="7"/>
  </w:num>
  <w:num w:numId="17" w16cid:durableId="784301717">
    <w:abstractNumId w:val="6"/>
  </w:num>
  <w:num w:numId="18" w16cid:durableId="1663509101">
    <w:abstractNumId w:val="5"/>
  </w:num>
  <w:num w:numId="19" w16cid:durableId="2037540138">
    <w:abstractNumId w:val="4"/>
  </w:num>
  <w:num w:numId="20" w16cid:durableId="1322856876">
    <w:abstractNumId w:val="8"/>
  </w:num>
  <w:num w:numId="21" w16cid:durableId="1084109378">
    <w:abstractNumId w:val="3"/>
  </w:num>
  <w:num w:numId="22" w16cid:durableId="1074089888">
    <w:abstractNumId w:val="2"/>
  </w:num>
  <w:num w:numId="23" w16cid:durableId="2035105741">
    <w:abstractNumId w:val="1"/>
  </w:num>
  <w:num w:numId="24" w16cid:durableId="14270691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displayBackgroundShape/>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stylePaneSortMethod w:val="0000"/>
  <w:defaultTabStop w:val="720"/>
  <w:defaultTableStyle w:val="Normal"/>
  <w:evenAndOddHeaders/>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doNotValidateAgainstSchema/>
  <w:doNotDemarcateInvalidXml/>
  <w:hdrShapeDefaults>
    <o:shapedefaults v:ext="edit" spidmax="2050"/>
  </w:hdrShapeDefaults>
  <w:footnotePr>
    <w:numFmt w:val="chicago"/>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5FB9"/>
    <w:rsid w:val="00013BB7"/>
    <w:rsid w:val="0002137B"/>
    <w:rsid w:val="000A02B2"/>
    <w:rsid w:val="003A6883"/>
    <w:rsid w:val="003E6DF4"/>
    <w:rsid w:val="00414305"/>
    <w:rsid w:val="004413B4"/>
    <w:rsid w:val="00470396"/>
    <w:rsid w:val="00481BBE"/>
    <w:rsid w:val="0052368C"/>
    <w:rsid w:val="005A5F52"/>
    <w:rsid w:val="00654D09"/>
    <w:rsid w:val="00681D5B"/>
    <w:rsid w:val="00734AB3"/>
    <w:rsid w:val="007D3044"/>
    <w:rsid w:val="007D7702"/>
    <w:rsid w:val="008B43D1"/>
    <w:rsid w:val="009305DE"/>
    <w:rsid w:val="00A909D3"/>
    <w:rsid w:val="00B06FB4"/>
    <w:rsid w:val="00B17321"/>
    <w:rsid w:val="00B40445"/>
    <w:rsid w:val="00B47F6C"/>
    <w:rsid w:val="00B95F61"/>
    <w:rsid w:val="00BA131C"/>
    <w:rsid w:val="00C41C2C"/>
    <w:rsid w:val="00FB349F"/>
    <w:rsid w:val="00FB5C12"/>
    <w:rsid w:val="00FF2A2F"/>
  </w:rsids>
  <m:mathPr>
    <m:mathFont m:val="Cambria Math"/>
    <m:brkBin m:val="before"/>
    <m:brkBinSub m:val="--"/>
    <m:smallFrac m:val="0"/>
    <m:dispDef m:val="0"/>
    <m:lMargin m:val="0"/>
    <m:rMargin m:val="0"/>
    <m:wrapRight/>
    <m:intLim m:val="subSup"/>
    <m:naryLim m:val="subSup"/>
  </m:mathPr>
  <w:themeFontLang w:val="en-C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oNotEmbedSmartTags/>
  <w:decimalSymbol w:val="."/>
  <w:listSeparator w:val=","/>
  <w14:docId w14:val="17C7B5CC"/>
  <w15:chartTrackingRefBased/>
  <w15:docId w15:val="{C863CB4F-9EAD-B642-8925-1F5524DF20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CA"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lsdException w:name="toc 2" w:semiHidden="1" w:uiPriority="0" w:unhideWhenUsed="1"/>
    <w:lsdException w:name="toc 3" w:semiHidden="1" w:uiPriority="0"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0"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72"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uiPriority="70"/>
    <w:lsdException w:name="TOC Heading" w:semiHidden="1" w:uiPriority="7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A6883"/>
    <w:pPr>
      <w:jc w:val="both"/>
    </w:pPr>
    <w:rPr>
      <w:sz w:val="22"/>
      <w:szCs w:val="24"/>
      <w:lang w:val="en-GB"/>
    </w:rPr>
  </w:style>
  <w:style w:type="paragraph" w:styleId="Heading1">
    <w:name w:val="heading 1"/>
    <w:basedOn w:val="Normal"/>
    <w:next w:val="Heading2"/>
    <w:qFormat/>
    <w:rsid w:val="003A6883"/>
    <w:pPr>
      <w:keepNext/>
      <w:tabs>
        <w:tab w:val="left" w:pos="720"/>
      </w:tabs>
      <w:spacing w:before="240" w:after="120"/>
      <w:jc w:val="center"/>
      <w:outlineLvl w:val="0"/>
    </w:pPr>
    <w:rPr>
      <w:b/>
      <w:caps/>
    </w:rPr>
  </w:style>
  <w:style w:type="paragraph" w:styleId="Heading2">
    <w:name w:val="heading 2"/>
    <w:basedOn w:val="Normal"/>
    <w:next w:val="Normal"/>
    <w:qFormat/>
    <w:rsid w:val="003A6883"/>
    <w:pPr>
      <w:keepNext/>
      <w:tabs>
        <w:tab w:val="left" w:pos="720"/>
      </w:tabs>
      <w:spacing w:before="120" w:after="120"/>
      <w:jc w:val="center"/>
      <w:outlineLvl w:val="1"/>
    </w:pPr>
    <w:rPr>
      <w:b/>
      <w:bCs/>
      <w:i/>
      <w:iCs/>
    </w:rPr>
  </w:style>
  <w:style w:type="paragraph" w:styleId="Heading3">
    <w:name w:val="heading 3"/>
    <w:basedOn w:val="Normal"/>
    <w:next w:val="Normal"/>
    <w:qFormat/>
    <w:rsid w:val="003A6883"/>
    <w:pPr>
      <w:keepNext/>
      <w:tabs>
        <w:tab w:val="left" w:pos="567"/>
      </w:tabs>
      <w:spacing w:before="120" w:after="120"/>
      <w:jc w:val="center"/>
      <w:outlineLvl w:val="2"/>
    </w:pPr>
    <w:rPr>
      <w:i/>
      <w:iCs/>
    </w:rPr>
  </w:style>
  <w:style w:type="paragraph" w:styleId="Heading4">
    <w:name w:val="heading 4"/>
    <w:basedOn w:val="Normal"/>
    <w:qFormat/>
    <w:rsid w:val="003A6883"/>
    <w:pPr>
      <w:keepNext/>
      <w:spacing w:before="120" w:after="120"/>
      <w:outlineLvl w:val="3"/>
    </w:pPr>
    <w:rPr>
      <w:rFonts w:ascii="Times New Roman Bold" w:eastAsia="Arial Unicode MS" w:hAnsi="Times New Roman Bold" w:cs="Arial"/>
      <w:b/>
      <w:bCs/>
      <w:i/>
    </w:rPr>
  </w:style>
  <w:style w:type="paragraph" w:styleId="Heading5">
    <w:name w:val="heading 5"/>
    <w:basedOn w:val="Normal"/>
    <w:next w:val="Normal"/>
    <w:qFormat/>
    <w:rsid w:val="003A6883"/>
    <w:pPr>
      <w:keepNext/>
      <w:numPr>
        <w:ilvl w:val="4"/>
        <w:numId w:val="10"/>
      </w:numPr>
      <w:spacing w:before="120" w:after="120"/>
      <w:jc w:val="left"/>
      <w:outlineLvl w:val="4"/>
    </w:pPr>
    <w:rPr>
      <w:bCs/>
      <w:i/>
      <w:szCs w:val="26"/>
      <w:lang w:val="en-CA"/>
    </w:rPr>
  </w:style>
  <w:style w:type="paragraph" w:styleId="Heading6">
    <w:name w:val="heading 6"/>
    <w:basedOn w:val="Normal"/>
    <w:next w:val="Normal"/>
    <w:qFormat/>
    <w:rsid w:val="003A6883"/>
    <w:pPr>
      <w:keepNext/>
      <w:spacing w:after="240" w:line="240" w:lineRule="exact"/>
      <w:ind w:left="720"/>
      <w:outlineLvl w:val="5"/>
    </w:pPr>
    <w:rPr>
      <w:u w:val="single"/>
    </w:rPr>
  </w:style>
  <w:style w:type="paragraph" w:styleId="Heading7">
    <w:name w:val="heading 7"/>
    <w:basedOn w:val="Normal"/>
    <w:next w:val="Normal"/>
    <w:rsid w:val="003A6883"/>
    <w:pPr>
      <w:keepNext/>
      <w:jc w:val="right"/>
      <w:outlineLvl w:val="6"/>
    </w:pPr>
    <w:rPr>
      <w:rFonts w:ascii="Univers" w:hAnsi="Univers"/>
      <w:b/>
      <w:sz w:val="28"/>
    </w:rPr>
  </w:style>
  <w:style w:type="paragraph" w:styleId="Heading8">
    <w:name w:val="heading 8"/>
    <w:basedOn w:val="Normal"/>
    <w:next w:val="Normal"/>
    <w:qFormat/>
    <w:rsid w:val="003A6883"/>
    <w:pPr>
      <w:keepNext/>
      <w:jc w:val="right"/>
      <w:outlineLvl w:val="7"/>
    </w:pPr>
    <w:rPr>
      <w:rFonts w:ascii="Univers" w:hAnsi="Univers"/>
      <w:b/>
      <w:sz w:val="32"/>
    </w:rPr>
  </w:style>
  <w:style w:type="paragraph" w:styleId="Heading9">
    <w:name w:val="heading 9"/>
    <w:basedOn w:val="Normal"/>
    <w:next w:val="Normal"/>
    <w:rsid w:val="003A6883"/>
    <w:pPr>
      <w:keepNext/>
      <w:spacing w:before="100" w:beforeAutospacing="1" w:after="120"/>
      <w:outlineLvl w:val="8"/>
    </w:pPr>
    <w:rPr>
      <w:i/>
      <w:iCs/>
    </w:rPr>
  </w:style>
  <w:style w:type="character" w:default="1" w:styleId="DefaultParagraphFont">
    <w:name w:val="Default Paragraph Font"/>
    <w:rsid w:val="003A6883"/>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semiHidden/>
    <w:rsid w:val="003A6883"/>
  </w:style>
  <w:style w:type="character" w:customStyle="1" w:styleId="WW8Num2z0">
    <w:name w:val="WW8Num2z0"/>
    <w:rPr>
      <w:rFonts w:ascii="Times New Roman" w:hAnsi="Times New Roman" w:cs="Times New Roman"/>
      <w:b w:val="0"/>
      <w:i w:val="0"/>
      <w:sz w:val="22"/>
      <w:szCs w:val="22"/>
    </w:rPr>
  </w:style>
  <w:style w:type="character" w:customStyle="1" w:styleId="WW8Num7z0">
    <w:name w:val="WW8Num7z0"/>
    <w:rPr>
      <w:rFonts w:ascii="Times New Roman" w:hAnsi="Times New Roman"/>
      <w:b w:val="0"/>
      <w:i w:val="0"/>
      <w:sz w:val="22"/>
    </w:rPr>
  </w:style>
  <w:style w:type="character" w:customStyle="1" w:styleId="WW8Num7z1">
    <w:name w:val="WW8Num7z1"/>
    <w:rPr>
      <w:b w:val="0"/>
      <w:i w:val="0"/>
    </w:rPr>
  </w:style>
  <w:style w:type="character" w:customStyle="1" w:styleId="WW8Num7z3">
    <w:name w:val="WW8Num7z3"/>
    <w:rPr>
      <w:rFonts w:ascii="Symbol" w:hAnsi="Symbol"/>
      <w:color w:val="auto"/>
      <w:sz w:val="28"/>
    </w:rPr>
  </w:style>
  <w:style w:type="character" w:customStyle="1" w:styleId="WW8Num8z0">
    <w:name w:val="WW8Num8z0"/>
    <w:rPr>
      <w:b w:val="0"/>
      <w:i w:val="0"/>
    </w:rPr>
  </w:style>
  <w:style w:type="character" w:customStyle="1" w:styleId="WW8Num8z1">
    <w:name w:val="WW8Num8z1"/>
    <w:rPr>
      <w:b w:val="0"/>
      <w:i w:val="0"/>
    </w:rPr>
  </w:style>
  <w:style w:type="character" w:customStyle="1" w:styleId="WW8Num8z3">
    <w:name w:val="WW8Num8z3"/>
    <w:rPr>
      <w:rFonts w:ascii="Symbol" w:hAnsi="Symbol"/>
      <w:color w:val="auto"/>
      <w:sz w:val="28"/>
    </w:rPr>
  </w:style>
  <w:style w:type="character" w:styleId="DefaultParagraphFont0">
    <w:name w:val="Default Paragraph Font"/>
  </w:style>
  <w:style w:type="character" w:customStyle="1" w:styleId="WW8Num1z0">
    <w:name w:val="WW8Num1z0"/>
    <w:rPr>
      <w:rFonts w:ascii="Times New Roman" w:hAnsi="Times New Roman" w:cs="Times New Roman"/>
      <w:b w:val="0"/>
      <w:i w:val="0"/>
      <w:sz w:val="20"/>
      <w:szCs w:val="20"/>
    </w:rPr>
  </w:style>
  <w:style w:type="character" w:customStyle="1" w:styleId="WW8Num6z0">
    <w:name w:val="WW8Num6z0"/>
    <w:rPr>
      <w:rFonts w:ascii="Times New Roman" w:hAnsi="Times New Roman"/>
      <w:b w:val="0"/>
      <w:i w:val="0"/>
      <w:sz w:val="22"/>
    </w:rPr>
  </w:style>
  <w:style w:type="character" w:customStyle="1" w:styleId="WW8Num6z1">
    <w:name w:val="WW8Num6z1"/>
    <w:rPr>
      <w:b w:val="0"/>
      <w:i w:val="0"/>
    </w:rPr>
  </w:style>
  <w:style w:type="character" w:customStyle="1" w:styleId="WW8Num6z3">
    <w:name w:val="WW8Num6z3"/>
    <w:rPr>
      <w:rFonts w:ascii="Symbol" w:hAnsi="Symbol"/>
      <w:color w:val="auto"/>
      <w:sz w:val="28"/>
    </w:rPr>
  </w:style>
  <w:style w:type="character" w:customStyle="1" w:styleId="WW8Num11z0">
    <w:name w:val="WW8Num11z0"/>
    <w:rPr>
      <w:rFonts w:ascii="Times New Roman" w:hAnsi="Times New Roman"/>
      <w:b w:val="0"/>
      <w:i w:val="0"/>
      <w:sz w:val="22"/>
    </w:rPr>
  </w:style>
  <w:style w:type="character" w:customStyle="1" w:styleId="WW8Num11z1">
    <w:name w:val="WW8Num11z1"/>
    <w:rPr>
      <w:b w:val="0"/>
      <w:i w:val="0"/>
    </w:rPr>
  </w:style>
  <w:style w:type="character" w:customStyle="1" w:styleId="WW8Num11z3">
    <w:name w:val="WW8Num11z3"/>
    <w:rPr>
      <w:rFonts w:ascii="Symbol" w:hAnsi="Symbol"/>
      <w:color w:val="auto"/>
      <w:sz w:val="28"/>
    </w:rPr>
  </w:style>
  <w:style w:type="character" w:customStyle="1" w:styleId="WW8Num12z0">
    <w:name w:val="WW8Num12z0"/>
    <w:rPr>
      <w:rFonts w:ascii="Times New Roman" w:hAnsi="Times New Roman"/>
      <w:b w:val="0"/>
      <w:i w:val="0"/>
      <w:sz w:val="22"/>
    </w:rPr>
  </w:style>
  <w:style w:type="character" w:customStyle="1" w:styleId="WW8Num12z1">
    <w:name w:val="WW8Num12z1"/>
    <w:rPr>
      <w:b w:val="0"/>
      <w:i w:val="0"/>
    </w:rPr>
  </w:style>
  <w:style w:type="character" w:customStyle="1" w:styleId="WW8Num12z3">
    <w:name w:val="WW8Num12z3"/>
    <w:rPr>
      <w:rFonts w:ascii="Symbol" w:hAnsi="Symbol"/>
      <w:color w:val="auto"/>
      <w:sz w:val="28"/>
    </w:rPr>
  </w:style>
  <w:style w:type="character" w:customStyle="1" w:styleId="WW8Num13z0">
    <w:name w:val="WW8Num13z0"/>
    <w:rPr>
      <w:rFonts w:ascii="Times New Roman" w:hAnsi="Times New Roman" w:cs="Times New Roman"/>
      <w:b w:val="0"/>
      <w:i w:val="0"/>
      <w:color w:val="auto"/>
      <w:position w:val="0"/>
      <w:sz w:val="22"/>
      <w:szCs w:val="22"/>
      <w:u w:val="none"/>
      <w:vertAlign w:val="baseline"/>
    </w:rPr>
  </w:style>
  <w:style w:type="character" w:customStyle="1" w:styleId="WW8Num13z1">
    <w:name w:val="WW8Num13z1"/>
    <w:rPr>
      <w:rFonts w:cs="Times New Roman"/>
      <w:b w:val="0"/>
      <w:i w:val="0"/>
    </w:rPr>
  </w:style>
  <w:style w:type="character" w:customStyle="1" w:styleId="WW8Num13z2">
    <w:name w:val="WW8Num13z2"/>
    <w:rPr>
      <w:rFonts w:cs="Times New Roman"/>
    </w:rPr>
  </w:style>
  <w:style w:type="character" w:customStyle="1" w:styleId="WW8Num13z3">
    <w:name w:val="WW8Num13z3"/>
    <w:rPr>
      <w:rFonts w:ascii="Symbol" w:hAnsi="Symbol"/>
      <w:color w:val="auto"/>
      <w:sz w:val="28"/>
    </w:rPr>
  </w:style>
  <w:style w:type="character" w:customStyle="1" w:styleId="DefaultParagraphFont1">
    <w:name w:val="Default Paragraph Font1"/>
  </w:style>
  <w:style w:type="character" w:customStyle="1" w:styleId="a">
    <w:name w:val="脚注番号"/>
    <w:rPr>
      <w:position w:val="0"/>
      <w:sz w:val="18"/>
      <w:u w:val="single"/>
      <w:vertAlign w:val="baseline"/>
    </w:rPr>
  </w:style>
  <w:style w:type="character" w:customStyle="1" w:styleId="a0">
    <w:name w:val="文末脚注番号"/>
    <w:rPr>
      <w:vertAlign w:val="superscript"/>
    </w:rPr>
  </w:style>
  <w:style w:type="character" w:styleId="PageNumber">
    <w:name w:val="page number"/>
    <w:rsid w:val="003A6883"/>
    <w:rPr>
      <w:rFonts w:ascii="Times New Roman" w:hAnsi="Times New Roman"/>
      <w:sz w:val="22"/>
    </w:rPr>
  </w:style>
  <w:style w:type="character" w:customStyle="1" w:styleId="Document5">
    <w:name w:val="Document 5"/>
    <w:basedOn w:val="DefaultParagraphFont1"/>
  </w:style>
  <w:style w:type="character" w:styleId="Hyperlink">
    <w:name w:val="Hyperlink"/>
    <w:rPr>
      <w:color w:val="0000FF"/>
      <w:u w:val="single"/>
    </w:rPr>
  </w:style>
  <w:style w:type="character" w:customStyle="1" w:styleId="BodyTextChar">
    <w:name w:val="Body Text Char"/>
    <w:rPr>
      <w:iCs/>
      <w:sz w:val="22"/>
      <w:szCs w:val="24"/>
      <w:lang w:val="en-GB" w:eastAsia="ar-SA" w:bidi="ar-SA"/>
    </w:rPr>
  </w:style>
  <w:style w:type="character" w:styleId="FollowedHyperlink">
    <w:name w:val="FollowedHyperlink"/>
    <w:rsid w:val="003A6883"/>
    <w:rPr>
      <w:color w:val="800080"/>
      <w:u w:val="single"/>
    </w:rPr>
  </w:style>
  <w:style w:type="character" w:customStyle="1" w:styleId="Heading2CharChar">
    <w:name w:val="Heading 2 Char Char"/>
    <w:rPr>
      <w:rFonts w:ascii="Arial" w:hAnsi="Arial" w:cs="Arial"/>
      <w:b/>
      <w:bCs/>
      <w:i/>
      <w:iCs/>
      <w:sz w:val="28"/>
      <w:szCs w:val="28"/>
      <w:lang w:val="en-US" w:eastAsia="ar-SA" w:bidi="ar-SA"/>
    </w:rPr>
  </w:style>
  <w:style w:type="character" w:customStyle="1" w:styleId="Para1Char">
    <w:name w:val="Para 1 Char"/>
    <w:rPr>
      <w:rFonts w:eastAsia="MS Mincho"/>
      <w:bCs/>
      <w:iCs/>
      <w:sz w:val="22"/>
      <w:szCs w:val="22"/>
      <w:lang w:val="en-GB" w:eastAsia="ar-SA" w:bidi="ar-SA"/>
    </w:rPr>
  </w:style>
  <w:style w:type="character" w:styleId="Strong">
    <w:name w:val="Strong"/>
    <w:qFormat/>
    <w:rPr>
      <w:b/>
      <w:bCs/>
    </w:rPr>
  </w:style>
  <w:style w:type="character" w:customStyle="1" w:styleId="StyleBodyTextTimesNewRoman11ptCharCharChar">
    <w:name w:val="Style Body Text + Times New Roman 11 pt Char Char Char"/>
    <w:rPr>
      <w:rFonts w:cs="Angsana New"/>
      <w:iCs/>
      <w:color w:val="000000"/>
      <w:sz w:val="22"/>
      <w:szCs w:val="22"/>
      <w:lang w:val="en-US" w:eastAsia="ar-SA" w:bidi="ar-SA"/>
    </w:rPr>
  </w:style>
  <w:style w:type="character" w:customStyle="1" w:styleId="CommentReference1">
    <w:name w:val="Comment Reference1"/>
    <w:rPr>
      <w:sz w:val="16"/>
      <w:szCs w:val="16"/>
    </w:rPr>
  </w:style>
  <w:style w:type="character" w:customStyle="1" w:styleId="CommentTextChar">
    <w:name w:val="Comment Text Char"/>
    <w:rPr>
      <w:lang w:val="en-GB"/>
    </w:rPr>
  </w:style>
  <w:style w:type="character" w:customStyle="1" w:styleId="FootnoteTextChar">
    <w:name w:val="Footnote Text Char"/>
    <w:rPr>
      <w:rFonts w:cs="Angsana New"/>
      <w:sz w:val="18"/>
      <w:szCs w:val="24"/>
      <w:lang w:val="en-GB"/>
    </w:rPr>
  </w:style>
  <w:style w:type="character" w:styleId="FootnoteReference">
    <w:name w:val="footnote reference"/>
    <w:rPr>
      <w:vertAlign w:val="superscript"/>
    </w:rPr>
  </w:style>
  <w:style w:type="character" w:customStyle="1" w:styleId="a1">
    <w:name w:val="番号付け記号"/>
  </w:style>
  <w:style w:type="character" w:styleId="EndnoteReference">
    <w:name w:val="endnote reference"/>
    <w:rPr>
      <w:vertAlign w:val="superscript"/>
    </w:rPr>
  </w:style>
  <w:style w:type="character" w:styleId="CommentReference">
    <w:name w:val="annotation reference"/>
    <w:rsid w:val="003A6883"/>
    <w:rPr>
      <w:sz w:val="16"/>
    </w:rPr>
  </w:style>
  <w:style w:type="character" w:customStyle="1" w:styleId="CommentTextChar1">
    <w:name w:val="Comment Text Char1"/>
    <w:rPr>
      <w:rFonts w:cs="Angsana New"/>
      <w:lang w:val="en-GB"/>
    </w:rPr>
  </w:style>
  <w:style w:type="character" w:customStyle="1" w:styleId="CommentSubjectChar">
    <w:name w:val="Comment Subject Char"/>
    <w:rPr>
      <w:rFonts w:cs="Angsana New"/>
      <w:b/>
      <w:bCs/>
      <w:lang w:val="en-GB"/>
    </w:rPr>
  </w:style>
  <w:style w:type="character" w:customStyle="1" w:styleId="BodyText2Char">
    <w:name w:val="Body Text 2 Char"/>
    <w:rPr>
      <w:rFonts w:cs="Angsana New"/>
      <w:sz w:val="22"/>
      <w:szCs w:val="24"/>
      <w:lang w:val="en-GB"/>
    </w:rPr>
  </w:style>
  <w:style w:type="character" w:styleId="FootnoteReference0">
    <w:name w:val="footnote reference"/>
    <w:rsid w:val="003A6883"/>
    <w:rPr>
      <w:sz w:val="18"/>
      <w:u w:val="single"/>
      <w:vertAlign w:val="baseline"/>
    </w:rPr>
  </w:style>
  <w:style w:type="character" w:styleId="EndnoteReference0">
    <w:name w:val="endnote reference"/>
    <w:rsid w:val="003A6883"/>
    <w:rPr>
      <w:vertAlign w:val="superscript"/>
    </w:rPr>
  </w:style>
  <w:style w:type="paragraph" w:customStyle="1" w:styleId="a2">
    <w:name w:val="見出し"/>
    <w:basedOn w:val="Normal"/>
    <w:next w:val="BodyText"/>
    <w:pPr>
      <w:keepNext/>
      <w:spacing w:before="240" w:after="120"/>
    </w:pPr>
    <w:rPr>
      <w:rFonts w:ascii="Arial" w:eastAsia="ヒラギノ角ゴ ProN W3" w:hAnsi="Arial" w:cs="Arial Unicode MS"/>
      <w:sz w:val="28"/>
      <w:szCs w:val="28"/>
    </w:rPr>
  </w:style>
  <w:style w:type="paragraph" w:styleId="BodyText">
    <w:name w:val="Body Text"/>
    <w:basedOn w:val="Normal"/>
    <w:link w:val="BodyTextChar1"/>
    <w:rsid w:val="003A6883"/>
    <w:pPr>
      <w:spacing w:before="120" w:after="120"/>
      <w:ind w:firstLine="720"/>
    </w:pPr>
    <w:rPr>
      <w:iCs/>
    </w:rPr>
  </w:style>
  <w:style w:type="paragraph" w:styleId="List">
    <w:name w:val="List"/>
    <w:basedOn w:val="BodyText"/>
    <w:rPr>
      <w:rFonts w:cs="Arial Unicode MS"/>
    </w:rPr>
  </w:style>
  <w:style w:type="paragraph" w:customStyle="1" w:styleId="a3">
    <w:name w:val="図表番号"/>
    <w:basedOn w:val="Normal"/>
    <w:pPr>
      <w:suppressLineNumbers/>
      <w:spacing w:before="120" w:after="120"/>
    </w:pPr>
    <w:rPr>
      <w:rFonts w:cs="Arial Unicode MS"/>
      <w:i/>
      <w:iCs/>
      <w:sz w:val="24"/>
    </w:rPr>
  </w:style>
  <w:style w:type="paragraph" w:customStyle="1" w:styleId="a4">
    <w:name w:val="索引"/>
    <w:basedOn w:val="Normal"/>
    <w:pPr>
      <w:suppressLineNumbers/>
    </w:pPr>
    <w:rPr>
      <w:rFonts w:cs="Arial Unicode MS"/>
    </w:rPr>
  </w:style>
  <w:style w:type="paragraph" w:styleId="Footer">
    <w:name w:val="footer"/>
    <w:basedOn w:val="Normal"/>
    <w:rsid w:val="003A6883"/>
    <w:pPr>
      <w:tabs>
        <w:tab w:val="center" w:pos="4320"/>
        <w:tab w:val="right" w:pos="8640"/>
      </w:tabs>
      <w:ind w:firstLine="720"/>
      <w:jc w:val="right"/>
    </w:pPr>
  </w:style>
  <w:style w:type="paragraph" w:customStyle="1" w:styleId="Para1">
    <w:name w:val="Para1"/>
    <w:basedOn w:val="Normal"/>
    <w:rsid w:val="003A6883"/>
    <w:pPr>
      <w:numPr>
        <w:numId w:val="13"/>
      </w:numPr>
      <w:spacing w:before="120" w:after="120"/>
    </w:pPr>
    <w:rPr>
      <w:snapToGrid w:val="0"/>
      <w:szCs w:val="18"/>
    </w:rPr>
  </w:style>
  <w:style w:type="paragraph" w:customStyle="1" w:styleId="Para2">
    <w:name w:val="Para2"/>
    <w:basedOn w:val="Para1"/>
    <w:rsid w:val="003A6883"/>
    <w:pPr>
      <w:numPr>
        <w:numId w:val="0"/>
      </w:numPr>
      <w:autoSpaceDE w:val="0"/>
      <w:autoSpaceDN w:val="0"/>
    </w:pPr>
  </w:style>
  <w:style w:type="paragraph" w:customStyle="1" w:styleId="Para3">
    <w:name w:val="Para3"/>
    <w:basedOn w:val="Normal"/>
    <w:rsid w:val="003A6883"/>
    <w:pPr>
      <w:numPr>
        <w:ilvl w:val="3"/>
        <w:numId w:val="14"/>
      </w:numPr>
      <w:tabs>
        <w:tab w:val="left" w:pos="1980"/>
      </w:tabs>
      <w:spacing w:before="80" w:after="80"/>
    </w:pPr>
    <w:rPr>
      <w:szCs w:val="20"/>
    </w:rPr>
  </w:style>
  <w:style w:type="paragraph" w:styleId="FootnoteText">
    <w:name w:val="footnote text"/>
    <w:basedOn w:val="Normal"/>
    <w:rsid w:val="003A6883"/>
    <w:pPr>
      <w:keepLines/>
      <w:spacing w:after="60"/>
      <w:ind w:firstLine="720"/>
    </w:pPr>
    <w:rPr>
      <w:sz w:val="18"/>
    </w:rPr>
  </w:style>
  <w:style w:type="paragraph" w:customStyle="1" w:styleId="Cornernotation">
    <w:name w:val="Corner notation"/>
    <w:basedOn w:val="Normal"/>
    <w:rsid w:val="003A6883"/>
    <w:pPr>
      <w:ind w:left="170" w:right="3119" w:hanging="170"/>
      <w:jc w:val="left"/>
    </w:pPr>
  </w:style>
  <w:style w:type="paragraph" w:customStyle="1" w:styleId="para20">
    <w:name w:val="para2"/>
    <w:basedOn w:val="Normal"/>
    <w:pPr>
      <w:numPr>
        <w:numId w:val="3"/>
      </w:numPr>
      <w:spacing w:before="120" w:after="120"/>
    </w:pPr>
    <w:rPr>
      <w:szCs w:val="20"/>
    </w:rPr>
  </w:style>
  <w:style w:type="paragraph" w:customStyle="1" w:styleId="Paranum">
    <w:name w:val="Paranum"/>
    <w:basedOn w:val="Para1"/>
    <w:pPr>
      <w:numPr>
        <w:numId w:val="4"/>
      </w:numPr>
      <w:spacing w:line="240" w:lineRule="exact"/>
    </w:pPr>
    <w:rPr>
      <w:szCs w:val="20"/>
      <w:lang w:val="en-US"/>
    </w:rPr>
  </w:style>
  <w:style w:type="paragraph" w:styleId="EndnoteText">
    <w:name w:val="endnote text"/>
    <w:basedOn w:val="Normal"/>
    <w:rsid w:val="003A6883"/>
    <w:pPr>
      <w:widowControl w:val="0"/>
      <w:tabs>
        <w:tab w:val="left" w:pos="-720"/>
      </w:tabs>
      <w:suppressAutoHyphens/>
    </w:pPr>
    <w:rPr>
      <w:rFonts w:ascii="Courier New" w:hAnsi="Courier New"/>
    </w:rPr>
  </w:style>
  <w:style w:type="paragraph" w:customStyle="1" w:styleId="para4">
    <w:name w:val="para4"/>
    <w:basedOn w:val="Normal"/>
    <w:rsid w:val="003A6883"/>
    <w:pPr>
      <w:overflowPunct w:val="0"/>
      <w:autoSpaceDE w:val="0"/>
      <w:autoSpaceDN w:val="0"/>
      <w:adjustRightInd w:val="0"/>
      <w:spacing w:after="120" w:line="240" w:lineRule="atLeast"/>
      <w:textAlignment w:val="baseline"/>
    </w:pPr>
    <w:rPr>
      <w:rFonts w:ascii="Courier" w:hAnsi="Courier"/>
      <w:color w:val="000000"/>
      <w:sz w:val="20"/>
      <w:szCs w:val="20"/>
    </w:rPr>
  </w:style>
  <w:style w:type="paragraph" w:customStyle="1" w:styleId="Heading1multiline">
    <w:name w:val="Heading 1 (multiline)"/>
    <w:basedOn w:val="Heading1"/>
    <w:rsid w:val="003A6883"/>
    <w:pPr>
      <w:ind w:left="1843" w:right="996" w:hanging="567"/>
      <w:jc w:val="left"/>
    </w:pPr>
  </w:style>
  <w:style w:type="paragraph" w:customStyle="1" w:styleId="Heading2multiline">
    <w:name w:val="Heading 2 (multiline)"/>
    <w:basedOn w:val="Heading1"/>
    <w:next w:val="Para1"/>
    <w:rsid w:val="003A6883"/>
    <w:pPr>
      <w:spacing w:before="120"/>
      <w:ind w:left="1843" w:right="998" w:hanging="567"/>
      <w:jc w:val="left"/>
    </w:pPr>
    <w:rPr>
      <w:i/>
      <w:iCs/>
      <w:caps w:val="0"/>
    </w:rPr>
  </w:style>
  <w:style w:type="paragraph" w:customStyle="1" w:styleId="Heading3multiline">
    <w:name w:val="Heading 3 (multiline)"/>
    <w:basedOn w:val="Heading3"/>
    <w:next w:val="Para1"/>
    <w:rsid w:val="003A6883"/>
    <w:pPr>
      <w:ind w:left="1418" w:hanging="425"/>
      <w:jc w:val="left"/>
    </w:pPr>
  </w:style>
  <w:style w:type="paragraph" w:customStyle="1" w:styleId="Heading2longmultiline">
    <w:name w:val="Heading 2 (long multiline)"/>
    <w:basedOn w:val="Heading2multiline"/>
    <w:rsid w:val="003A6883"/>
    <w:pPr>
      <w:ind w:left="2127" w:hanging="1276"/>
    </w:pPr>
  </w:style>
  <w:style w:type="paragraph" w:customStyle="1" w:styleId="Heading1longmultiline">
    <w:name w:val="Heading 1 (long multiline)"/>
    <w:basedOn w:val="Heading1"/>
    <w:rsid w:val="003A6883"/>
    <w:pPr>
      <w:ind w:left="1843" w:hanging="1134"/>
      <w:jc w:val="left"/>
    </w:pPr>
  </w:style>
  <w:style w:type="paragraph" w:styleId="BodyTextIndent">
    <w:name w:val="Body Text Indent"/>
    <w:basedOn w:val="Normal"/>
    <w:link w:val="BodyTextIndentChar"/>
    <w:rsid w:val="003A6883"/>
    <w:pPr>
      <w:spacing w:before="120" w:after="120"/>
      <w:ind w:left="1440" w:hanging="720"/>
      <w:jc w:val="left"/>
    </w:pPr>
  </w:style>
  <w:style w:type="paragraph" w:customStyle="1" w:styleId="Heading-plainbold">
    <w:name w:val="Heading-plain bold"/>
    <w:basedOn w:val="BodyText"/>
    <w:pPr>
      <w:ind w:firstLine="0"/>
      <w:jc w:val="center"/>
    </w:pPr>
    <w:rPr>
      <w:b/>
      <w:bCs/>
      <w:i/>
      <w:iCs w:val="0"/>
    </w:rPr>
  </w:style>
  <w:style w:type="paragraph" w:customStyle="1" w:styleId="Heading-plainitalic">
    <w:name w:val="Heading-plain italic"/>
    <w:basedOn w:val="Heading-plainbold"/>
    <w:rPr>
      <w:b w:val="0"/>
      <w:bCs w:val="0"/>
    </w:rPr>
  </w:style>
  <w:style w:type="paragraph" w:styleId="TOC1">
    <w:name w:val="toc 1"/>
    <w:basedOn w:val="Normal"/>
    <w:next w:val="Normal"/>
    <w:autoRedefine/>
    <w:rsid w:val="003A6883"/>
    <w:pPr>
      <w:ind w:left="720" w:hanging="720"/>
    </w:pPr>
    <w:rPr>
      <w:caps/>
    </w:rPr>
  </w:style>
  <w:style w:type="paragraph" w:styleId="TOC2">
    <w:name w:val="toc 2"/>
    <w:basedOn w:val="Normal"/>
    <w:next w:val="Normal"/>
    <w:autoRedefine/>
    <w:rsid w:val="003A6883"/>
    <w:pPr>
      <w:tabs>
        <w:tab w:val="right" w:leader="dot" w:pos="9356"/>
      </w:tabs>
      <w:ind w:left="1440" w:hanging="720"/>
    </w:pPr>
    <w:rPr>
      <w:noProof/>
      <w:szCs w:val="22"/>
    </w:rPr>
  </w:style>
  <w:style w:type="paragraph" w:styleId="TOC3">
    <w:name w:val="toc 3"/>
    <w:basedOn w:val="Normal"/>
    <w:next w:val="Normal"/>
    <w:autoRedefine/>
    <w:rsid w:val="003A6883"/>
    <w:pPr>
      <w:ind w:left="2160" w:hanging="720"/>
    </w:pPr>
  </w:style>
  <w:style w:type="paragraph" w:styleId="Header">
    <w:name w:val="header"/>
    <w:basedOn w:val="Normal"/>
    <w:link w:val="HeaderChar"/>
    <w:rsid w:val="003A6883"/>
    <w:pPr>
      <w:tabs>
        <w:tab w:val="center" w:pos="4320"/>
        <w:tab w:val="right" w:pos="8640"/>
      </w:tabs>
    </w:pPr>
  </w:style>
  <w:style w:type="paragraph" w:customStyle="1" w:styleId="HEADINGNOTFORTOC">
    <w:name w:val="HEADING (NOT FOR TOC)"/>
    <w:basedOn w:val="Heading1"/>
    <w:next w:val="Heading2"/>
    <w:rsid w:val="003A6883"/>
  </w:style>
  <w:style w:type="paragraph" w:customStyle="1" w:styleId="Paragraph">
    <w:name w:val="Paragraph"/>
    <w:basedOn w:val="Normal"/>
    <w:pPr>
      <w:spacing w:before="120" w:after="120"/>
    </w:pPr>
  </w:style>
  <w:style w:type="paragraph" w:customStyle="1" w:styleId="BodyTextIndent21">
    <w:name w:val="Body Text Indent 21"/>
    <w:basedOn w:val="Normal"/>
    <w:pPr>
      <w:ind w:firstLine="720"/>
    </w:pPr>
  </w:style>
  <w:style w:type="paragraph" w:styleId="BalloonText">
    <w:name w:val="Balloon Text"/>
    <w:basedOn w:val="Normal"/>
    <w:rPr>
      <w:rFonts w:ascii="Tahoma" w:hAnsi="Tahoma" w:cs="Tahoma"/>
      <w:sz w:val="16"/>
      <w:szCs w:val="16"/>
    </w:rPr>
  </w:style>
  <w:style w:type="paragraph" w:customStyle="1" w:styleId="bodytextnoindent">
    <w:name w:val="body text (no indent)"/>
    <w:basedOn w:val="Normal"/>
    <w:pPr>
      <w:widowControl w:val="0"/>
      <w:overflowPunct w:val="0"/>
      <w:autoSpaceDE w:val="0"/>
      <w:spacing w:before="120" w:after="120"/>
      <w:textAlignment w:val="baseline"/>
    </w:pPr>
    <w:rPr>
      <w:szCs w:val="20"/>
    </w:rPr>
  </w:style>
  <w:style w:type="paragraph" w:customStyle="1" w:styleId="BodyText21">
    <w:name w:val="Body Text 21"/>
    <w:basedOn w:val="Normal"/>
    <w:rPr>
      <w:i/>
      <w:iCs/>
    </w:rPr>
  </w:style>
  <w:style w:type="paragraph" w:customStyle="1" w:styleId="BodyText31">
    <w:name w:val="Body Text 31"/>
    <w:basedOn w:val="Normal"/>
    <w:pPr>
      <w:jc w:val="center"/>
    </w:pPr>
    <w:rPr>
      <w:sz w:val="28"/>
    </w:rPr>
  </w:style>
  <w:style w:type="paragraph" w:customStyle="1" w:styleId="Bodytextitalic">
    <w:name w:val="Body text italic"/>
    <w:basedOn w:val="BodyText"/>
    <w:rPr>
      <w:i/>
      <w:iCs w:val="0"/>
    </w:rPr>
  </w:style>
  <w:style w:type="paragraph" w:customStyle="1" w:styleId="boxbody">
    <w:name w:val="boxbody"/>
    <w:basedOn w:val="Normal"/>
    <w:pPr>
      <w:spacing w:before="100" w:after="100"/>
      <w:ind w:left="612" w:right="612"/>
    </w:pPr>
    <w:rPr>
      <w:rFonts w:ascii="Helvetica" w:eastAsia="Arial Unicode MS" w:hAnsi="Helvetica" w:cs="Arial Unicode MS"/>
      <w:sz w:val="18"/>
      <w:szCs w:val="18"/>
    </w:rPr>
  </w:style>
  <w:style w:type="paragraph" w:customStyle="1" w:styleId="HEADING">
    <w:name w:val="HEADING"/>
    <w:basedOn w:val="Normal"/>
    <w:rsid w:val="003A6883"/>
    <w:pPr>
      <w:keepNext/>
      <w:spacing w:before="240" w:after="120"/>
      <w:jc w:val="center"/>
    </w:pPr>
    <w:rPr>
      <w:b/>
      <w:bCs/>
      <w:caps/>
    </w:rPr>
  </w:style>
  <w:style w:type="paragraph" w:customStyle="1" w:styleId="Heading-plain">
    <w:name w:val="Heading - plain"/>
    <w:basedOn w:val="Heading2"/>
    <w:next w:val="BodyText"/>
    <w:pPr>
      <w:tabs>
        <w:tab w:val="clear" w:pos="720"/>
        <w:tab w:val="left" w:pos="900"/>
      </w:tabs>
    </w:pPr>
    <w:rPr>
      <w:rFonts w:eastAsia="Batang"/>
      <w:b w:val="0"/>
      <w:bCs w:val="0"/>
      <w:szCs w:val="20"/>
    </w:rPr>
  </w:style>
  <w:style w:type="paragraph" w:customStyle="1" w:styleId="Heading2noletter">
    <w:name w:val="Heading 2 (no letter)"/>
    <w:basedOn w:val="Heading2"/>
    <w:pPr>
      <w:tabs>
        <w:tab w:val="clear" w:pos="720"/>
      </w:tabs>
    </w:pPr>
  </w:style>
  <w:style w:type="paragraph" w:customStyle="1" w:styleId="Heading-plain0">
    <w:name w:val="Heading-plain"/>
    <w:basedOn w:val="Normal"/>
    <w:pPr>
      <w:spacing w:before="120" w:after="120"/>
      <w:jc w:val="center"/>
    </w:pPr>
    <w:rPr>
      <w:i/>
      <w:szCs w:val="20"/>
    </w:rPr>
  </w:style>
  <w:style w:type="paragraph" w:styleId="NormalWeb">
    <w:name w:val="Normal (Web)"/>
    <w:basedOn w:val="Normal"/>
    <w:pPr>
      <w:spacing w:before="100" w:after="100"/>
      <w:jc w:val="left"/>
    </w:pPr>
    <w:rPr>
      <w:rFonts w:ascii="Verdana" w:hAnsi="Verdana"/>
      <w:color w:val="000000"/>
      <w:sz w:val="18"/>
      <w:szCs w:val="18"/>
      <w:lang w:val="en-US"/>
    </w:rPr>
  </w:style>
  <w:style w:type="paragraph" w:customStyle="1" w:styleId="Para10">
    <w:name w:val="Para 1"/>
    <w:basedOn w:val="BodyText"/>
    <w:pPr>
      <w:ind w:firstLine="0"/>
    </w:pPr>
    <w:rPr>
      <w:rFonts w:eastAsia="MS Mincho"/>
      <w:bCs/>
      <w:iCs w:val="0"/>
      <w:szCs w:val="22"/>
    </w:rPr>
  </w:style>
  <w:style w:type="paragraph" w:customStyle="1" w:styleId="Para2rev">
    <w:name w:val="Para 2 (rev)"/>
    <w:basedOn w:val="Normal"/>
    <w:pPr>
      <w:tabs>
        <w:tab w:val="left" w:pos="720"/>
      </w:tabs>
      <w:spacing w:after="120"/>
      <w:ind w:left="720" w:hanging="360"/>
    </w:pPr>
  </w:style>
  <w:style w:type="paragraph" w:customStyle="1" w:styleId="Paraofficial">
    <w:name w:val="Para official"/>
    <w:basedOn w:val="Normal"/>
    <w:pPr>
      <w:numPr>
        <w:numId w:val="9"/>
      </w:numPr>
      <w:spacing w:before="240" w:after="240"/>
      <w:jc w:val="left"/>
    </w:pPr>
    <w:rPr>
      <w:szCs w:val="20"/>
    </w:rPr>
  </w:style>
  <w:style w:type="paragraph" w:customStyle="1" w:styleId="Para1Char0">
    <w:name w:val="Para1 Char"/>
    <w:basedOn w:val="Normal"/>
    <w:pPr>
      <w:tabs>
        <w:tab w:val="left" w:pos="720"/>
      </w:tabs>
      <w:spacing w:before="120" w:after="120"/>
      <w:ind w:left="360"/>
    </w:pPr>
    <w:rPr>
      <w:szCs w:val="18"/>
    </w:rPr>
  </w:style>
  <w:style w:type="paragraph" w:customStyle="1" w:styleId="Para1-Annex">
    <w:name w:val="Para1-Annex"/>
    <w:basedOn w:val="Normal"/>
    <w:pPr>
      <w:numPr>
        <w:numId w:val="8"/>
      </w:numPr>
      <w:spacing w:after="120"/>
    </w:pPr>
    <w:rPr>
      <w:szCs w:val="22"/>
      <w:lang w:val="en-US"/>
    </w:rPr>
  </w:style>
  <w:style w:type="paragraph" w:customStyle="1" w:styleId="Para40">
    <w:name w:val="Para4"/>
    <w:basedOn w:val="Para3"/>
    <w:pPr>
      <w:numPr>
        <w:ilvl w:val="0"/>
        <w:numId w:val="0"/>
      </w:numPr>
      <w:tabs>
        <w:tab w:val="clear" w:pos="1980"/>
        <w:tab w:val="left" w:pos="2552"/>
        <w:tab w:val="left" w:pos="3540"/>
      </w:tabs>
      <w:ind w:left="2552" w:hanging="567"/>
    </w:pPr>
    <w:rPr>
      <w:lang w:val="en-US"/>
    </w:rPr>
  </w:style>
  <w:style w:type="paragraph" w:customStyle="1" w:styleId="StyleBodyTextTimesNewRoman11ptCharChar">
    <w:name w:val="Style Body Text + Times New Roman 11 pt Char Char"/>
    <w:basedOn w:val="BodyText"/>
    <w:rPr>
      <w:iCs w:val="0"/>
      <w:color w:val="000000"/>
      <w:szCs w:val="22"/>
      <w:lang w:val="en-US"/>
    </w:rPr>
  </w:style>
  <w:style w:type="paragraph" w:customStyle="1" w:styleId="StylePara1Firstline127cm">
    <w:name w:val="Style Para1 + First line:  1.27 cm"/>
    <w:basedOn w:val="Para1"/>
    <w:pPr>
      <w:numPr>
        <w:numId w:val="0"/>
      </w:numPr>
      <w:tabs>
        <w:tab w:val="left" w:pos="360"/>
      </w:tabs>
    </w:pPr>
    <w:rPr>
      <w:szCs w:val="20"/>
    </w:rPr>
  </w:style>
  <w:style w:type="paragraph" w:styleId="Title">
    <w:name w:val="Title"/>
    <w:basedOn w:val="Normal"/>
    <w:next w:val="Subtitle"/>
    <w:qFormat/>
    <w:pPr>
      <w:jc w:val="center"/>
    </w:pPr>
    <w:rPr>
      <w:i/>
      <w:iCs/>
    </w:rPr>
  </w:style>
  <w:style w:type="paragraph" w:styleId="Subtitle">
    <w:name w:val="Subtitle"/>
    <w:basedOn w:val="a2"/>
    <w:next w:val="BodyText"/>
    <w:qFormat/>
    <w:pPr>
      <w:jc w:val="center"/>
    </w:pPr>
    <w:rPr>
      <w:i/>
      <w:iCs/>
    </w:rPr>
  </w:style>
  <w:style w:type="paragraph" w:styleId="TOC5">
    <w:name w:val="toc 5"/>
    <w:basedOn w:val="Normal"/>
    <w:next w:val="Normal"/>
    <w:autoRedefine/>
    <w:rsid w:val="003A6883"/>
    <w:pPr>
      <w:spacing w:before="120" w:after="120"/>
      <w:ind w:left="880"/>
      <w:jc w:val="left"/>
    </w:pPr>
  </w:style>
  <w:style w:type="paragraph" w:customStyle="1" w:styleId="CommentText1">
    <w:name w:val="Comment Text1"/>
    <w:basedOn w:val="Normal"/>
    <w:rPr>
      <w:sz w:val="20"/>
      <w:szCs w:val="20"/>
    </w:rPr>
  </w:style>
  <w:style w:type="paragraph" w:customStyle="1" w:styleId="a5">
    <w:name w:val="表の内容"/>
    <w:basedOn w:val="Normal"/>
    <w:pPr>
      <w:suppressLineNumbers/>
    </w:pPr>
  </w:style>
  <w:style w:type="paragraph" w:customStyle="1" w:styleId="a6">
    <w:name w:val="表の見出し"/>
    <w:basedOn w:val="a5"/>
    <w:pPr>
      <w:jc w:val="center"/>
    </w:pPr>
    <w:rPr>
      <w:b/>
      <w:bCs/>
    </w:rPr>
  </w:style>
  <w:style w:type="paragraph" w:styleId="CommentText">
    <w:name w:val="annotation text"/>
    <w:basedOn w:val="Normal"/>
    <w:rsid w:val="003A6883"/>
    <w:pPr>
      <w:spacing w:after="120" w:line="240" w:lineRule="exact"/>
    </w:pPr>
  </w:style>
  <w:style w:type="paragraph" w:styleId="CommentSubject">
    <w:name w:val="annotation subject"/>
    <w:basedOn w:val="CommentText"/>
    <w:next w:val="CommentText"/>
    <w:rPr>
      <w:b/>
      <w:bCs/>
    </w:rPr>
  </w:style>
  <w:style w:type="paragraph" w:styleId="BodyText2">
    <w:name w:val="Body Text 2"/>
    <w:basedOn w:val="Normal"/>
    <w:pPr>
      <w:spacing w:after="120" w:line="480" w:lineRule="auto"/>
    </w:pPr>
  </w:style>
  <w:style w:type="paragraph" w:customStyle="1" w:styleId="heading2notforTOC">
    <w:name w:val="heading 2 not for TOC"/>
    <w:basedOn w:val="Heading3"/>
    <w:rsid w:val="003A6883"/>
  </w:style>
  <w:style w:type="paragraph" w:customStyle="1" w:styleId="Heading4indent">
    <w:name w:val="Heading 4 indent"/>
    <w:basedOn w:val="Heading4"/>
    <w:rsid w:val="003A6883"/>
    <w:pPr>
      <w:ind w:left="720"/>
      <w:outlineLvl w:val="9"/>
    </w:pPr>
    <w:rPr>
      <w:rFonts w:ascii="Times New Roman" w:hAnsi="Times New Roman"/>
    </w:rPr>
  </w:style>
  <w:style w:type="paragraph" w:customStyle="1" w:styleId="Para-decision">
    <w:name w:val="Para-decision"/>
    <w:basedOn w:val="Normal"/>
    <w:rsid w:val="003A6883"/>
    <w:pPr>
      <w:tabs>
        <w:tab w:val="left" w:pos="-1440"/>
        <w:tab w:val="left" w:pos="-720"/>
        <w:tab w:val="left" w:pos="0"/>
        <w:tab w:val="left" w:pos="720"/>
        <w:tab w:val="left" w:pos="1440"/>
      </w:tabs>
      <w:suppressAutoHyphens/>
      <w:overflowPunct w:val="0"/>
      <w:autoSpaceDE w:val="0"/>
      <w:autoSpaceDN w:val="0"/>
      <w:adjustRightInd w:val="0"/>
      <w:spacing w:before="120" w:after="120"/>
      <w:ind w:firstLine="720"/>
      <w:jc w:val="left"/>
      <w:textAlignment w:val="baseline"/>
    </w:pPr>
    <w:rPr>
      <w:color w:val="000000"/>
    </w:rPr>
  </w:style>
  <w:style w:type="paragraph" w:customStyle="1" w:styleId="Quotationtextindented">
    <w:name w:val="Quotation text (indented)"/>
    <w:basedOn w:val="Normal"/>
    <w:qFormat/>
    <w:rsid w:val="003A6883"/>
    <w:pPr>
      <w:spacing w:before="120" w:after="120"/>
      <w:ind w:left="720" w:right="720"/>
    </w:pPr>
    <w:rPr>
      <w:bCs/>
    </w:rPr>
  </w:style>
  <w:style w:type="paragraph" w:customStyle="1" w:styleId="recommendationheader">
    <w:name w:val="recommendation header"/>
    <w:basedOn w:val="Heading2"/>
    <w:qFormat/>
    <w:rsid w:val="003A6883"/>
  </w:style>
  <w:style w:type="paragraph" w:customStyle="1" w:styleId="recommendationheaderlong">
    <w:name w:val="recommendation header long"/>
    <w:basedOn w:val="Heading2longmultiline"/>
    <w:qFormat/>
    <w:rsid w:val="003A6883"/>
  </w:style>
  <w:style w:type="paragraph" w:customStyle="1" w:styleId="reference">
    <w:name w:val="reference"/>
    <w:basedOn w:val="Heading9"/>
    <w:qFormat/>
    <w:rsid w:val="003A6883"/>
    <w:rPr>
      <w:i w:val="0"/>
      <w:sz w:val="18"/>
    </w:rPr>
  </w:style>
  <w:style w:type="character" w:customStyle="1" w:styleId="StyleFootnoteReferenceNounderline">
    <w:name w:val="Style Footnote Reference + No underline"/>
    <w:rsid w:val="003A6883"/>
    <w:rPr>
      <w:sz w:val="18"/>
      <w:u w:val="none"/>
      <w:vertAlign w:val="baseline"/>
    </w:rPr>
  </w:style>
  <w:style w:type="paragraph" w:customStyle="1" w:styleId="tabletitle">
    <w:name w:val="table title"/>
    <w:basedOn w:val="Heading2"/>
    <w:qFormat/>
    <w:rsid w:val="003A6883"/>
    <w:pPr>
      <w:jc w:val="left"/>
      <w:outlineLvl w:val="9"/>
    </w:pPr>
  </w:style>
  <w:style w:type="paragraph" w:styleId="TOAHeading">
    <w:name w:val="toa heading"/>
    <w:basedOn w:val="Normal"/>
    <w:next w:val="Normal"/>
    <w:semiHidden/>
    <w:rsid w:val="003A6883"/>
    <w:pPr>
      <w:spacing w:before="120"/>
    </w:pPr>
    <w:rPr>
      <w:rFonts w:cs="Arial"/>
      <w:b/>
      <w:bCs/>
      <w:sz w:val="24"/>
    </w:rPr>
  </w:style>
  <w:style w:type="paragraph" w:styleId="TOC4">
    <w:name w:val="toc 4"/>
    <w:basedOn w:val="Normal"/>
    <w:next w:val="Normal"/>
    <w:autoRedefine/>
    <w:semiHidden/>
    <w:rsid w:val="003A6883"/>
    <w:pPr>
      <w:spacing w:before="120" w:after="120"/>
      <w:ind w:left="660"/>
      <w:jc w:val="left"/>
    </w:pPr>
  </w:style>
  <w:style w:type="paragraph" w:styleId="TOC6">
    <w:name w:val="toc 6"/>
    <w:basedOn w:val="Normal"/>
    <w:next w:val="Normal"/>
    <w:autoRedefine/>
    <w:semiHidden/>
    <w:rsid w:val="003A6883"/>
    <w:pPr>
      <w:spacing w:before="120" w:after="120"/>
      <w:ind w:left="1100"/>
      <w:jc w:val="left"/>
    </w:pPr>
  </w:style>
  <w:style w:type="paragraph" w:styleId="TOC7">
    <w:name w:val="toc 7"/>
    <w:basedOn w:val="Normal"/>
    <w:next w:val="Normal"/>
    <w:autoRedefine/>
    <w:semiHidden/>
    <w:rsid w:val="003A6883"/>
    <w:pPr>
      <w:spacing w:before="120" w:after="120"/>
      <w:ind w:left="1320"/>
      <w:jc w:val="left"/>
    </w:pPr>
  </w:style>
  <w:style w:type="paragraph" w:styleId="TOC8">
    <w:name w:val="toc 8"/>
    <w:basedOn w:val="Normal"/>
    <w:next w:val="Normal"/>
    <w:autoRedefine/>
    <w:semiHidden/>
    <w:rsid w:val="003A6883"/>
    <w:pPr>
      <w:spacing w:before="120" w:after="120"/>
      <w:ind w:left="1540"/>
      <w:jc w:val="left"/>
    </w:pPr>
  </w:style>
  <w:style w:type="paragraph" w:styleId="TOC9">
    <w:name w:val="toc 9"/>
    <w:basedOn w:val="Normal"/>
    <w:next w:val="Normal"/>
    <w:autoRedefine/>
    <w:semiHidden/>
    <w:rsid w:val="003A6883"/>
    <w:pPr>
      <w:spacing w:before="120" w:after="120"/>
      <w:ind w:left="1760"/>
      <w:jc w:val="left"/>
    </w:pPr>
  </w:style>
  <w:style w:type="character" w:customStyle="1" w:styleId="HeaderChar">
    <w:name w:val="Header Char"/>
    <w:link w:val="Header"/>
    <w:rsid w:val="00FF2A2F"/>
    <w:rPr>
      <w:sz w:val="22"/>
      <w:szCs w:val="24"/>
      <w:lang w:val="en-GB"/>
    </w:rPr>
  </w:style>
  <w:style w:type="character" w:customStyle="1" w:styleId="BodyTextChar1">
    <w:name w:val="Body Text Char1"/>
    <w:link w:val="BodyText"/>
    <w:rsid w:val="003A6883"/>
    <w:rPr>
      <w:iCs/>
      <w:sz w:val="22"/>
      <w:szCs w:val="24"/>
      <w:lang w:val="en-GB"/>
    </w:rPr>
  </w:style>
  <w:style w:type="character" w:customStyle="1" w:styleId="BodyTextIndentChar">
    <w:name w:val="Body Text Indent Char"/>
    <w:link w:val="BodyTextIndent"/>
    <w:rsid w:val="003A6883"/>
    <w:rPr>
      <w:sz w:val="22"/>
      <w:szCs w:val="24"/>
      <w:lang w:val="en-GB"/>
    </w:rPr>
  </w:style>
  <w:style w:type="paragraph" w:styleId="Revision">
    <w:name w:val="Revision"/>
    <w:hidden/>
    <w:uiPriority w:val="71"/>
    <w:rsid w:val="00BA131C"/>
    <w:rPr>
      <w:sz w:val="22"/>
      <w:szCs w:val="24"/>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pixelsPerInch w:val="72"/>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header" Target="header4.xml"/><Relationship Id="rId2" Type="http://schemas.openxmlformats.org/officeDocument/2006/relationships/numbering" Target="numbering.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A2846A3-E150-4F87-BEE4-A540DCBFE2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Pages>
  <Words>2080</Words>
  <Characters>11857</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agenda</vt:lpstr>
    </vt:vector>
  </TitlesOfParts>
  <Company>SCBD</Company>
  <LinksUpToDate>false</LinksUpToDate>
  <CharactersWithSpaces>13910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agenda</dc:title>
  <dc:subject>INTERGOVERNMENTAL COMMITTEE FOR THE NAGOYA PROTOCOL ON ACCESS TO GENETIC RESOURCES AND THE FAIR AND EQUITABLE SHARING OF BENEFITS ARISING OUT OF THEIR UTILIZATION TO THE CONVENTION ON BIOLOGICAL DIVERSITY</dc:subject>
  <dc:creator>JShimura</dc:creator>
  <cp:keywords/>
  <cp:lastModifiedBy>Rodrigo Elias</cp:lastModifiedBy>
  <cp:revision>2</cp:revision>
  <cp:lastPrinted>2014-10-08T20:36:00Z</cp:lastPrinted>
  <dcterms:created xsi:type="dcterms:W3CDTF">2025-11-13T14:41:00Z</dcterms:created>
  <dcterms:modified xsi:type="dcterms:W3CDTF">2025-11-13T14:41:00Z</dcterms:modified>
</cp:coreProperties>
</file>