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207" w:type="dxa"/>
        <w:tblInd w:w="-34" w:type="dxa"/>
        <w:tblBorders>
          <w:bottom w:val="single" w:sz="36" w:space="0" w:color="000000"/>
        </w:tblBorders>
        <w:tblLayout w:type="fixed"/>
        <w:tblLook w:val="0000" w:firstRow="0" w:lastRow="0" w:firstColumn="0" w:lastColumn="0" w:noHBand="0" w:noVBand="0"/>
      </w:tblPr>
      <w:tblGrid>
        <w:gridCol w:w="1213"/>
        <w:gridCol w:w="1244"/>
        <w:gridCol w:w="2610"/>
        <w:gridCol w:w="1738"/>
        <w:gridCol w:w="3402"/>
      </w:tblGrid>
      <w:tr w:rsidR="004547D2" w:rsidRPr="00807D09" w14:paraId="73EB1595" w14:textId="77777777" w:rsidTr="007D50FF">
        <w:tblPrEx>
          <w:tblCellMar>
            <w:top w:w="0" w:type="dxa"/>
            <w:bottom w:w="0" w:type="dxa"/>
          </w:tblCellMar>
        </w:tblPrEx>
        <w:tc>
          <w:tcPr>
            <w:tcW w:w="1213" w:type="dxa"/>
            <w:tcBorders>
              <w:top w:val="nil"/>
              <w:bottom w:val="single" w:sz="12" w:space="0" w:color="000000"/>
            </w:tcBorders>
          </w:tcPr>
          <w:p w14:paraId="0395319E" w14:textId="77777777" w:rsidR="004547D2" w:rsidRPr="00807D09" w:rsidRDefault="0050656D" w:rsidP="00CA2044">
            <w:pPr>
              <w:pStyle w:val="BodyText2"/>
              <w:rPr>
                <w:kern w:val="22"/>
              </w:rPr>
            </w:pPr>
            <w:r w:rsidRPr="00807D09">
              <w:rPr>
                <w:noProof/>
                <w:kern w:val="22"/>
              </w:rPr>
              <w:drawing>
                <wp:inline distT="0" distB="0" distL="0" distR="0" wp14:anchorId="48FC83D3" wp14:editId="4BC6CCD1">
                  <wp:extent cx="501650" cy="584200"/>
                  <wp:effectExtent l="0" t="0" r="0" b="0"/>
                  <wp:docPr id="1"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1650" cy="584200"/>
                          </a:xfrm>
                          <a:prstGeom prst="rect">
                            <a:avLst/>
                          </a:prstGeom>
                          <a:noFill/>
                          <a:ln>
                            <a:noFill/>
                          </a:ln>
                        </pic:spPr>
                      </pic:pic>
                    </a:graphicData>
                  </a:graphic>
                </wp:inline>
              </w:drawing>
            </w:r>
          </w:p>
        </w:tc>
        <w:tc>
          <w:tcPr>
            <w:tcW w:w="1244" w:type="dxa"/>
            <w:tcBorders>
              <w:top w:val="nil"/>
              <w:bottom w:val="single" w:sz="12" w:space="0" w:color="000000"/>
            </w:tcBorders>
          </w:tcPr>
          <w:p w14:paraId="0D9D1DD8" w14:textId="77777777" w:rsidR="004547D2" w:rsidRPr="00807D09" w:rsidRDefault="0050656D" w:rsidP="00CA2044">
            <w:pPr>
              <w:rPr>
                <w:kern w:val="22"/>
              </w:rPr>
            </w:pPr>
            <w:r w:rsidRPr="00807D09">
              <w:rPr>
                <w:b/>
                <w:noProof/>
                <w:kern w:val="22"/>
              </w:rPr>
              <w:drawing>
                <wp:inline distT="0" distB="0" distL="0" distR="0" wp14:anchorId="0F24C303" wp14:editId="7146FF8E">
                  <wp:extent cx="685800" cy="558800"/>
                  <wp:effectExtent l="0" t="0" r="0" b="0"/>
                  <wp:docPr id="2"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pic:cNvPicPr>
                        </pic:nvPicPr>
                        <pic:blipFill>
                          <a:blip r:embed="rId9" cstate="print">
                            <a:extLst>
                              <a:ext uri="{28A0092B-C50C-407E-A947-70E740481C1C}">
                                <a14:useLocalDpi xmlns:a14="http://schemas.microsoft.com/office/drawing/2010/main" val="0"/>
                              </a:ext>
                            </a:extLst>
                          </a:blip>
                          <a:srcRect l="4395" r="4395"/>
                          <a:stretch>
                            <a:fillRect/>
                          </a:stretch>
                        </pic:blipFill>
                        <pic:spPr bwMode="auto">
                          <a:xfrm>
                            <a:off x="0" y="0"/>
                            <a:ext cx="685800" cy="558800"/>
                          </a:xfrm>
                          <a:prstGeom prst="rect">
                            <a:avLst/>
                          </a:prstGeom>
                          <a:noFill/>
                          <a:ln>
                            <a:noFill/>
                          </a:ln>
                        </pic:spPr>
                      </pic:pic>
                    </a:graphicData>
                  </a:graphic>
                </wp:inline>
              </w:drawing>
            </w:r>
          </w:p>
        </w:tc>
        <w:tc>
          <w:tcPr>
            <w:tcW w:w="7750" w:type="dxa"/>
            <w:gridSpan w:val="3"/>
            <w:tcBorders>
              <w:top w:val="nil"/>
              <w:bottom w:val="single" w:sz="12" w:space="0" w:color="000000"/>
            </w:tcBorders>
          </w:tcPr>
          <w:p w14:paraId="5F8E97B9" w14:textId="77777777" w:rsidR="004547D2" w:rsidRPr="00807D09" w:rsidRDefault="004547D2" w:rsidP="00CA2044">
            <w:pPr>
              <w:tabs>
                <w:tab w:val="left" w:pos="1125"/>
                <w:tab w:val="left" w:pos="6815"/>
                <w:tab w:val="right" w:pos="7611"/>
              </w:tabs>
              <w:rPr>
                <w:rFonts w:ascii="Univers" w:hAnsi="Univers"/>
                <w:b/>
                <w:kern w:val="22"/>
                <w:sz w:val="32"/>
              </w:rPr>
            </w:pPr>
            <w:r w:rsidRPr="00807D09">
              <w:rPr>
                <w:rFonts w:ascii="Univers" w:hAnsi="Univers"/>
                <w:b/>
                <w:kern w:val="22"/>
                <w:sz w:val="32"/>
              </w:rPr>
              <w:tab/>
            </w:r>
            <w:r w:rsidRPr="00807D09">
              <w:rPr>
                <w:rFonts w:ascii="Univers" w:hAnsi="Univers"/>
                <w:b/>
                <w:kern w:val="22"/>
                <w:sz w:val="32"/>
              </w:rPr>
              <w:tab/>
            </w:r>
            <w:r w:rsidRPr="00807D09">
              <w:rPr>
                <w:rFonts w:ascii="Univers" w:hAnsi="Univers"/>
                <w:b/>
                <w:kern w:val="22"/>
                <w:sz w:val="32"/>
              </w:rPr>
              <w:tab/>
              <w:t>CBD</w:t>
            </w:r>
          </w:p>
          <w:p w14:paraId="7C5F6D25" w14:textId="77777777" w:rsidR="004547D2" w:rsidRPr="00807D09" w:rsidRDefault="004547D2" w:rsidP="00CA2044">
            <w:pPr>
              <w:jc w:val="right"/>
              <w:rPr>
                <w:b/>
                <w:kern w:val="22"/>
                <w:sz w:val="28"/>
              </w:rPr>
            </w:pPr>
          </w:p>
        </w:tc>
      </w:tr>
      <w:tr w:rsidR="004547D2" w:rsidRPr="00807D09" w14:paraId="417F0350" w14:textId="77777777" w:rsidTr="007D50FF">
        <w:tblPrEx>
          <w:tblCellMar>
            <w:top w:w="0" w:type="dxa"/>
            <w:bottom w:w="0" w:type="dxa"/>
          </w:tblCellMar>
        </w:tblPrEx>
        <w:trPr>
          <w:trHeight w:val="1693"/>
        </w:trPr>
        <w:tc>
          <w:tcPr>
            <w:tcW w:w="5067" w:type="dxa"/>
            <w:gridSpan w:val="3"/>
            <w:tcBorders>
              <w:top w:val="nil"/>
              <w:bottom w:val="single" w:sz="36" w:space="0" w:color="000000"/>
            </w:tcBorders>
          </w:tcPr>
          <w:p w14:paraId="1CA7D99C" w14:textId="77777777" w:rsidR="004547D2" w:rsidRPr="00807D09" w:rsidRDefault="004547D2" w:rsidP="00CA2044">
            <w:pPr>
              <w:rPr>
                <w:kern w:val="22"/>
              </w:rPr>
            </w:pPr>
          </w:p>
          <w:p w14:paraId="6E53FF79" w14:textId="77777777" w:rsidR="004547D2" w:rsidRPr="00807D09" w:rsidRDefault="0050656D" w:rsidP="00CA2044">
            <w:pPr>
              <w:rPr>
                <w:kern w:val="22"/>
              </w:rPr>
            </w:pPr>
            <w:r w:rsidRPr="00807D09">
              <w:rPr>
                <w:noProof/>
                <w:kern w:val="22"/>
              </w:rPr>
              <w:drawing>
                <wp:inline distT="0" distB="0" distL="0" distR="0" wp14:anchorId="6A91D09E" wp14:editId="76FD29AB">
                  <wp:extent cx="2838450" cy="1079500"/>
                  <wp:effectExtent l="0" t="0" r="0" b="0"/>
                  <wp:docPr id="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p w14:paraId="277CC1F0" w14:textId="77777777" w:rsidR="004547D2" w:rsidRPr="00807D09" w:rsidRDefault="004547D2" w:rsidP="00CA2044">
            <w:pPr>
              <w:rPr>
                <w:rFonts w:ascii="Univers" w:hAnsi="Univers"/>
                <w:kern w:val="22"/>
              </w:rPr>
            </w:pPr>
          </w:p>
        </w:tc>
        <w:tc>
          <w:tcPr>
            <w:tcW w:w="1738" w:type="dxa"/>
            <w:tcBorders>
              <w:top w:val="nil"/>
              <w:bottom w:val="single" w:sz="36" w:space="0" w:color="000000"/>
            </w:tcBorders>
          </w:tcPr>
          <w:p w14:paraId="7828ED20" w14:textId="77777777" w:rsidR="004547D2" w:rsidRPr="00807D09" w:rsidRDefault="004547D2" w:rsidP="00CA2044">
            <w:pPr>
              <w:pStyle w:val="Header"/>
              <w:tabs>
                <w:tab w:val="clear" w:pos="4320"/>
                <w:tab w:val="clear" w:pos="8640"/>
              </w:tabs>
              <w:ind w:left="1478" w:right="-2943"/>
              <w:rPr>
                <w:b/>
                <w:kern w:val="22"/>
                <w:szCs w:val="22"/>
              </w:rPr>
            </w:pPr>
          </w:p>
          <w:p w14:paraId="551DD5C4" w14:textId="77777777" w:rsidR="004547D2" w:rsidRPr="00807D09" w:rsidRDefault="004547D2" w:rsidP="00CA2044">
            <w:pPr>
              <w:pStyle w:val="Header"/>
              <w:tabs>
                <w:tab w:val="clear" w:pos="4320"/>
                <w:tab w:val="clear" w:pos="8640"/>
              </w:tabs>
              <w:ind w:left="1478" w:right="-2943"/>
              <w:rPr>
                <w:b/>
                <w:kern w:val="22"/>
                <w:szCs w:val="22"/>
              </w:rPr>
            </w:pPr>
          </w:p>
          <w:p w14:paraId="749EA4AE" w14:textId="77777777" w:rsidR="004547D2" w:rsidRPr="00807D09" w:rsidRDefault="004547D2" w:rsidP="00CA2044">
            <w:pPr>
              <w:pStyle w:val="Header"/>
              <w:tabs>
                <w:tab w:val="clear" w:pos="4320"/>
                <w:tab w:val="clear" w:pos="8640"/>
              </w:tabs>
              <w:ind w:left="1478" w:right="-2943"/>
              <w:rPr>
                <w:b/>
                <w:kern w:val="22"/>
                <w:szCs w:val="22"/>
              </w:rPr>
            </w:pPr>
          </w:p>
          <w:p w14:paraId="0520974F" w14:textId="77777777" w:rsidR="004547D2" w:rsidRPr="00807D09" w:rsidRDefault="004547D2" w:rsidP="00CA2044">
            <w:pPr>
              <w:pStyle w:val="Header"/>
              <w:tabs>
                <w:tab w:val="clear" w:pos="4320"/>
                <w:tab w:val="clear" w:pos="8640"/>
              </w:tabs>
              <w:ind w:right="-2943"/>
              <w:rPr>
                <w:b/>
                <w:kern w:val="22"/>
                <w:szCs w:val="22"/>
                <w:u w:val="single"/>
              </w:rPr>
            </w:pPr>
            <w:r w:rsidRPr="00807D09">
              <w:rPr>
                <w:b/>
                <w:kern w:val="22"/>
                <w:szCs w:val="22"/>
              </w:rPr>
              <w:t xml:space="preserve">  </w:t>
            </w:r>
          </w:p>
          <w:p w14:paraId="4E595AFC" w14:textId="77777777" w:rsidR="004547D2" w:rsidRPr="00807D09" w:rsidRDefault="004547D2" w:rsidP="00CA2044">
            <w:pPr>
              <w:pStyle w:val="Header"/>
              <w:tabs>
                <w:tab w:val="clear" w:pos="4320"/>
                <w:tab w:val="clear" w:pos="8640"/>
              </w:tabs>
              <w:ind w:left="1478" w:right="-2943"/>
              <w:rPr>
                <w:b/>
                <w:color w:val="FF0000"/>
                <w:kern w:val="22"/>
                <w:szCs w:val="22"/>
              </w:rPr>
            </w:pPr>
          </w:p>
        </w:tc>
        <w:tc>
          <w:tcPr>
            <w:tcW w:w="3402" w:type="dxa"/>
            <w:tcBorders>
              <w:top w:val="nil"/>
              <w:bottom w:val="single" w:sz="36" w:space="0" w:color="000000"/>
            </w:tcBorders>
          </w:tcPr>
          <w:p w14:paraId="5504529B" w14:textId="77777777" w:rsidR="004547D2" w:rsidRPr="00807D09" w:rsidRDefault="004547D2" w:rsidP="007D50FF">
            <w:pPr>
              <w:ind w:left="175"/>
              <w:rPr>
                <w:kern w:val="22"/>
                <w:szCs w:val="22"/>
              </w:rPr>
            </w:pPr>
            <w:r w:rsidRPr="00807D09">
              <w:rPr>
                <w:kern w:val="22"/>
                <w:szCs w:val="22"/>
              </w:rPr>
              <w:t>Distr.</w:t>
            </w:r>
          </w:p>
          <w:p w14:paraId="21E1F514" w14:textId="77777777" w:rsidR="004547D2" w:rsidRPr="00807D09" w:rsidRDefault="007D50FF" w:rsidP="007D50FF">
            <w:pPr>
              <w:ind w:left="175"/>
              <w:rPr>
                <w:kern w:val="22"/>
                <w:szCs w:val="22"/>
              </w:rPr>
            </w:pPr>
            <w:r w:rsidRPr="00807D09">
              <w:rPr>
                <w:kern w:val="22"/>
                <w:szCs w:val="22"/>
              </w:rPr>
              <w:t>GENERAL</w:t>
            </w:r>
          </w:p>
          <w:p w14:paraId="7483C1E6" w14:textId="77777777" w:rsidR="004547D2" w:rsidRPr="00807D09" w:rsidRDefault="004547D2" w:rsidP="007D50FF">
            <w:pPr>
              <w:ind w:left="175"/>
              <w:rPr>
                <w:kern w:val="22"/>
                <w:szCs w:val="22"/>
              </w:rPr>
            </w:pPr>
          </w:p>
          <w:p w14:paraId="7DB29940" w14:textId="77777777" w:rsidR="004547D2" w:rsidRPr="00807D09" w:rsidRDefault="004547D2" w:rsidP="007D50FF">
            <w:pPr>
              <w:ind w:left="175"/>
              <w:rPr>
                <w:kern w:val="22"/>
                <w:szCs w:val="22"/>
              </w:rPr>
            </w:pPr>
            <w:r w:rsidRPr="00807D09">
              <w:rPr>
                <w:kern w:val="22"/>
                <w:szCs w:val="22"/>
              </w:rPr>
              <w:t>UNEP/CBD/COP/</w:t>
            </w:r>
            <w:r w:rsidR="007D50FF" w:rsidRPr="00807D09">
              <w:rPr>
                <w:kern w:val="22"/>
                <w:szCs w:val="22"/>
              </w:rPr>
              <w:t>DEC/XII/1</w:t>
            </w:r>
            <w:r w:rsidR="00E855A4" w:rsidRPr="00807D09">
              <w:rPr>
                <w:kern w:val="22"/>
                <w:szCs w:val="22"/>
              </w:rPr>
              <w:t>7</w:t>
            </w:r>
          </w:p>
          <w:p w14:paraId="47AE2077" w14:textId="77777777" w:rsidR="004547D2" w:rsidRPr="00807D09" w:rsidRDefault="007D50FF" w:rsidP="007D50FF">
            <w:pPr>
              <w:ind w:left="175"/>
              <w:rPr>
                <w:kern w:val="22"/>
                <w:szCs w:val="22"/>
              </w:rPr>
            </w:pPr>
            <w:r w:rsidRPr="00807D09">
              <w:rPr>
                <w:kern w:val="22"/>
                <w:szCs w:val="22"/>
              </w:rPr>
              <w:t>17</w:t>
            </w:r>
            <w:r w:rsidR="004547D2" w:rsidRPr="00807D09">
              <w:rPr>
                <w:kern w:val="22"/>
                <w:szCs w:val="22"/>
              </w:rPr>
              <w:t xml:space="preserve"> October 2014</w:t>
            </w:r>
          </w:p>
          <w:p w14:paraId="7E204493" w14:textId="77777777" w:rsidR="004547D2" w:rsidRPr="00807D09" w:rsidRDefault="004547D2" w:rsidP="007D50FF">
            <w:pPr>
              <w:ind w:left="175"/>
              <w:rPr>
                <w:kern w:val="22"/>
                <w:szCs w:val="22"/>
              </w:rPr>
            </w:pPr>
          </w:p>
          <w:p w14:paraId="36F3C951" w14:textId="77777777" w:rsidR="004547D2" w:rsidRPr="00807D09" w:rsidRDefault="004547D2" w:rsidP="007D50FF">
            <w:pPr>
              <w:ind w:left="175"/>
              <w:rPr>
                <w:b/>
                <w:bCs/>
                <w:kern w:val="22"/>
                <w:szCs w:val="22"/>
                <w:u w:val="single"/>
              </w:rPr>
            </w:pPr>
            <w:r w:rsidRPr="00807D09">
              <w:rPr>
                <w:kern w:val="22"/>
                <w:szCs w:val="22"/>
              </w:rPr>
              <w:t>ORIGINAL:  ENGLISH</w:t>
            </w:r>
          </w:p>
        </w:tc>
      </w:tr>
    </w:tbl>
    <w:p w14:paraId="40AEFA91" w14:textId="77777777" w:rsidR="00522DE1" w:rsidRPr="00F1065A" w:rsidRDefault="00522DE1">
      <w:pPr>
        <w:pStyle w:val="Cornernotation"/>
        <w:ind w:right="3973"/>
        <w:rPr>
          <w:caps/>
          <w:kern w:val="22"/>
        </w:rPr>
      </w:pPr>
      <w:r w:rsidRPr="00F1065A">
        <w:rPr>
          <w:caps/>
          <w:kern w:val="22"/>
        </w:rPr>
        <w:t>CONFERENCE OF THE PARTIES TO THE CONVENTION ON BIOLOGICAL DIVERSITY</w:t>
      </w:r>
    </w:p>
    <w:p w14:paraId="13CF52BD" w14:textId="77777777" w:rsidR="00522DE1" w:rsidRPr="00FB0ABD" w:rsidRDefault="00522DE1">
      <w:pPr>
        <w:pStyle w:val="Cornernotation"/>
        <w:ind w:right="3548"/>
        <w:rPr>
          <w:kern w:val="22"/>
          <w:szCs w:val="22"/>
        </w:rPr>
      </w:pPr>
      <w:r w:rsidRPr="00FB0ABD">
        <w:rPr>
          <w:kern w:val="22"/>
          <w:szCs w:val="22"/>
        </w:rPr>
        <w:t>Twelfth meeting</w:t>
      </w:r>
    </w:p>
    <w:p w14:paraId="13A5C9C5" w14:textId="77777777" w:rsidR="00522DE1" w:rsidRPr="00807D09" w:rsidRDefault="00522DE1">
      <w:pPr>
        <w:pStyle w:val="Cornernotation"/>
        <w:rPr>
          <w:kern w:val="22"/>
        </w:rPr>
      </w:pPr>
      <w:r w:rsidRPr="00FB0ABD">
        <w:rPr>
          <w:noProof/>
          <w:kern w:val="22"/>
        </w:rPr>
        <w:t>Pyeongchang</w:t>
      </w:r>
      <w:r w:rsidRPr="00807D09">
        <w:rPr>
          <w:kern w:val="22"/>
        </w:rPr>
        <w:t>, Republic of Korea, 6-17 October 2014</w:t>
      </w:r>
    </w:p>
    <w:p w14:paraId="5A3A4B61" w14:textId="77777777" w:rsidR="00522DE1" w:rsidRPr="00807D09" w:rsidRDefault="00522DE1" w:rsidP="004547D2">
      <w:pPr>
        <w:pStyle w:val="Cornernotation"/>
        <w:ind w:right="3548"/>
        <w:rPr>
          <w:kern w:val="22"/>
          <w:szCs w:val="22"/>
        </w:rPr>
      </w:pPr>
      <w:r w:rsidRPr="00807D09">
        <w:rPr>
          <w:kern w:val="22"/>
          <w:szCs w:val="22"/>
        </w:rPr>
        <w:t>Agenda item 22</w:t>
      </w:r>
    </w:p>
    <w:p w14:paraId="096AA6A7" w14:textId="77777777" w:rsidR="007D50FF" w:rsidRPr="00F1065A" w:rsidRDefault="007D50FF">
      <w:pPr>
        <w:pStyle w:val="HEADINGNOTFORTOC"/>
        <w:rPr>
          <w:kern w:val="22"/>
        </w:rPr>
      </w:pPr>
      <w:r w:rsidRPr="00807D09">
        <w:rPr>
          <w:kern w:val="22"/>
          <w:szCs w:val="22"/>
        </w:rPr>
        <w:t>DECISION ADOPTED BY THE CONFERENCE OF THE PARTIES TO THE CONVENTION ON BIOLOGICAL DIVERSITY</w:t>
      </w:r>
    </w:p>
    <w:p w14:paraId="5B88030C" w14:textId="77777777" w:rsidR="00BF4783" w:rsidRPr="00807D09" w:rsidRDefault="00E855A4" w:rsidP="00807D09">
      <w:pPr>
        <w:pStyle w:val="recommendationheaderlong"/>
        <w:rPr>
          <w:kern w:val="22"/>
        </w:rPr>
      </w:pPr>
      <w:r w:rsidRPr="00807D09">
        <w:rPr>
          <w:kern w:val="22"/>
        </w:rPr>
        <w:t>XII/17</w:t>
      </w:r>
      <w:r w:rsidR="007D50FF" w:rsidRPr="00807D09">
        <w:rPr>
          <w:kern w:val="22"/>
        </w:rPr>
        <w:t>.</w:t>
      </w:r>
      <w:r w:rsidR="007D50FF" w:rsidRPr="00807D09">
        <w:rPr>
          <w:kern w:val="22"/>
        </w:rPr>
        <w:tab/>
      </w:r>
      <w:r w:rsidR="00522DE1" w:rsidRPr="00807D09">
        <w:rPr>
          <w:kern w:val="22"/>
        </w:rPr>
        <w:t>I</w:t>
      </w:r>
      <w:r w:rsidR="007D50FF" w:rsidRPr="00807D09">
        <w:rPr>
          <w:kern w:val="22"/>
        </w:rPr>
        <w:t>nvasive alien species</w:t>
      </w:r>
      <w:r w:rsidR="00BF4783" w:rsidRPr="00807D09">
        <w:rPr>
          <w:kern w:val="22"/>
        </w:rPr>
        <w:t>: review of work and considerations for future work</w:t>
      </w:r>
    </w:p>
    <w:p w14:paraId="0BE9CDE9" w14:textId="77777777" w:rsidR="00522DE1" w:rsidRPr="00FB0ABD" w:rsidRDefault="00522DE1">
      <w:pPr>
        <w:keepNext/>
        <w:spacing w:before="120" w:after="120"/>
        <w:ind w:firstLine="720"/>
        <w:rPr>
          <w:i/>
          <w:iCs/>
          <w:kern w:val="22"/>
        </w:rPr>
      </w:pPr>
      <w:bookmarkStart w:id="0" w:name="START"/>
      <w:bookmarkEnd w:id="0"/>
      <w:r w:rsidRPr="00FB0ABD">
        <w:rPr>
          <w:i/>
          <w:iCs/>
          <w:kern w:val="22"/>
        </w:rPr>
        <w:t>The Conference of the Parties</w:t>
      </w:r>
    </w:p>
    <w:p w14:paraId="238D225D" w14:textId="77777777" w:rsidR="00522DE1" w:rsidRPr="00807D09" w:rsidRDefault="00522DE1">
      <w:pPr>
        <w:numPr>
          <w:ilvl w:val="0"/>
          <w:numId w:val="10"/>
        </w:numPr>
        <w:spacing w:before="120" w:after="120"/>
        <w:ind w:left="0" w:firstLine="698"/>
        <w:rPr>
          <w:kern w:val="22"/>
        </w:rPr>
      </w:pPr>
      <w:r w:rsidRPr="00807D09">
        <w:rPr>
          <w:i/>
          <w:kern w:val="22"/>
        </w:rPr>
        <w:t xml:space="preserve">Reaffirms </w:t>
      </w:r>
      <w:r w:rsidRPr="00807D09">
        <w:rPr>
          <w:kern w:val="22"/>
        </w:rPr>
        <w:t xml:space="preserve">that invasive alien species pose a serious hazard to biodiversity, human health and sustainable </w:t>
      </w:r>
      <w:proofErr w:type="gramStart"/>
      <w:r w:rsidRPr="00807D09">
        <w:rPr>
          <w:kern w:val="22"/>
        </w:rPr>
        <w:t>development;</w:t>
      </w:r>
      <w:proofErr w:type="gramEnd"/>
    </w:p>
    <w:p w14:paraId="786BFE88" w14:textId="77777777" w:rsidR="00522DE1" w:rsidRPr="00807D09" w:rsidRDefault="00522DE1">
      <w:pPr>
        <w:numPr>
          <w:ilvl w:val="0"/>
          <w:numId w:val="10"/>
        </w:numPr>
        <w:spacing w:before="120" w:after="120"/>
        <w:ind w:left="0" w:firstLine="698"/>
        <w:rPr>
          <w:kern w:val="22"/>
        </w:rPr>
      </w:pPr>
      <w:r w:rsidRPr="00807D09">
        <w:rPr>
          <w:i/>
          <w:kern w:val="22"/>
        </w:rPr>
        <w:t xml:space="preserve">Welcomes </w:t>
      </w:r>
      <w:r w:rsidRPr="00807D09">
        <w:rPr>
          <w:kern w:val="22"/>
        </w:rPr>
        <w:t xml:space="preserve">the establishment of the Global Invasive Alien Species Information Partnership and </w:t>
      </w:r>
      <w:r w:rsidRPr="00807D09">
        <w:rPr>
          <w:i/>
          <w:kern w:val="22"/>
        </w:rPr>
        <w:t>recognizes with appreciation</w:t>
      </w:r>
      <w:r w:rsidRPr="00807D09">
        <w:rPr>
          <w:kern w:val="22"/>
        </w:rPr>
        <w:t xml:space="preserve"> the contributions of its members towards free and open access to standardized </w:t>
      </w:r>
      <w:r w:rsidR="00BF4783" w:rsidRPr="00807D09">
        <w:rPr>
          <w:kern w:val="22"/>
        </w:rPr>
        <w:t xml:space="preserve">information on </w:t>
      </w:r>
      <w:r w:rsidRPr="00807D09">
        <w:rPr>
          <w:kern w:val="22"/>
        </w:rPr>
        <w:t>invasive alien species and pathway</w:t>
      </w:r>
      <w:r w:rsidR="00BF4783" w:rsidRPr="00807D09">
        <w:rPr>
          <w:kern w:val="22"/>
        </w:rPr>
        <w:t>s</w:t>
      </w:r>
      <w:r w:rsidRPr="00807D09">
        <w:rPr>
          <w:kern w:val="22"/>
        </w:rPr>
        <w:t xml:space="preserve"> </w:t>
      </w:r>
      <w:proofErr w:type="gramStart"/>
      <w:r w:rsidRPr="00807D09">
        <w:rPr>
          <w:kern w:val="22"/>
        </w:rPr>
        <w:t>globally;</w:t>
      </w:r>
      <w:proofErr w:type="gramEnd"/>
    </w:p>
    <w:p w14:paraId="6210A2D0" w14:textId="77777777" w:rsidR="00522DE1" w:rsidRPr="00807D09" w:rsidRDefault="00522DE1">
      <w:pPr>
        <w:numPr>
          <w:ilvl w:val="0"/>
          <w:numId w:val="10"/>
        </w:numPr>
        <w:spacing w:before="120" w:after="120"/>
        <w:ind w:left="0" w:firstLine="698"/>
        <w:rPr>
          <w:kern w:val="22"/>
        </w:rPr>
      </w:pPr>
      <w:r w:rsidRPr="00807D09">
        <w:rPr>
          <w:i/>
          <w:kern w:val="22"/>
        </w:rPr>
        <w:t>Invites</w:t>
      </w:r>
      <w:r w:rsidRPr="00807D09">
        <w:rPr>
          <w:kern w:val="22"/>
        </w:rPr>
        <w:t xml:space="preserve"> the Invasive Species Specialist Group of the International Union for Conservation of Nature and other technical partners to continue and complete the work on pathway analysis, and to continue to develop a system for classifying invasive alien species based on the nature and magnitude of their impacts;</w:t>
      </w:r>
    </w:p>
    <w:p w14:paraId="3342E5B2" w14:textId="77777777" w:rsidR="00522DE1" w:rsidRPr="00807D09" w:rsidRDefault="00522DE1" w:rsidP="00522DE1">
      <w:pPr>
        <w:numPr>
          <w:ilvl w:val="0"/>
          <w:numId w:val="10"/>
        </w:numPr>
        <w:spacing w:before="120" w:after="120"/>
        <w:ind w:left="0" w:firstLine="698"/>
        <w:rPr>
          <w:kern w:val="22"/>
          <w:szCs w:val="22"/>
        </w:rPr>
      </w:pPr>
      <w:r w:rsidRPr="00807D09">
        <w:rPr>
          <w:i/>
          <w:kern w:val="22"/>
          <w:szCs w:val="22"/>
        </w:rPr>
        <w:t xml:space="preserve">Notes </w:t>
      </w:r>
      <w:r w:rsidRPr="00807D09">
        <w:rPr>
          <w:kern w:val="22"/>
          <w:szCs w:val="22"/>
        </w:rPr>
        <w:t xml:space="preserve">the strong </w:t>
      </w:r>
      <w:r w:rsidRPr="00807D09">
        <w:rPr>
          <w:noProof/>
          <w:kern w:val="22"/>
          <w:szCs w:val="22"/>
        </w:rPr>
        <w:t>interlinkages</w:t>
      </w:r>
      <w:r w:rsidRPr="00807D09">
        <w:rPr>
          <w:kern w:val="22"/>
          <w:szCs w:val="22"/>
        </w:rPr>
        <w:t xml:space="preserve"> between invasive alien species, infectious diseases and plant pests which may directly serve as vectors impacting the health of humans, </w:t>
      </w:r>
      <w:r w:rsidR="00BF4783" w:rsidRPr="00807D09">
        <w:rPr>
          <w:kern w:val="22"/>
          <w:szCs w:val="22"/>
        </w:rPr>
        <w:t xml:space="preserve">and </w:t>
      </w:r>
      <w:r w:rsidRPr="00807D09">
        <w:rPr>
          <w:kern w:val="22"/>
          <w:szCs w:val="22"/>
        </w:rPr>
        <w:t>wild and domesticated animals and plants;</w:t>
      </w:r>
    </w:p>
    <w:p w14:paraId="2872B93A" w14:textId="77777777" w:rsidR="00522DE1" w:rsidRPr="00FB0ABD" w:rsidRDefault="00522DE1">
      <w:pPr>
        <w:numPr>
          <w:ilvl w:val="0"/>
          <w:numId w:val="10"/>
        </w:numPr>
        <w:spacing w:before="120" w:after="120"/>
        <w:ind w:left="0" w:firstLine="698"/>
        <w:rPr>
          <w:i/>
          <w:kern w:val="22"/>
          <w:szCs w:val="22"/>
        </w:rPr>
      </w:pPr>
      <w:r w:rsidRPr="00807D09">
        <w:rPr>
          <w:i/>
          <w:kern w:val="22"/>
          <w:szCs w:val="22"/>
        </w:rPr>
        <w:t xml:space="preserve">Welcomes </w:t>
      </w:r>
      <w:r w:rsidRPr="00807D09">
        <w:rPr>
          <w:kern w:val="22"/>
          <w:szCs w:val="22"/>
        </w:rPr>
        <w:t>the approval by the second Plenary of the Intergovernmental Science-Policy Platform on Biodiversity and Ecosystem Services, as part of its Work Programme 2014-2018</w:t>
      </w:r>
      <w:r w:rsidR="00BF4783" w:rsidRPr="00807D09">
        <w:rPr>
          <w:kern w:val="22"/>
          <w:szCs w:val="22"/>
        </w:rPr>
        <w:t xml:space="preserve"> and the Antalya Consensus</w:t>
      </w:r>
      <w:r w:rsidRPr="00807D09">
        <w:rPr>
          <w:kern w:val="22"/>
          <w:szCs w:val="22"/>
        </w:rPr>
        <w:t>, of the initiation of scoping for a thematic assessment of invasive alien species, for consideration by the Platform’s Plenary at its fourth session;</w:t>
      </w:r>
      <w:r w:rsidRPr="00807D09">
        <w:rPr>
          <w:rStyle w:val="FootnoteReference"/>
          <w:kern w:val="22"/>
          <w:sz w:val="22"/>
          <w:szCs w:val="22"/>
          <w:u w:val="none"/>
          <w:vertAlign w:val="superscript"/>
        </w:rPr>
        <w:footnoteReference w:id="1"/>
      </w:r>
    </w:p>
    <w:p w14:paraId="5438BE8F" w14:textId="77777777" w:rsidR="00522DE1" w:rsidRPr="00807D09" w:rsidRDefault="00522DE1">
      <w:pPr>
        <w:numPr>
          <w:ilvl w:val="0"/>
          <w:numId w:val="10"/>
        </w:numPr>
        <w:spacing w:before="120" w:after="120"/>
        <w:ind w:left="0" w:firstLine="698"/>
        <w:rPr>
          <w:kern w:val="22"/>
          <w:szCs w:val="22"/>
        </w:rPr>
      </w:pPr>
      <w:r w:rsidRPr="00FB0ABD">
        <w:rPr>
          <w:i/>
          <w:kern w:val="22"/>
          <w:szCs w:val="22"/>
        </w:rPr>
        <w:lastRenderedPageBreak/>
        <w:t>Calls upon</w:t>
      </w:r>
      <w:r w:rsidRPr="00FB0ABD">
        <w:rPr>
          <w:kern w:val="22"/>
          <w:szCs w:val="22"/>
        </w:rPr>
        <w:t xml:space="preserve"> Parties and </w:t>
      </w:r>
      <w:r w:rsidRPr="00FB0ABD">
        <w:rPr>
          <w:i/>
          <w:kern w:val="22"/>
          <w:szCs w:val="22"/>
        </w:rPr>
        <w:t xml:space="preserve">invites </w:t>
      </w:r>
      <w:r w:rsidRPr="00807D09">
        <w:rPr>
          <w:kern w:val="22"/>
          <w:szCs w:val="22"/>
        </w:rPr>
        <w:t>other Governments, when developing or updating and implementing their national or regional invasive alien species strategies, to consider, on a voluntary basis and in conjunction with the items listed in decision VI/23:</w:t>
      </w:r>
      <w:r w:rsidRPr="00807D09">
        <w:rPr>
          <w:rStyle w:val="FootnoteReference"/>
          <w:kern w:val="22"/>
          <w:sz w:val="22"/>
          <w:szCs w:val="22"/>
          <w:u w:val="none"/>
        </w:rPr>
        <w:footnoteReference w:customMarkFollows="1" w:id="2"/>
        <w:t>*</w:t>
      </w:r>
    </w:p>
    <w:p w14:paraId="1FF361A6" w14:textId="77777777" w:rsidR="00522DE1" w:rsidRPr="00807D09" w:rsidRDefault="00522DE1">
      <w:pPr>
        <w:spacing w:before="120" w:after="120"/>
        <w:ind w:firstLine="720"/>
        <w:rPr>
          <w:bCs/>
          <w:iCs/>
          <w:kern w:val="22"/>
          <w:szCs w:val="22"/>
        </w:rPr>
      </w:pPr>
      <w:r w:rsidRPr="00807D09">
        <w:rPr>
          <w:kern w:val="22"/>
          <w:szCs w:val="22"/>
        </w:rPr>
        <w:t>(a)</w:t>
      </w:r>
      <w:r w:rsidRPr="00807D09">
        <w:rPr>
          <w:bCs/>
          <w:iCs/>
          <w:kern w:val="22"/>
          <w:szCs w:val="22"/>
        </w:rPr>
        <w:tab/>
        <w:t>Making effective use of communication strategies, tools and approaches, including social media, to raise awareness of the risks associated with the introduction of invasive and potentially invasive alien species, including through targeted messaging towards different sectors and audiences and facilitating public participation in scientific research, monitoring and early warning systems;</w:t>
      </w:r>
    </w:p>
    <w:p w14:paraId="56F5CDC8" w14:textId="77777777" w:rsidR="00522DE1" w:rsidRPr="00807D09" w:rsidRDefault="00522DE1">
      <w:pPr>
        <w:spacing w:before="120" w:after="120"/>
        <w:ind w:firstLine="720"/>
        <w:rPr>
          <w:bCs/>
          <w:iCs/>
          <w:kern w:val="22"/>
          <w:szCs w:val="22"/>
        </w:rPr>
      </w:pPr>
      <w:r w:rsidRPr="00807D09">
        <w:rPr>
          <w:bCs/>
          <w:iCs/>
          <w:kern w:val="22"/>
          <w:szCs w:val="22"/>
        </w:rPr>
        <w:t>(b)</w:t>
      </w:r>
      <w:r w:rsidRPr="00807D09">
        <w:rPr>
          <w:bCs/>
          <w:iCs/>
          <w:kern w:val="22"/>
          <w:szCs w:val="22"/>
        </w:rPr>
        <w:tab/>
        <w:t>In line with decision IX/4 A, making use of existing guidance on risk analysis relevant to invasive alien species to enhance prevention, including guidance developed by the International Plant Protection Convention, the World Organisation for Animal Health (OIE), and the Food and Agriculture Organization of the United Nations;</w:t>
      </w:r>
    </w:p>
    <w:p w14:paraId="2EE45F81" w14:textId="77777777" w:rsidR="00522DE1" w:rsidRPr="00807D09" w:rsidRDefault="00522DE1">
      <w:pPr>
        <w:spacing w:before="120" w:after="120"/>
        <w:ind w:firstLine="720"/>
        <w:rPr>
          <w:bCs/>
          <w:iCs/>
          <w:kern w:val="22"/>
          <w:szCs w:val="22"/>
        </w:rPr>
      </w:pPr>
      <w:r w:rsidRPr="00807D09">
        <w:rPr>
          <w:bCs/>
          <w:iCs/>
          <w:kern w:val="22"/>
          <w:szCs w:val="22"/>
        </w:rPr>
        <w:t>(c)</w:t>
      </w:r>
      <w:r w:rsidRPr="00807D09">
        <w:rPr>
          <w:bCs/>
          <w:iCs/>
          <w:kern w:val="22"/>
          <w:szCs w:val="22"/>
        </w:rPr>
        <w:tab/>
        <w:t xml:space="preserve">Providing information to the Global Invasive Alien Species Information Partnership on the invasive species recorded in their </w:t>
      </w:r>
      <w:r w:rsidR="00703529" w:rsidRPr="00807D09">
        <w:rPr>
          <w:bCs/>
          <w:iCs/>
          <w:kern w:val="22"/>
          <w:szCs w:val="22"/>
        </w:rPr>
        <w:t xml:space="preserve">respective </w:t>
      </w:r>
      <w:r w:rsidRPr="00807D09">
        <w:rPr>
          <w:bCs/>
          <w:iCs/>
          <w:kern w:val="22"/>
          <w:szCs w:val="22"/>
        </w:rPr>
        <w:t>territor</w:t>
      </w:r>
      <w:r w:rsidR="00703529" w:rsidRPr="00807D09">
        <w:rPr>
          <w:bCs/>
          <w:iCs/>
          <w:kern w:val="22"/>
          <w:szCs w:val="22"/>
        </w:rPr>
        <w:t>ies</w:t>
      </w:r>
      <w:r w:rsidRPr="00807D09">
        <w:rPr>
          <w:bCs/>
          <w:iCs/>
          <w:kern w:val="22"/>
          <w:szCs w:val="22"/>
        </w:rPr>
        <w:t xml:space="preserve">, </w:t>
      </w:r>
      <w:r w:rsidR="00BF4783" w:rsidRPr="00807D09">
        <w:rPr>
          <w:bCs/>
          <w:iCs/>
          <w:kern w:val="22"/>
          <w:szCs w:val="22"/>
        </w:rPr>
        <w:t>using</w:t>
      </w:r>
      <w:r w:rsidRPr="00807D09">
        <w:rPr>
          <w:bCs/>
          <w:iCs/>
          <w:kern w:val="22"/>
          <w:szCs w:val="22"/>
        </w:rPr>
        <w:t xml:space="preserve"> the tools developed by the </w:t>
      </w:r>
      <w:r w:rsidR="00703529" w:rsidRPr="00807D09">
        <w:rPr>
          <w:bCs/>
          <w:iCs/>
          <w:kern w:val="22"/>
          <w:szCs w:val="22"/>
        </w:rPr>
        <w:t>P</w:t>
      </w:r>
      <w:r w:rsidRPr="00807D09">
        <w:rPr>
          <w:bCs/>
          <w:iCs/>
          <w:kern w:val="22"/>
          <w:szCs w:val="22"/>
        </w:rPr>
        <w:t>artnership, such as the Global Register of Introduced and Invasive Species;</w:t>
      </w:r>
    </w:p>
    <w:p w14:paraId="0A309648" w14:textId="77777777" w:rsidR="00522DE1" w:rsidRPr="00FB0ABD" w:rsidRDefault="00522DE1">
      <w:pPr>
        <w:spacing w:before="120" w:after="120"/>
        <w:ind w:firstLine="720"/>
        <w:rPr>
          <w:bCs/>
          <w:iCs/>
          <w:kern w:val="22"/>
          <w:szCs w:val="22"/>
        </w:rPr>
      </w:pPr>
      <w:r w:rsidRPr="00807D09">
        <w:rPr>
          <w:bCs/>
          <w:iCs/>
          <w:kern w:val="22"/>
          <w:szCs w:val="22"/>
        </w:rPr>
        <w:t>(d)</w:t>
      </w:r>
      <w:r w:rsidRPr="00807D09">
        <w:rPr>
          <w:bCs/>
          <w:iCs/>
          <w:kern w:val="22"/>
          <w:szCs w:val="22"/>
        </w:rPr>
        <w:tab/>
        <w:t xml:space="preserve">Making use of the categorization of pathways of introduction of invasive alien species, considerations for their prioritization and </w:t>
      </w:r>
      <w:r w:rsidR="00BF4783" w:rsidRPr="00807D09">
        <w:rPr>
          <w:bCs/>
          <w:iCs/>
          <w:kern w:val="22"/>
          <w:szCs w:val="22"/>
        </w:rPr>
        <w:t xml:space="preserve">the </w:t>
      </w:r>
      <w:r w:rsidRPr="00807D09">
        <w:rPr>
          <w:bCs/>
          <w:iCs/>
          <w:kern w:val="22"/>
          <w:szCs w:val="22"/>
        </w:rPr>
        <w:t>overview of available tools for their management as contained in the note by the Executive Secretary on pathways of introduction of invasive species, their prioritization and management;</w:t>
      </w:r>
      <w:r w:rsidRPr="00807D09">
        <w:rPr>
          <w:rStyle w:val="FootnoteReference"/>
          <w:bCs/>
          <w:iCs/>
          <w:kern w:val="22"/>
          <w:sz w:val="22"/>
          <w:szCs w:val="22"/>
          <w:u w:val="none"/>
          <w:vertAlign w:val="superscript"/>
        </w:rPr>
        <w:footnoteReference w:id="3"/>
      </w:r>
    </w:p>
    <w:p w14:paraId="05020766" w14:textId="77777777" w:rsidR="00522DE1" w:rsidRPr="00FB0ABD" w:rsidRDefault="00522DE1">
      <w:pPr>
        <w:spacing w:before="120" w:after="120"/>
        <w:ind w:firstLine="720"/>
        <w:rPr>
          <w:bCs/>
          <w:iCs/>
          <w:kern w:val="22"/>
        </w:rPr>
      </w:pPr>
      <w:r w:rsidRPr="00FB0ABD">
        <w:rPr>
          <w:bCs/>
          <w:iCs/>
          <w:kern w:val="22"/>
        </w:rPr>
        <w:t>(e)</w:t>
      </w:r>
      <w:r w:rsidRPr="00FB0ABD">
        <w:rPr>
          <w:bCs/>
          <w:iCs/>
          <w:kern w:val="22"/>
        </w:rPr>
        <w:tab/>
        <w:t xml:space="preserve">Identifying and prioritizing pathways of introduction of invasive alien species, taking into account, </w:t>
      </w:r>
      <w:r w:rsidRPr="00807D09">
        <w:rPr>
          <w:bCs/>
          <w:iCs/>
          <w:kern w:val="22"/>
        </w:rPr>
        <w:t>inter alia</w:t>
      </w:r>
      <w:r w:rsidRPr="00F1065A">
        <w:rPr>
          <w:bCs/>
          <w:iCs/>
          <w:kern w:val="22"/>
        </w:rPr>
        <w:t xml:space="preserve">, information on the taxa, the frequency of introduction, and the magnitude of impacts, as well as climate change </w:t>
      </w:r>
      <w:r w:rsidRPr="00FB0ABD">
        <w:rPr>
          <w:bCs/>
          <w:iCs/>
          <w:kern w:val="22"/>
        </w:rPr>
        <w:t>scenarios;</w:t>
      </w:r>
    </w:p>
    <w:p w14:paraId="39E29338" w14:textId="77777777" w:rsidR="00522DE1" w:rsidRPr="00807D09" w:rsidRDefault="00522DE1">
      <w:pPr>
        <w:spacing w:before="120" w:after="120"/>
        <w:ind w:firstLine="720"/>
        <w:rPr>
          <w:bCs/>
          <w:iCs/>
          <w:kern w:val="22"/>
        </w:rPr>
      </w:pPr>
      <w:r w:rsidRPr="00FB0ABD">
        <w:rPr>
          <w:bCs/>
          <w:iCs/>
          <w:kern w:val="22"/>
        </w:rPr>
        <w:t>(f)</w:t>
      </w:r>
      <w:r w:rsidRPr="00FB0ABD">
        <w:rPr>
          <w:bCs/>
          <w:iCs/>
          <w:kern w:val="22"/>
        </w:rPr>
        <w:tab/>
        <w:t xml:space="preserve">Minimizing risks associated with the introduction of alien species through activities related </w:t>
      </w:r>
      <w:r w:rsidRPr="00807D09">
        <w:rPr>
          <w:bCs/>
          <w:iCs/>
          <w:kern w:val="22"/>
        </w:rPr>
        <w:t>to ecosystem restoration and development aid, in line with paragraphs 43 and 44 of decision VIII/27;</w:t>
      </w:r>
    </w:p>
    <w:p w14:paraId="4436A9E7" w14:textId="77777777" w:rsidR="00522DE1" w:rsidRPr="00807D09" w:rsidRDefault="00522DE1">
      <w:pPr>
        <w:spacing w:before="120" w:after="120"/>
        <w:ind w:firstLine="720"/>
        <w:rPr>
          <w:rFonts w:eastAsia="Batang"/>
          <w:kern w:val="22"/>
        </w:rPr>
      </w:pPr>
      <w:r w:rsidRPr="00807D09">
        <w:rPr>
          <w:bCs/>
          <w:iCs/>
          <w:kern w:val="22"/>
        </w:rPr>
        <w:t>(g)</w:t>
      </w:r>
      <w:r w:rsidRPr="00807D09">
        <w:rPr>
          <w:bCs/>
          <w:iCs/>
          <w:kern w:val="22"/>
        </w:rPr>
        <w:tab/>
        <w:t>Cooperating</w:t>
      </w:r>
      <w:r w:rsidRPr="00807D09">
        <w:rPr>
          <w:rFonts w:eastAsia="Batang"/>
          <w:kern w:val="22"/>
        </w:rPr>
        <w:t xml:space="preserve"> by sharing information and best practices to address the introduction of invasive alien species via international web-based markets (e-commerce);</w:t>
      </w:r>
    </w:p>
    <w:p w14:paraId="0020E59A" w14:textId="77777777" w:rsidR="00522DE1" w:rsidRPr="00807D09" w:rsidRDefault="00522DE1">
      <w:pPr>
        <w:spacing w:before="120" w:after="120"/>
        <w:ind w:firstLine="720"/>
        <w:rPr>
          <w:bCs/>
          <w:iCs/>
          <w:kern w:val="22"/>
        </w:rPr>
      </w:pPr>
      <w:r w:rsidRPr="00807D09">
        <w:rPr>
          <w:bCs/>
          <w:iCs/>
          <w:kern w:val="22"/>
        </w:rPr>
        <w:t>(h)</w:t>
      </w:r>
      <w:r w:rsidRPr="00807D09">
        <w:rPr>
          <w:bCs/>
          <w:iCs/>
          <w:kern w:val="22"/>
        </w:rPr>
        <w:tab/>
        <w:t>Sharing information on control, management and/or eradication of invasive alien species, taking into account lessons learned (from both positive and negative experiences) and cost</w:t>
      </w:r>
      <w:r w:rsidRPr="00807D09">
        <w:rPr>
          <w:bCs/>
          <w:iCs/>
          <w:kern w:val="22"/>
        </w:rPr>
        <w:noBreakHyphen/>
        <w:t>benefit analyses, drawing, inter alia, upon information available through the Global Invasive Alien Species Information Partnership and other sources;</w:t>
      </w:r>
    </w:p>
    <w:p w14:paraId="091500E4" w14:textId="77777777" w:rsidR="00522DE1" w:rsidRPr="00807D09" w:rsidRDefault="00522DE1">
      <w:pPr>
        <w:spacing w:before="120" w:after="120"/>
        <w:ind w:firstLine="720"/>
        <w:rPr>
          <w:bCs/>
          <w:iCs/>
          <w:kern w:val="22"/>
        </w:rPr>
      </w:pPr>
      <w:r w:rsidRPr="00807D09">
        <w:rPr>
          <w:bCs/>
          <w:iCs/>
          <w:kern w:val="22"/>
        </w:rPr>
        <w:t>(i)</w:t>
      </w:r>
      <w:r w:rsidRPr="00807D09">
        <w:rPr>
          <w:bCs/>
          <w:iCs/>
          <w:kern w:val="22"/>
        </w:rPr>
        <w:tab/>
        <w:t xml:space="preserve">Taking appropriate actions by making use of the full range of measures for early detection, control and/or eradication, including </w:t>
      </w:r>
      <w:r w:rsidRPr="00807D09">
        <w:rPr>
          <w:bCs/>
          <w:iCs/>
          <w:noProof/>
          <w:kern w:val="22"/>
        </w:rPr>
        <w:t>biocontrol</w:t>
      </w:r>
      <w:r w:rsidRPr="00807D09">
        <w:rPr>
          <w:bCs/>
          <w:iCs/>
          <w:kern w:val="22"/>
        </w:rPr>
        <w:t>, with appropriate risk analysis, and of decision-support tools and guidance;</w:t>
      </w:r>
    </w:p>
    <w:p w14:paraId="05CFEA4C" w14:textId="77777777" w:rsidR="00522DE1" w:rsidRPr="00807D09" w:rsidRDefault="00522DE1">
      <w:pPr>
        <w:spacing w:before="120" w:after="120"/>
        <w:ind w:firstLine="720"/>
        <w:rPr>
          <w:bCs/>
          <w:iCs/>
          <w:kern w:val="22"/>
        </w:rPr>
      </w:pPr>
      <w:r w:rsidRPr="00807D09">
        <w:rPr>
          <w:bCs/>
          <w:iCs/>
          <w:kern w:val="22"/>
        </w:rPr>
        <w:t>(j)</w:t>
      </w:r>
      <w:r w:rsidRPr="00807D09">
        <w:rPr>
          <w:bCs/>
          <w:iCs/>
          <w:kern w:val="22"/>
        </w:rPr>
        <w:tab/>
        <w:t>Prioritizing actions at all levels, including national, subnational and local levels, to address invasive alien species in particularly vulnerable ecosystems;</w:t>
      </w:r>
    </w:p>
    <w:p w14:paraId="145C21B2" w14:textId="77777777" w:rsidR="00522DE1" w:rsidRPr="00807D09" w:rsidRDefault="00522DE1">
      <w:pPr>
        <w:spacing w:before="120" w:after="120"/>
        <w:ind w:firstLine="720"/>
        <w:rPr>
          <w:bCs/>
          <w:iCs/>
          <w:kern w:val="22"/>
        </w:rPr>
      </w:pPr>
      <w:r w:rsidRPr="00807D09">
        <w:rPr>
          <w:bCs/>
          <w:iCs/>
          <w:kern w:val="22"/>
        </w:rPr>
        <w:lastRenderedPageBreak/>
        <w:t>(k)</w:t>
      </w:r>
      <w:r w:rsidRPr="00807D09">
        <w:rPr>
          <w:bCs/>
          <w:iCs/>
          <w:kern w:val="22"/>
        </w:rPr>
        <w:tab/>
        <w:t>Continuing efforts on the management of invasive alien species, with special emphasis and giving priority and importance to protected areas and key biodiversity areas, contributing to the achievement of Aichi Biodiversity Target 11;</w:t>
      </w:r>
    </w:p>
    <w:p w14:paraId="2D8567CF" w14:textId="77777777" w:rsidR="00522DE1" w:rsidRPr="00807D09" w:rsidRDefault="00522DE1">
      <w:pPr>
        <w:spacing w:before="120" w:after="120"/>
        <w:ind w:firstLine="720"/>
        <w:rPr>
          <w:bCs/>
          <w:iCs/>
          <w:kern w:val="22"/>
        </w:rPr>
      </w:pPr>
      <w:r w:rsidRPr="00807D09">
        <w:rPr>
          <w:bCs/>
          <w:iCs/>
          <w:kern w:val="22"/>
        </w:rPr>
        <w:t>(l)</w:t>
      </w:r>
      <w:r w:rsidRPr="00807D09">
        <w:rPr>
          <w:bCs/>
          <w:iCs/>
          <w:kern w:val="22"/>
        </w:rPr>
        <w:tab/>
        <w:t>Collaborating with neighbouring countries on prevention, monitoring, early detection and rapid response activities, including through regional plant protection organizations, and relevant regional organizations for wildlife conservation;</w:t>
      </w:r>
    </w:p>
    <w:p w14:paraId="71EC4158" w14:textId="77777777" w:rsidR="00522DE1" w:rsidRPr="00807D09" w:rsidRDefault="00522DE1">
      <w:pPr>
        <w:spacing w:before="120" w:after="120"/>
        <w:ind w:firstLine="720"/>
        <w:rPr>
          <w:bCs/>
          <w:iCs/>
          <w:kern w:val="22"/>
        </w:rPr>
      </w:pPr>
      <w:r w:rsidRPr="00807D09">
        <w:rPr>
          <w:bCs/>
          <w:iCs/>
          <w:kern w:val="22"/>
        </w:rPr>
        <w:t>(m)</w:t>
      </w:r>
      <w:r w:rsidRPr="00807D09">
        <w:rPr>
          <w:bCs/>
          <w:iCs/>
          <w:kern w:val="22"/>
        </w:rPr>
        <w:tab/>
        <w:t>Involving experts from relevant agencies and institutions, including academia, indigenous and local communities and private sector entities, with a view to promoting a comprehensive approach towards invasive alien species;</w:t>
      </w:r>
    </w:p>
    <w:p w14:paraId="0F93C24F" w14:textId="77777777" w:rsidR="00522DE1" w:rsidRPr="00807D09" w:rsidRDefault="00522DE1">
      <w:pPr>
        <w:spacing w:before="120" w:after="120"/>
        <w:ind w:firstLine="720"/>
        <w:rPr>
          <w:bCs/>
          <w:iCs/>
          <w:kern w:val="22"/>
        </w:rPr>
      </w:pPr>
      <w:r w:rsidRPr="00807D09">
        <w:rPr>
          <w:bCs/>
          <w:iCs/>
          <w:kern w:val="22"/>
        </w:rPr>
        <w:t>(n)</w:t>
      </w:r>
      <w:r w:rsidRPr="00807D09">
        <w:rPr>
          <w:bCs/>
          <w:iCs/>
          <w:kern w:val="22"/>
        </w:rPr>
        <w:tab/>
        <w:t>Reporting on the progress towards Target 10 of the Global Strategy for Plant Conservation aimed at putting in place effective management plans to prevent new biological invasions and to manage important areas for plant diversity that are invaded;</w:t>
      </w:r>
    </w:p>
    <w:p w14:paraId="32921569" w14:textId="77777777" w:rsidR="00522DE1" w:rsidRPr="00FB0ABD" w:rsidRDefault="00522DE1" w:rsidP="00522DE1">
      <w:pPr>
        <w:numPr>
          <w:ilvl w:val="0"/>
          <w:numId w:val="10"/>
        </w:numPr>
        <w:spacing w:before="120" w:after="120"/>
        <w:ind w:left="0" w:firstLine="698"/>
        <w:rPr>
          <w:kern w:val="22"/>
          <w:szCs w:val="22"/>
        </w:rPr>
      </w:pPr>
      <w:r w:rsidRPr="00807D09">
        <w:rPr>
          <w:i/>
          <w:kern w:val="22"/>
          <w:szCs w:val="22"/>
        </w:rPr>
        <w:t>Considering</w:t>
      </w:r>
      <w:r w:rsidRPr="00807D09">
        <w:rPr>
          <w:kern w:val="22"/>
          <w:szCs w:val="22"/>
        </w:rPr>
        <w:t xml:space="preserve"> the vulnerability of island biodiversity to threats posed by invasive alien species and climate change and </w:t>
      </w:r>
      <w:r w:rsidRPr="00807D09">
        <w:rPr>
          <w:i/>
          <w:kern w:val="22"/>
          <w:szCs w:val="22"/>
        </w:rPr>
        <w:t>recognizing</w:t>
      </w:r>
      <w:r w:rsidRPr="00807D09">
        <w:rPr>
          <w:kern w:val="22"/>
          <w:szCs w:val="22"/>
        </w:rPr>
        <w:t xml:space="preserve"> the urgency of capacity development for small island developing States to address these threats</w:t>
      </w:r>
      <w:r w:rsidR="00BF4783" w:rsidRPr="00807D09">
        <w:rPr>
          <w:kern w:val="22"/>
          <w:szCs w:val="22"/>
        </w:rPr>
        <w:t>,</w:t>
      </w:r>
      <w:r w:rsidRPr="00807D09">
        <w:rPr>
          <w:kern w:val="22"/>
          <w:szCs w:val="22"/>
        </w:rPr>
        <w:t xml:space="preserve"> </w:t>
      </w:r>
      <w:r w:rsidRPr="00807D09">
        <w:rPr>
          <w:i/>
          <w:kern w:val="22"/>
          <w:szCs w:val="22"/>
        </w:rPr>
        <w:t>welcomes</w:t>
      </w:r>
      <w:r w:rsidRPr="00807D09">
        <w:rPr>
          <w:kern w:val="22"/>
          <w:szCs w:val="22"/>
        </w:rPr>
        <w:t xml:space="preserve"> the proposed International Islands Initiative for achieving Aichi Biodiversity Target 9 on Invasive Alien Species;</w:t>
      </w:r>
      <w:r w:rsidR="00BF4783" w:rsidRPr="00807D09">
        <w:rPr>
          <w:rStyle w:val="FootnoteReference"/>
          <w:kern w:val="22"/>
          <w:sz w:val="22"/>
          <w:szCs w:val="22"/>
          <w:u w:val="none"/>
          <w:vertAlign w:val="superscript"/>
        </w:rPr>
        <w:footnoteReference w:id="4"/>
      </w:r>
    </w:p>
    <w:p w14:paraId="294C2647" w14:textId="77777777" w:rsidR="00522DE1" w:rsidRPr="00807D09" w:rsidRDefault="00522DE1">
      <w:pPr>
        <w:numPr>
          <w:ilvl w:val="0"/>
          <w:numId w:val="10"/>
        </w:numPr>
        <w:spacing w:before="120" w:after="120"/>
        <w:ind w:left="0" w:firstLine="709"/>
        <w:rPr>
          <w:bCs/>
          <w:iCs/>
          <w:kern w:val="22"/>
        </w:rPr>
      </w:pPr>
      <w:r w:rsidRPr="00FB0ABD">
        <w:rPr>
          <w:rFonts w:eastAsia="Batang"/>
          <w:i/>
          <w:kern w:val="22"/>
        </w:rPr>
        <w:t>Calls upon</w:t>
      </w:r>
      <w:r w:rsidRPr="00FB0ABD">
        <w:rPr>
          <w:rFonts w:eastAsia="Batang"/>
          <w:kern w:val="22"/>
        </w:rPr>
        <w:t xml:space="preserve"> donor countries and other donor agencies to further support Parties in the prevention, control or eradication of invasive alien species</w:t>
      </w:r>
      <w:r w:rsidR="00BF4783" w:rsidRPr="00FB0ABD">
        <w:rPr>
          <w:rFonts w:eastAsia="Batang"/>
          <w:kern w:val="22"/>
        </w:rPr>
        <w:t xml:space="preserve"> and</w:t>
      </w:r>
      <w:r w:rsidRPr="00FB0ABD">
        <w:rPr>
          <w:rFonts w:eastAsia="Batang"/>
          <w:kern w:val="22"/>
        </w:rPr>
        <w:t xml:space="preserve"> to evaluate the existing capacity to strengthen border control measures at the n</w:t>
      </w:r>
      <w:r w:rsidRPr="00807D09">
        <w:rPr>
          <w:rFonts w:eastAsia="Batang"/>
          <w:kern w:val="22"/>
        </w:rPr>
        <w:t>ational and regional levels</w:t>
      </w:r>
      <w:r w:rsidRPr="00807D09">
        <w:rPr>
          <w:bCs/>
          <w:iCs/>
          <w:kern w:val="22"/>
        </w:rPr>
        <w:t>;</w:t>
      </w:r>
    </w:p>
    <w:p w14:paraId="6965300E" w14:textId="77777777" w:rsidR="00522DE1" w:rsidRPr="00807D09" w:rsidRDefault="00522DE1">
      <w:pPr>
        <w:numPr>
          <w:ilvl w:val="0"/>
          <w:numId w:val="10"/>
        </w:numPr>
        <w:spacing w:before="120" w:after="120"/>
        <w:ind w:left="0" w:firstLine="709"/>
        <w:rPr>
          <w:kern w:val="22"/>
        </w:rPr>
      </w:pPr>
      <w:r w:rsidRPr="00807D09">
        <w:rPr>
          <w:i/>
          <w:kern w:val="22"/>
        </w:rPr>
        <w:t xml:space="preserve">Requests </w:t>
      </w:r>
      <w:r w:rsidRPr="00807D09">
        <w:rPr>
          <w:kern w:val="22"/>
        </w:rPr>
        <w:t xml:space="preserve">the Executive </w:t>
      </w:r>
      <w:r w:rsidRPr="00807D09">
        <w:rPr>
          <w:rFonts w:eastAsia="Batang"/>
          <w:kern w:val="22"/>
        </w:rPr>
        <w:t>Secretary, subject to the availability of resources</w:t>
      </w:r>
      <w:r w:rsidRPr="00807D09">
        <w:rPr>
          <w:kern w:val="22"/>
        </w:rPr>
        <w:t>:</w:t>
      </w:r>
    </w:p>
    <w:p w14:paraId="69F1871D" w14:textId="77777777" w:rsidR="00522DE1" w:rsidRPr="00807D09" w:rsidRDefault="00522DE1" w:rsidP="00C207B3">
      <w:pPr>
        <w:numPr>
          <w:ilvl w:val="0"/>
          <w:numId w:val="12"/>
        </w:numPr>
        <w:spacing w:before="120" w:after="120"/>
        <w:ind w:left="0" w:firstLine="709"/>
        <w:rPr>
          <w:rFonts w:eastAsia="Batang"/>
          <w:kern w:val="22"/>
        </w:rPr>
      </w:pPr>
      <w:r w:rsidRPr="00807D09">
        <w:rPr>
          <w:rFonts w:eastAsia="Batang"/>
          <w:kern w:val="22"/>
        </w:rPr>
        <w:t>To facilitate, through technical and scientific cooperation in line with Article 18 of the Convention, the development and implementation of regional projects to manage those pathways and invasive or potentially invasive species that have been identified as priorities at the regional level, for example, through the</w:t>
      </w:r>
      <w:r w:rsidRPr="00807D09">
        <w:rPr>
          <w:kern w:val="22"/>
        </w:rPr>
        <w:t xml:space="preserve"> proposed </w:t>
      </w:r>
      <w:r w:rsidRPr="00807D09">
        <w:rPr>
          <w:rFonts w:eastAsia="Batang"/>
          <w:kern w:val="22"/>
        </w:rPr>
        <w:t>International Islands Initiative for achieving Aichi Biodiversity Target 9 on Invasive Alien Species;</w:t>
      </w:r>
    </w:p>
    <w:p w14:paraId="71D9514D" w14:textId="77777777" w:rsidR="00522DE1" w:rsidRPr="00807D09" w:rsidRDefault="00522DE1">
      <w:pPr>
        <w:spacing w:before="120" w:after="120"/>
        <w:ind w:firstLine="720"/>
        <w:rPr>
          <w:bCs/>
          <w:iCs/>
          <w:kern w:val="22"/>
        </w:rPr>
      </w:pPr>
      <w:r w:rsidRPr="00807D09">
        <w:rPr>
          <w:bCs/>
          <w:iCs/>
          <w:kern w:val="22"/>
        </w:rPr>
        <w:t>(b)</w:t>
      </w:r>
      <w:r w:rsidRPr="00807D09">
        <w:rPr>
          <w:bCs/>
          <w:iCs/>
          <w:kern w:val="22"/>
        </w:rPr>
        <w:tab/>
        <w:t>To facilitate, in line with paragraph 19 of decision XI/28, capacity</w:t>
      </w:r>
      <w:r w:rsidRPr="00807D09">
        <w:rPr>
          <w:bCs/>
          <w:iCs/>
          <w:kern w:val="22"/>
        </w:rPr>
        <w:noBreakHyphen/>
        <w:t>building on identification of invasive and potentially invasive species, including on rapid approaches, in support of the Capacity-building Strategy for the Global Taxonomy Initiative;</w:t>
      </w:r>
    </w:p>
    <w:p w14:paraId="3910FB26" w14:textId="77777777" w:rsidR="00522DE1" w:rsidRPr="00807D09" w:rsidRDefault="00522DE1">
      <w:pPr>
        <w:numPr>
          <w:ilvl w:val="2"/>
          <w:numId w:val="11"/>
        </w:numPr>
        <w:spacing w:before="120" w:after="120"/>
        <w:ind w:left="0" w:firstLine="720"/>
        <w:rPr>
          <w:bCs/>
          <w:iCs/>
          <w:kern w:val="22"/>
        </w:rPr>
      </w:pPr>
      <w:r w:rsidRPr="00807D09">
        <w:rPr>
          <w:bCs/>
          <w:iCs/>
          <w:kern w:val="22"/>
        </w:rPr>
        <w:t xml:space="preserve">To develop in collaboration with relevant organizations, and taking into consideration the proposed assessment of the Intergovernmental Science-Policy Platform on Biodiversity and Ecosystem Services on invasive alien species, decision-support tools for assessing and evaluating the social, economic and ecological consequences of invasive alien species; cost-benefit analyses for eradication, management and control measures; and </w:t>
      </w:r>
      <w:r w:rsidR="00BF4783" w:rsidRPr="00807D09">
        <w:rPr>
          <w:bCs/>
          <w:iCs/>
          <w:kern w:val="22"/>
        </w:rPr>
        <w:t xml:space="preserve">tools </w:t>
      </w:r>
      <w:r w:rsidRPr="00807D09">
        <w:rPr>
          <w:bCs/>
          <w:iCs/>
          <w:kern w:val="22"/>
        </w:rPr>
        <w:t>for examining the impacts of climate change and land-use change on biological invasions;</w:t>
      </w:r>
    </w:p>
    <w:p w14:paraId="5B7FA42A" w14:textId="77777777" w:rsidR="00522DE1" w:rsidRPr="00807D09" w:rsidRDefault="00522DE1" w:rsidP="00522DE1">
      <w:pPr>
        <w:spacing w:before="120" w:after="120"/>
        <w:ind w:firstLine="720"/>
        <w:rPr>
          <w:bCs/>
          <w:iCs/>
          <w:kern w:val="22"/>
        </w:rPr>
      </w:pPr>
      <w:r w:rsidRPr="00807D09">
        <w:rPr>
          <w:bCs/>
          <w:iCs/>
          <w:kern w:val="22"/>
        </w:rPr>
        <w:t>(d)</w:t>
      </w:r>
      <w:r w:rsidRPr="00807D09">
        <w:rPr>
          <w:bCs/>
          <w:iCs/>
          <w:kern w:val="22"/>
        </w:rPr>
        <w:tab/>
        <w:t>To explore with relevant partners, including the standard-setting bodies recognized by the World Trade Organization (the International Plant Protection Convention, the World Organisation for Animal Health (OIE), and the Codex Alimentarius Commission) and other members of the inter-agency liaison group on invasive alien species, methods of alerting suppliers and potential buyers to the risk posed by invasive alien species sold via e-commerce,</w:t>
      </w:r>
      <w:r w:rsidRPr="00807D09">
        <w:rPr>
          <w:bCs/>
          <w:iCs/>
          <w:kern w:val="22"/>
          <w:vertAlign w:val="superscript"/>
        </w:rPr>
        <w:footnoteReference w:id="5"/>
      </w:r>
      <w:r w:rsidRPr="00807D09">
        <w:rPr>
          <w:bCs/>
          <w:iCs/>
          <w:kern w:val="22"/>
        </w:rPr>
        <w:t xml:space="preserve"> and report on progress to the Subsidiary Body on </w:t>
      </w:r>
      <w:r w:rsidRPr="00807D09">
        <w:rPr>
          <w:bCs/>
          <w:iCs/>
          <w:kern w:val="22"/>
        </w:rPr>
        <w:lastRenderedPageBreak/>
        <w:t>Scientific, Technical and Technological Advice prior to the thirteenth meeting of the Conference of the Parties;</w:t>
      </w:r>
    </w:p>
    <w:p w14:paraId="4AC9C469" w14:textId="77777777" w:rsidR="00522DE1" w:rsidRPr="00FB0ABD" w:rsidRDefault="00522DE1">
      <w:pPr>
        <w:spacing w:before="120" w:after="120"/>
        <w:ind w:firstLine="720"/>
        <w:rPr>
          <w:bCs/>
          <w:iCs/>
          <w:kern w:val="22"/>
          <w:szCs w:val="22"/>
        </w:rPr>
      </w:pPr>
      <w:r w:rsidRPr="00807D09">
        <w:rPr>
          <w:bCs/>
          <w:iCs/>
          <w:kern w:val="22"/>
          <w:szCs w:val="22"/>
        </w:rPr>
        <w:t>(e)</w:t>
      </w:r>
      <w:r w:rsidRPr="00807D09">
        <w:rPr>
          <w:bCs/>
          <w:iCs/>
          <w:kern w:val="22"/>
          <w:szCs w:val="22"/>
        </w:rPr>
        <w:tab/>
        <w:t xml:space="preserve">To assess progress towards the achievement of Aichi Biodiversity Target 9 and to report to the Subsidiary Body on Scientific, Technical and Technological Advice </w:t>
      </w:r>
      <w:r w:rsidRPr="00FB0ABD">
        <w:rPr>
          <w:bCs/>
          <w:iCs/>
          <w:kern w:val="22"/>
          <w:szCs w:val="22"/>
        </w:rPr>
        <w:t>prior to the thirteenth meeting of the Conference of the Parties;</w:t>
      </w:r>
    </w:p>
    <w:p w14:paraId="3980D23A" w14:textId="77777777" w:rsidR="00522DE1" w:rsidRPr="00FB0ABD" w:rsidRDefault="00522DE1" w:rsidP="00522DE1">
      <w:pPr>
        <w:spacing w:before="120" w:after="120"/>
        <w:ind w:firstLine="720"/>
        <w:rPr>
          <w:bCs/>
          <w:iCs/>
          <w:kern w:val="22"/>
          <w:szCs w:val="22"/>
        </w:rPr>
      </w:pPr>
      <w:r w:rsidRPr="00FB0ABD">
        <w:rPr>
          <w:bCs/>
          <w:iCs/>
          <w:kern w:val="22"/>
          <w:szCs w:val="22"/>
        </w:rPr>
        <w:t>(f)</w:t>
      </w:r>
      <w:r w:rsidRPr="00FB0ABD">
        <w:rPr>
          <w:bCs/>
          <w:iCs/>
          <w:kern w:val="22"/>
          <w:szCs w:val="22"/>
        </w:rPr>
        <w:tab/>
        <w:t>To develop a user-friendly guide to existing decisions of the Conference of the Parties on invasive alien species an</w:t>
      </w:r>
      <w:r w:rsidRPr="00807D09">
        <w:rPr>
          <w:bCs/>
          <w:iCs/>
          <w:kern w:val="22"/>
          <w:szCs w:val="22"/>
        </w:rPr>
        <w:t>d the relevant guidance and standards developed by other relevant organizations, as requested in paragraphs 3 and 17 of decision IX/4 B</w:t>
      </w:r>
      <w:r w:rsidR="00FB0ABD">
        <w:rPr>
          <w:bCs/>
          <w:iCs/>
          <w:kern w:val="22"/>
          <w:szCs w:val="22"/>
        </w:rPr>
        <w:t>;</w:t>
      </w:r>
    </w:p>
    <w:p w14:paraId="1E0DCBFF" w14:textId="77777777" w:rsidR="00522DE1" w:rsidRPr="00FB0ABD" w:rsidRDefault="00522DE1" w:rsidP="00C207B3">
      <w:pPr>
        <w:spacing w:before="120" w:after="120"/>
        <w:ind w:firstLine="720"/>
        <w:rPr>
          <w:bCs/>
          <w:iCs/>
          <w:kern w:val="22"/>
          <w:szCs w:val="22"/>
        </w:rPr>
      </w:pPr>
      <w:r w:rsidRPr="00FB0ABD">
        <w:rPr>
          <w:bCs/>
          <w:iCs/>
          <w:kern w:val="22"/>
          <w:szCs w:val="22"/>
        </w:rPr>
        <w:t>(g)</w:t>
      </w:r>
      <w:r w:rsidR="00897A7E" w:rsidRPr="00807D09">
        <w:rPr>
          <w:bCs/>
          <w:iCs/>
          <w:kern w:val="22"/>
          <w:szCs w:val="22"/>
        </w:rPr>
        <w:tab/>
      </w:r>
      <w:r w:rsidR="00E041B9" w:rsidRPr="00807D09">
        <w:rPr>
          <w:bCs/>
          <w:iCs/>
          <w:kern w:val="22"/>
          <w:szCs w:val="22"/>
        </w:rPr>
        <w:t xml:space="preserve">To compile, </w:t>
      </w:r>
      <w:r w:rsidR="00E041B9" w:rsidRPr="00807D09">
        <w:rPr>
          <w:kern w:val="22"/>
        </w:rPr>
        <w:t>i</w:t>
      </w:r>
      <w:r w:rsidRPr="00807D09">
        <w:rPr>
          <w:kern w:val="22"/>
        </w:rPr>
        <w:t xml:space="preserve">n collaboration with </w:t>
      </w:r>
      <w:r w:rsidR="00897A7E" w:rsidRPr="00807D09">
        <w:rPr>
          <w:kern w:val="22"/>
        </w:rPr>
        <w:t>the International Union for Conservation of Nature</w:t>
      </w:r>
      <w:r w:rsidRPr="00807D09">
        <w:rPr>
          <w:kern w:val="22"/>
        </w:rPr>
        <w:t xml:space="preserve"> and through the Global Invasive Alien Species Information Partnership, information from Parties, scientific institutions, and other relevant organizations, on experiences in the use of biological control agents against invasive alien species, in particular the release in the wild of alien species for this purpose, including positive and negative cases and cases of the application of appropriate risk assessment, and to submit a synthesis of this information </w:t>
      </w:r>
      <w:r w:rsidR="00EB4AA6" w:rsidRPr="00F1065A">
        <w:rPr>
          <w:kern w:val="22"/>
        </w:rPr>
        <w:t>to</w:t>
      </w:r>
      <w:r w:rsidRPr="00FB0ABD">
        <w:rPr>
          <w:kern w:val="22"/>
        </w:rPr>
        <w:t xml:space="preserve"> the Subsidiary Body on Scientific</w:t>
      </w:r>
      <w:r w:rsidR="00897A7E" w:rsidRPr="00FB0ABD">
        <w:rPr>
          <w:kern w:val="22"/>
        </w:rPr>
        <w:t>,</w:t>
      </w:r>
      <w:r w:rsidRPr="00FB0ABD">
        <w:rPr>
          <w:kern w:val="22"/>
        </w:rPr>
        <w:t xml:space="preserve"> Technical and Technological </w:t>
      </w:r>
      <w:r w:rsidR="00897A7E" w:rsidRPr="00FB0ABD">
        <w:rPr>
          <w:kern w:val="22"/>
        </w:rPr>
        <w:t xml:space="preserve">Advice </w:t>
      </w:r>
      <w:r w:rsidRPr="00FB0ABD">
        <w:rPr>
          <w:kern w:val="22"/>
        </w:rPr>
        <w:t>prior to the thirteenth meeting of the Conference of the Parties, and to make this information available through the clearing-house mechanism.</w:t>
      </w:r>
    </w:p>
    <w:p w14:paraId="1257AFB6" w14:textId="77777777" w:rsidR="00522DE1" w:rsidRPr="00807D09" w:rsidRDefault="00522DE1" w:rsidP="00522DE1">
      <w:pPr>
        <w:spacing w:before="60" w:after="120"/>
        <w:jc w:val="center"/>
        <w:rPr>
          <w:kern w:val="22"/>
          <w:szCs w:val="22"/>
        </w:rPr>
      </w:pPr>
      <w:r w:rsidRPr="00807D09">
        <w:rPr>
          <w:kern w:val="22"/>
          <w:szCs w:val="22"/>
        </w:rPr>
        <w:t>__________</w:t>
      </w:r>
    </w:p>
    <w:sectPr w:rsidR="00522DE1" w:rsidRPr="00807D09" w:rsidSect="00522DE1">
      <w:headerReference w:type="even" r:id="rId11"/>
      <w:headerReference w:type="default" r:id="rId12"/>
      <w:type w:val="continuous"/>
      <w:pgSz w:w="12240" w:h="15840"/>
      <w:pgMar w:top="864" w:right="1440" w:bottom="864" w:left="1440" w:header="720" w:footer="720"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55B930" w14:textId="77777777" w:rsidR="000E35FB" w:rsidRDefault="000E35FB">
      <w:r>
        <w:separator/>
      </w:r>
    </w:p>
  </w:endnote>
  <w:endnote w:type="continuationSeparator" w:id="0">
    <w:p w14:paraId="1E699D8F" w14:textId="77777777" w:rsidR="000E35FB" w:rsidRDefault="000E35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MS Mincho">
    <w:altName w:val="ＭＳ 明朝"/>
    <w:panose1 w:val="020206090402050803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ヒラギノ角ゴ ProN W3">
    <w:panose1 w:val="020B0604020202020204"/>
    <w:charset w:val="80"/>
    <w:family w:val="auto"/>
    <w:pitch w:val="variable"/>
    <w:sig w:usb0="00000001" w:usb1="00000000" w:usb2="01000407" w:usb3="00000000" w:csb0="00020000" w:csb1="00000000"/>
  </w:font>
  <w:font w:name="Courier New">
    <w:panose1 w:val="02070309020205020404"/>
    <w:charset w:val="00"/>
    <w:family w:val="modern"/>
    <w:pitch w:val="fixed"/>
    <w:sig w:usb0="E0002EFF" w:usb1="C0007843" w:usb2="00000009" w:usb3="00000000" w:csb0="0000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00"/>
    <w:family w:val="swiss"/>
    <w:pitch w:val="variable"/>
    <w:sig w:usb0="A10006FF" w:usb1="4000205B" w:usb2="0000001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E9F9B" w14:textId="77777777" w:rsidR="000E35FB" w:rsidRDefault="000E35FB">
      <w:r>
        <w:separator/>
      </w:r>
    </w:p>
  </w:footnote>
  <w:footnote w:type="continuationSeparator" w:id="0">
    <w:p w14:paraId="4AC10B39" w14:textId="77777777" w:rsidR="000E35FB" w:rsidRDefault="000E35FB">
      <w:r>
        <w:continuationSeparator/>
      </w:r>
    </w:p>
  </w:footnote>
  <w:footnote w:id="1">
    <w:p w14:paraId="7ACF1AE8" w14:textId="77777777" w:rsidR="00522DE1" w:rsidRPr="00A81558" w:rsidRDefault="00522DE1" w:rsidP="00FB0ABD">
      <w:pPr>
        <w:pStyle w:val="FootnoteText"/>
        <w:ind w:firstLine="0"/>
        <w:jc w:val="left"/>
        <w:rPr>
          <w:kern w:val="18"/>
          <w:szCs w:val="18"/>
        </w:rPr>
      </w:pPr>
      <w:r w:rsidRPr="00A81558">
        <w:rPr>
          <w:rStyle w:val="a"/>
          <w:kern w:val="18"/>
          <w:u w:val="none"/>
          <w:vertAlign w:val="superscript"/>
        </w:rPr>
        <w:footnoteRef/>
      </w:r>
      <w:r w:rsidR="007D50FF">
        <w:rPr>
          <w:kern w:val="18"/>
          <w:szCs w:val="18"/>
        </w:rPr>
        <w:t xml:space="preserve"> </w:t>
      </w:r>
      <w:r w:rsidRPr="00A81558">
        <w:rPr>
          <w:kern w:val="18"/>
          <w:szCs w:val="18"/>
        </w:rPr>
        <w:t xml:space="preserve">See IPBES/2/17, Decision IPBES-2/5: Work </w:t>
      </w:r>
      <w:r w:rsidRPr="00A81558">
        <w:rPr>
          <w:noProof/>
          <w:kern w:val="18"/>
          <w:szCs w:val="18"/>
        </w:rPr>
        <w:t>programme</w:t>
      </w:r>
      <w:r w:rsidRPr="00A81558">
        <w:rPr>
          <w:kern w:val="18"/>
          <w:szCs w:val="18"/>
        </w:rPr>
        <w:t xml:space="preserve"> for the period 2014-2018.</w:t>
      </w:r>
    </w:p>
  </w:footnote>
  <w:footnote w:id="2">
    <w:p w14:paraId="764826D2" w14:textId="77777777" w:rsidR="00522DE1" w:rsidRPr="00A81558" w:rsidRDefault="00522DE1" w:rsidP="00FB0ABD">
      <w:pPr>
        <w:pStyle w:val="FootnoteText"/>
        <w:ind w:firstLine="0"/>
        <w:jc w:val="left"/>
        <w:rPr>
          <w:kern w:val="18"/>
          <w:szCs w:val="18"/>
        </w:rPr>
      </w:pPr>
      <w:r w:rsidRPr="00A81558">
        <w:rPr>
          <w:rStyle w:val="a"/>
          <w:kern w:val="18"/>
          <w:u w:val="none"/>
        </w:rPr>
        <w:t>*</w:t>
      </w:r>
      <w:r w:rsidR="007D50FF">
        <w:rPr>
          <w:kern w:val="18"/>
          <w:szCs w:val="18"/>
        </w:rPr>
        <w:t xml:space="preserve"> </w:t>
      </w:r>
      <w:r w:rsidRPr="00A81558">
        <w:rPr>
          <w:kern w:val="18"/>
          <w:szCs w:val="18"/>
        </w:rPr>
        <w:t>One representative entered a formal objection during the process leading to the adoption of this decision and underlined that he did not believe that the Conference of the Parties could legitimately adopt a motion or a text with a formal objection in place. A few representatives expressed reservations regarding the procedure leading to the adoption of this decision (see UNEP/CBD/COP/6/20, paras. 294-324).</w:t>
      </w:r>
    </w:p>
  </w:footnote>
  <w:footnote w:id="3">
    <w:p w14:paraId="49063FBF" w14:textId="77777777" w:rsidR="00522DE1" w:rsidRPr="00A81558" w:rsidRDefault="00522DE1" w:rsidP="00FB0ABD">
      <w:pPr>
        <w:pStyle w:val="FootnoteText"/>
        <w:ind w:firstLine="0"/>
        <w:jc w:val="left"/>
        <w:rPr>
          <w:bCs/>
          <w:iCs/>
          <w:kern w:val="18"/>
          <w:szCs w:val="18"/>
        </w:rPr>
      </w:pPr>
      <w:r w:rsidRPr="00A81558">
        <w:rPr>
          <w:rStyle w:val="a"/>
          <w:kern w:val="18"/>
          <w:u w:val="none"/>
          <w:vertAlign w:val="superscript"/>
        </w:rPr>
        <w:footnoteRef/>
      </w:r>
      <w:r w:rsidR="004547D2">
        <w:rPr>
          <w:kern w:val="18"/>
          <w:szCs w:val="18"/>
        </w:rPr>
        <w:t xml:space="preserve"> </w:t>
      </w:r>
      <w:r w:rsidRPr="00A81558">
        <w:rPr>
          <w:bCs/>
          <w:iCs/>
          <w:kern w:val="18"/>
          <w:szCs w:val="18"/>
        </w:rPr>
        <w:t>UNEP/CBD/SBSTTA/18/9/Add.1.</w:t>
      </w:r>
    </w:p>
  </w:footnote>
  <w:footnote w:id="4">
    <w:p w14:paraId="0FC86D2A" w14:textId="77777777" w:rsidR="00BF4783" w:rsidRPr="00703529" w:rsidRDefault="00BF4783" w:rsidP="00807D09">
      <w:pPr>
        <w:pStyle w:val="FootnoteText"/>
        <w:ind w:firstLine="0"/>
        <w:jc w:val="left"/>
      </w:pPr>
      <w:r w:rsidRPr="00807D09">
        <w:rPr>
          <w:rStyle w:val="FootnoteReference"/>
          <w:u w:val="none"/>
          <w:vertAlign w:val="superscript"/>
        </w:rPr>
        <w:footnoteRef/>
      </w:r>
      <w:r>
        <w:t xml:space="preserve"> </w:t>
      </w:r>
      <w:r w:rsidR="003122EA">
        <w:t xml:space="preserve">See </w:t>
      </w:r>
      <w:r w:rsidRPr="00A81558">
        <w:rPr>
          <w:kern w:val="22"/>
        </w:rPr>
        <w:t>UNEP/CBD/COP/12/INF/8</w:t>
      </w:r>
      <w:r>
        <w:rPr>
          <w:kern w:val="22"/>
        </w:rPr>
        <w:t>.</w:t>
      </w:r>
    </w:p>
  </w:footnote>
  <w:footnote w:id="5">
    <w:p w14:paraId="17109184" w14:textId="77777777" w:rsidR="00522DE1" w:rsidRPr="00A81558" w:rsidRDefault="00522DE1" w:rsidP="00FB0ABD">
      <w:pPr>
        <w:pStyle w:val="FootnoteText"/>
        <w:ind w:firstLine="0"/>
        <w:jc w:val="left"/>
        <w:rPr>
          <w:kern w:val="18"/>
        </w:rPr>
      </w:pPr>
      <w:r w:rsidRPr="00807D09">
        <w:rPr>
          <w:rStyle w:val="FootnoteReference"/>
          <w:kern w:val="18"/>
          <w:u w:val="none"/>
          <w:vertAlign w:val="superscript"/>
        </w:rPr>
        <w:footnoteRef/>
      </w:r>
      <w:r w:rsidRPr="00A81558">
        <w:rPr>
          <w:kern w:val="18"/>
        </w:rPr>
        <w:t xml:space="preserve"> </w:t>
      </w:r>
      <w:r w:rsidR="00BF4783">
        <w:rPr>
          <w:noProof/>
          <w:kern w:val="18"/>
        </w:rPr>
        <w:t>See</w:t>
      </w:r>
      <w:r w:rsidR="00BF4783" w:rsidRPr="00A81558">
        <w:rPr>
          <w:noProof/>
          <w:kern w:val="18"/>
        </w:rPr>
        <w:t xml:space="preserve"> </w:t>
      </w:r>
      <w:r w:rsidRPr="00A81558">
        <w:rPr>
          <w:noProof/>
          <w:kern w:val="18"/>
        </w:rPr>
        <w:t>CPM Recommendation CPM-9/2014/2 - Internet Trade (E-Commerce) in Plants and other Regulated Articles.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10415D" w14:textId="77777777" w:rsidR="00522DE1" w:rsidRPr="003D6E3E" w:rsidRDefault="00522DE1" w:rsidP="00522DE1">
    <w:pPr>
      <w:snapToGrid w:val="0"/>
      <w:rPr>
        <w:noProof/>
      </w:rPr>
    </w:pPr>
    <w:r w:rsidRPr="00075D86">
      <w:rPr>
        <w:noProof/>
      </w:rPr>
      <w:t>UNEP/CBD/COP/</w:t>
    </w:r>
    <w:r w:rsidR="007D50FF">
      <w:rPr>
        <w:noProof/>
      </w:rPr>
      <w:t>DEC/XII/1</w:t>
    </w:r>
    <w:r w:rsidR="00E855A4">
      <w:rPr>
        <w:noProof/>
      </w:rPr>
      <w:t>7</w:t>
    </w:r>
  </w:p>
  <w:p w14:paraId="5CA88A37" w14:textId="77777777" w:rsidR="00522DE1" w:rsidRDefault="00522DE1" w:rsidP="00522DE1">
    <w:pPr>
      <w:pStyle w:val="Header"/>
      <w:rPr>
        <w:noProof/>
      </w:rPr>
    </w:pPr>
    <w:r>
      <w:rPr>
        <w:noProof/>
      </w:rPr>
      <w:t xml:space="preserve">Page </w:t>
    </w:r>
    <w:r>
      <w:rPr>
        <w:noProof/>
      </w:rPr>
      <w:fldChar w:fldCharType="begin"/>
    </w:r>
    <w:r>
      <w:rPr>
        <w:noProof/>
      </w:rPr>
      <w:instrText xml:space="preserve"> PAGE   \* MERGEFORMAT </w:instrText>
    </w:r>
    <w:r>
      <w:rPr>
        <w:noProof/>
      </w:rPr>
      <w:fldChar w:fldCharType="separate"/>
    </w:r>
    <w:r w:rsidR="00D5029F">
      <w:rPr>
        <w:noProof/>
      </w:rPr>
      <w:t>4</w:t>
    </w:r>
    <w:r>
      <w:rPr>
        <w:noProof/>
      </w:rPr>
      <w:fldChar w:fldCharType="end"/>
    </w:r>
  </w:p>
  <w:p w14:paraId="48CB3C5E" w14:textId="77777777" w:rsidR="00522DE1" w:rsidRDefault="00522D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D0D09" w14:textId="77777777" w:rsidR="00522DE1" w:rsidRPr="003D6E3E" w:rsidRDefault="00522DE1" w:rsidP="00522DE1">
    <w:pPr>
      <w:snapToGrid w:val="0"/>
      <w:jc w:val="right"/>
      <w:rPr>
        <w:noProof/>
      </w:rPr>
    </w:pPr>
    <w:r w:rsidRPr="00075D86">
      <w:rPr>
        <w:noProof/>
      </w:rPr>
      <w:t>UNEP/CBD/COP/</w:t>
    </w:r>
    <w:r w:rsidR="007D50FF">
      <w:rPr>
        <w:noProof/>
      </w:rPr>
      <w:t>DEC/XII/1</w:t>
    </w:r>
    <w:r w:rsidR="00E855A4">
      <w:rPr>
        <w:noProof/>
      </w:rPr>
      <w:t>7</w:t>
    </w:r>
  </w:p>
  <w:p w14:paraId="778A1398" w14:textId="77777777" w:rsidR="00522DE1" w:rsidRDefault="00522DE1" w:rsidP="00522DE1">
    <w:pPr>
      <w:pStyle w:val="Header"/>
      <w:jc w:val="right"/>
      <w:rPr>
        <w:noProof/>
      </w:rPr>
    </w:pPr>
    <w:r>
      <w:rPr>
        <w:noProof/>
      </w:rPr>
      <w:t xml:space="preserve">Page </w:t>
    </w:r>
    <w:r>
      <w:rPr>
        <w:noProof/>
      </w:rPr>
      <w:fldChar w:fldCharType="begin"/>
    </w:r>
    <w:r>
      <w:rPr>
        <w:noProof/>
      </w:rPr>
      <w:instrText xml:space="preserve"> PAGE   \* MERGEFORMAT </w:instrText>
    </w:r>
    <w:r>
      <w:rPr>
        <w:noProof/>
      </w:rPr>
      <w:fldChar w:fldCharType="separate"/>
    </w:r>
    <w:r w:rsidR="00D5029F">
      <w:rPr>
        <w:noProof/>
      </w:rPr>
      <w:t>3</w:t>
    </w:r>
    <w:r>
      <w:rPr>
        <w:noProof/>
      </w:rPr>
      <w:fldChar w:fldCharType="end"/>
    </w:r>
  </w:p>
  <w:p w14:paraId="071E9BB1" w14:textId="77777777" w:rsidR="00522DE1" w:rsidRDefault="00522DE1" w:rsidP="00522DE1">
    <w:pPr>
      <w:pStyle w:val="Header"/>
      <w:jc w:val="right"/>
      <w:rPr>
        <w:noProof/>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left"/>
      <w:pPr>
        <w:tabs>
          <w:tab w:val="num" w:pos="720"/>
        </w:tabs>
        <w:ind w:left="0" w:firstLine="0"/>
      </w:pPr>
    </w:lvl>
    <w:lvl w:ilvl="1">
      <w:start w:val="1"/>
      <w:numFmt w:val="upperLetter"/>
      <w:lvlText w:val="%2."/>
      <w:lvlJc w:val="left"/>
      <w:pPr>
        <w:tabs>
          <w:tab w:val="num" w:pos="360"/>
        </w:tabs>
        <w:ind w:left="0" w:firstLine="0"/>
      </w:pPr>
    </w:lvl>
    <w:lvl w:ilvl="2">
      <w:start w:val="1"/>
      <w:numFmt w:val="decimal"/>
      <w:lvlText w:val="%3."/>
      <w:lvlJc w:val="left"/>
      <w:pPr>
        <w:tabs>
          <w:tab w:val="num" w:pos="360"/>
        </w:tabs>
        <w:ind w:left="0" w:firstLine="0"/>
      </w:pPr>
    </w:lvl>
    <w:lvl w:ilvl="3">
      <w:start w:val="1"/>
      <w:numFmt w:val="decimal"/>
      <w:lvlText w:val="1.%4"/>
      <w:lvlJc w:val="left"/>
      <w:pPr>
        <w:tabs>
          <w:tab w:val="num" w:pos="360"/>
        </w:tabs>
        <w:ind w:left="0" w:firstLine="0"/>
      </w:pPr>
    </w:lvl>
    <w:lvl w:ilvl="4">
      <w:start w:val="1"/>
      <w:numFmt w:val="lowerRoman"/>
      <w:lvlText w:val="(%5)"/>
      <w:lvlJc w:val="left"/>
      <w:pPr>
        <w:tabs>
          <w:tab w:val="num" w:pos="720"/>
        </w:tabs>
        <w:ind w:left="0" w:firstLine="0"/>
      </w:pPr>
    </w:lvl>
    <w:lvl w:ilvl="5">
      <w:start w:val="1"/>
      <w:numFmt w:val="lowerLetter"/>
      <w:lvlText w:val="(%6)"/>
      <w:lvlJc w:val="left"/>
      <w:pPr>
        <w:tabs>
          <w:tab w:val="num" w:pos="1080"/>
        </w:tabs>
        <w:ind w:left="720" w:firstLine="0"/>
      </w:pPr>
    </w:lvl>
    <w:lvl w:ilvl="6">
      <w:start w:val="1"/>
      <w:numFmt w:val="lowerRoman"/>
      <w:lvlText w:val="(%7)"/>
      <w:lvlJc w:val="left"/>
      <w:pPr>
        <w:tabs>
          <w:tab w:val="num" w:pos="4680"/>
        </w:tabs>
        <w:ind w:left="4320" w:firstLine="0"/>
      </w:pPr>
    </w:lvl>
    <w:lvl w:ilvl="7">
      <w:start w:val="1"/>
      <w:numFmt w:val="lowerLetter"/>
      <w:lvlText w:val="(%8)"/>
      <w:lvlJc w:val="left"/>
      <w:pPr>
        <w:tabs>
          <w:tab w:val="num" w:pos="-360"/>
        </w:tabs>
        <w:ind w:left="720" w:firstLine="0"/>
      </w:pPr>
    </w:lvl>
    <w:lvl w:ilvl="8">
      <w:start w:val="1"/>
      <w:numFmt w:val="lowerRoman"/>
      <w:lvlText w:val="(%9)"/>
      <w:lvlJc w:val="left"/>
      <w:pPr>
        <w:tabs>
          <w:tab w:val="num" w:pos="6120"/>
        </w:tabs>
        <w:ind w:left="5760" w:firstLine="0"/>
      </w:pPr>
    </w:lvl>
  </w:abstractNum>
  <w:abstractNum w:abstractNumId="1" w15:restartNumberingAfterBreak="0">
    <w:nsid w:val="00000002"/>
    <w:multiLevelType w:val="singleLevel"/>
    <w:tmpl w:val="00000002"/>
    <w:lvl w:ilvl="0">
      <w:start w:val="1"/>
      <w:numFmt w:val="decimal"/>
      <w:lvlText w:val="%1."/>
      <w:lvlJc w:val="left"/>
      <w:pPr>
        <w:tabs>
          <w:tab w:val="num" w:pos="0"/>
        </w:tabs>
        <w:ind w:left="360" w:hanging="360"/>
      </w:pPr>
      <w:rPr>
        <w:rFonts w:ascii="Times New Roman" w:hAnsi="Times New Roman" w:cs="Times New Roman"/>
        <w:b w:val="0"/>
        <w:i w:val="0"/>
        <w:sz w:val="20"/>
        <w:szCs w:val="20"/>
      </w:rPr>
    </w:lvl>
  </w:abstractNum>
  <w:abstractNum w:abstractNumId="2" w15:restartNumberingAfterBreak="0">
    <w:nsid w:val="00000003"/>
    <w:multiLevelType w:val="multilevel"/>
    <w:tmpl w:val="00000003"/>
    <w:name w:val="WW8Num4"/>
    <w:lvl w:ilvl="0">
      <w:start w:val="1"/>
      <w:numFmt w:val="decimal"/>
      <w:lvlText w:val="%1."/>
      <w:lvlJc w:val="left"/>
      <w:pPr>
        <w:tabs>
          <w:tab w:val="num" w:pos="360"/>
        </w:tabs>
        <w:ind w:left="0" w:firstLine="0"/>
      </w:pPr>
    </w:lvl>
    <w:lvl w:ilvl="1">
      <w:start w:val="1"/>
      <w:numFmt w:val="lowerLetter"/>
      <w:lvlText w:val="(%2)"/>
      <w:lvlJc w:val="left"/>
      <w:pPr>
        <w:tabs>
          <w:tab w:val="num" w:pos="1080"/>
        </w:tabs>
        <w:ind w:left="0" w:firstLine="720"/>
      </w:pPr>
    </w:lvl>
    <w:lvl w:ilvl="2">
      <w:start w:val="1"/>
      <w:numFmt w:val="lowerRoman"/>
      <w:lvlText w:val="(%3)"/>
      <w:lvlJc w:val="left"/>
      <w:pPr>
        <w:tabs>
          <w:tab w:val="num" w:pos="2736"/>
        </w:tabs>
        <w:ind w:left="2736" w:hanging="432"/>
      </w:pPr>
    </w:lvl>
    <w:lvl w:ilvl="3">
      <w:start w:val="1"/>
      <w:numFmt w:val="decimal"/>
      <w:lvlText w:val="a.%4"/>
      <w:lvlJc w:val="left"/>
      <w:pPr>
        <w:tabs>
          <w:tab w:val="num" w:pos="2160"/>
        </w:tabs>
        <w:ind w:left="2160" w:hanging="360"/>
      </w:pPr>
    </w:lvl>
    <w:lvl w:ilvl="4">
      <w:start w:val="1"/>
      <w:numFmt w:val="lowerLetter"/>
      <w:lvlText w:val="(%5)"/>
      <w:lvlJc w:val="left"/>
      <w:pPr>
        <w:tabs>
          <w:tab w:val="num" w:pos="2520"/>
        </w:tabs>
        <w:ind w:left="2520" w:hanging="360"/>
      </w:pPr>
    </w:lvl>
    <w:lvl w:ilvl="5">
      <w:start w:val="1"/>
      <w:numFmt w:val="lowerRoman"/>
      <w:lvlText w:val="(%6)"/>
      <w:lvlJc w:val="left"/>
      <w:pPr>
        <w:tabs>
          <w:tab w:val="num" w:pos="2880"/>
        </w:tabs>
        <w:ind w:left="2880" w:hanging="360"/>
      </w:pPr>
    </w:lvl>
    <w:lvl w:ilvl="6">
      <w:start w:val="1"/>
      <w:numFmt w:val="decimal"/>
      <w:lvlText w:val="%7."/>
      <w:lvlJc w:val="left"/>
      <w:pPr>
        <w:tabs>
          <w:tab w:val="num" w:pos="3240"/>
        </w:tabs>
        <w:ind w:left="3240" w:hanging="360"/>
      </w:pPr>
    </w:lvl>
    <w:lvl w:ilvl="7">
      <w:start w:val="1"/>
      <w:numFmt w:val="lowerLetter"/>
      <w:lvlText w:val="%8."/>
      <w:lvlJc w:val="left"/>
      <w:pPr>
        <w:tabs>
          <w:tab w:val="num" w:pos="3600"/>
        </w:tabs>
        <w:ind w:left="3600" w:hanging="360"/>
      </w:pPr>
    </w:lvl>
    <w:lvl w:ilvl="8">
      <w:start w:val="1"/>
      <w:numFmt w:val="lowerRoman"/>
      <w:lvlText w:val="%9."/>
      <w:lvlJc w:val="left"/>
      <w:pPr>
        <w:tabs>
          <w:tab w:val="num" w:pos="3960"/>
        </w:tabs>
        <w:ind w:left="3960" w:hanging="360"/>
      </w:pPr>
    </w:lvl>
  </w:abstractNum>
  <w:abstractNum w:abstractNumId="3" w15:restartNumberingAfterBreak="0">
    <w:nsid w:val="00000004"/>
    <w:multiLevelType w:val="singleLevel"/>
    <w:tmpl w:val="00000004"/>
    <w:name w:val="WW8Num5"/>
    <w:lvl w:ilvl="0">
      <w:start w:val="1"/>
      <w:numFmt w:val="decimal"/>
      <w:lvlText w:val="%1."/>
      <w:lvlJc w:val="left"/>
      <w:pPr>
        <w:tabs>
          <w:tab w:val="num" w:pos="360"/>
        </w:tabs>
        <w:ind w:left="0" w:firstLine="0"/>
      </w:pPr>
    </w:lvl>
  </w:abstractNum>
  <w:abstractNum w:abstractNumId="4" w15:restartNumberingAfterBreak="0">
    <w:nsid w:val="00000005"/>
    <w:multiLevelType w:val="singleLevel"/>
    <w:tmpl w:val="00000005"/>
    <w:name w:val="WW8Num7"/>
    <w:lvl w:ilvl="0">
      <w:start w:val="1"/>
      <w:numFmt w:val="upperLetter"/>
      <w:lvlText w:val="%1."/>
      <w:lvlJc w:val="left"/>
      <w:pPr>
        <w:tabs>
          <w:tab w:val="num" w:pos="0"/>
        </w:tabs>
        <w:ind w:left="720" w:hanging="360"/>
      </w:pPr>
    </w:lvl>
  </w:abstractNum>
  <w:abstractNum w:abstractNumId="5" w15:restartNumberingAfterBreak="0">
    <w:nsid w:val="00000006"/>
    <w:multiLevelType w:val="multilevel"/>
    <w:tmpl w:val="00000006"/>
    <w:name w:val="WW8Num9"/>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left"/>
      <w:pPr>
        <w:tabs>
          <w:tab w:val="num" w:pos="1800"/>
        </w:tabs>
        <w:ind w:left="180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6" w15:restartNumberingAfterBreak="0">
    <w:nsid w:val="00000007"/>
    <w:multiLevelType w:val="multilevel"/>
    <w:tmpl w:val="00000007"/>
    <w:name w:val="WW8Num11"/>
    <w:lvl w:ilvl="0">
      <w:start w:val="1"/>
      <w:numFmt w:val="decimal"/>
      <w:lvlText w:val="%1."/>
      <w:lvlJc w:val="left"/>
      <w:pPr>
        <w:tabs>
          <w:tab w:val="num" w:pos="360"/>
        </w:tabs>
        <w:ind w:left="0" w:firstLine="0"/>
      </w:pPr>
      <w:rPr>
        <w:rFonts w:ascii="Times New Roman" w:hAnsi="Times New Roman"/>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1440"/>
        </w:tabs>
        <w:ind w:left="1440" w:hanging="360"/>
      </w:pPr>
    </w:lvl>
    <w:lvl w:ilvl="3">
      <w:start w:val="1"/>
      <w:numFmt w:val="bullet"/>
      <w:lvlText w:val=""/>
      <w:lvlJc w:val="left"/>
      <w:pPr>
        <w:tabs>
          <w:tab w:val="num" w:pos="2160"/>
        </w:tabs>
        <w:ind w:left="2160" w:hanging="720"/>
      </w:pPr>
      <w:rPr>
        <w:rFonts w:ascii="Symbol" w:hAnsi="Symbol"/>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7" w15:restartNumberingAfterBreak="0">
    <w:nsid w:val="00000008"/>
    <w:multiLevelType w:val="multilevel"/>
    <w:tmpl w:val="00000008"/>
    <w:name w:val="WW8Num12"/>
    <w:lvl w:ilvl="0">
      <w:start w:val="1"/>
      <w:numFmt w:val="decimal"/>
      <w:lvlText w:val="%1."/>
      <w:lvlJc w:val="left"/>
      <w:pPr>
        <w:tabs>
          <w:tab w:val="num" w:pos="360"/>
        </w:tabs>
        <w:ind w:left="0" w:firstLine="0"/>
      </w:pPr>
      <w:rPr>
        <w:rFonts w:ascii="Times New Roman" w:hAnsi="Times New Roman"/>
        <w:b w:val="0"/>
        <w:i w:val="0"/>
        <w:sz w:val="22"/>
      </w:rPr>
    </w:lvl>
    <w:lvl w:ilvl="1">
      <w:start w:val="1"/>
      <w:numFmt w:val="lowerLetter"/>
      <w:lvlText w:val="(%2)"/>
      <w:lvlJc w:val="left"/>
      <w:pPr>
        <w:tabs>
          <w:tab w:val="num" w:pos="1440"/>
        </w:tabs>
        <w:ind w:left="0" w:firstLine="720"/>
      </w:pPr>
      <w:rPr>
        <w:b w:val="0"/>
        <w:i w:val="0"/>
      </w:rPr>
    </w:lvl>
    <w:lvl w:ilvl="2">
      <w:start w:val="1"/>
      <w:numFmt w:val="lowerRoman"/>
      <w:lvlText w:val="(%3)"/>
      <w:lvlJc w:val="left"/>
      <w:pPr>
        <w:tabs>
          <w:tab w:val="num" w:pos="1440"/>
        </w:tabs>
        <w:ind w:left="1440" w:hanging="360"/>
      </w:pPr>
    </w:lvl>
    <w:lvl w:ilvl="3">
      <w:start w:val="1"/>
      <w:numFmt w:val="bullet"/>
      <w:lvlText w:val=""/>
      <w:lvlJc w:val="left"/>
      <w:pPr>
        <w:tabs>
          <w:tab w:val="num" w:pos="2160"/>
        </w:tabs>
        <w:ind w:left="2160" w:hanging="720"/>
      </w:pPr>
      <w:rPr>
        <w:rFonts w:ascii="Symbol" w:hAnsi="Symbol"/>
        <w:color w:val="auto"/>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00000009"/>
    <w:multiLevelType w:val="singleLevel"/>
    <w:tmpl w:val="00000009"/>
    <w:name w:val="WW8Num14"/>
    <w:lvl w:ilvl="0">
      <w:start w:val="1"/>
      <w:numFmt w:val="decimal"/>
      <w:lvlText w:val="%1."/>
      <w:lvlJc w:val="left"/>
      <w:pPr>
        <w:tabs>
          <w:tab w:val="num" w:pos="1080"/>
        </w:tabs>
        <w:ind w:left="0" w:firstLine="720"/>
      </w:pPr>
    </w:lvl>
  </w:abstractNum>
  <w:abstractNum w:abstractNumId="9" w15:restartNumberingAfterBreak="0">
    <w:nsid w:val="0000000A"/>
    <w:multiLevelType w:val="singleLevel"/>
    <w:tmpl w:val="56EAC8A0"/>
    <w:name w:val="WW8Num16"/>
    <w:lvl w:ilvl="0">
      <w:start w:val="1"/>
      <w:numFmt w:val="decimal"/>
      <w:lvlText w:val="%1."/>
      <w:lvlJc w:val="left"/>
      <w:pPr>
        <w:tabs>
          <w:tab w:val="num" w:pos="0"/>
        </w:tabs>
        <w:ind w:left="720" w:hanging="360"/>
      </w:pPr>
      <w:rPr>
        <w:i w:val="0"/>
      </w:rPr>
    </w:lvl>
  </w:abstractNum>
  <w:abstractNum w:abstractNumId="10" w15:restartNumberingAfterBreak="0">
    <w:nsid w:val="0000000B"/>
    <w:multiLevelType w:val="multilevel"/>
    <w:tmpl w:val="0000000B"/>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00"/>
      <w:numFmt w:val="lowerRoman"/>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2" w15:restartNumberingAfterBreak="0">
    <w:nsid w:val="44CC7FBB"/>
    <w:multiLevelType w:val="hybridMultilevel"/>
    <w:tmpl w:val="45E4BE68"/>
    <w:lvl w:ilvl="0" w:tplc="F89AE9DE">
      <w:start w:val="1"/>
      <w:numFmt w:val="lowerLetter"/>
      <w:lvlText w:val="(%1)"/>
      <w:lvlJc w:val="left"/>
      <w:pPr>
        <w:tabs>
          <w:tab w:val="num" w:pos="1080"/>
        </w:tabs>
        <w:ind w:left="1080" w:hanging="360"/>
      </w:pPr>
      <w:rPr>
        <w:rFonts w:hint="default"/>
        <w:b w:val="0"/>
        <w:i w:val="0"/>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3"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3"/>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4" w15:restartNumberingAfterBreak="0">
    <w:nsid w:val="4E0442B4"/>
    <w:multiLevelType w:val="multilevel"/>
    <w:tmpl w:val="4FF01174"/>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649D34B6"/>
    <w:multiLevelType w:val="hybridMultilevel"/>
    <w:tmpl w:val="C52EFC2A"/>
    <w:lvl w:ilvl="0" w:tplc="E45E8494">
      <w:start w:val="1"/>
      <w:numFmt w:val="lowerLetter"/>
      <w:lvlText w:val="(%1)"/>
      <w:lvlJc w:val="left"/>
      <w:pPr>
        <w:ind w:left="2160" w:hanging="1440"/>
      </w:pPr>
      <w:rPr>
        <w:rFonts w:eastAsia="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13016213">
    <w:abstractNumId w:val="0"/>
  </w:num>
  <w:num w:numId="2" w16cid:durableId="1573927686">
    <w:abstractNumId w:val="1"/>
  </w:num>
  <w:num w:numId="3" w16cid:durableId="141197061">
    <w:abstractNumId w:val="2"/>
  </w:num>
  <w:num w:numId="4" w16cid:durableId="659426526">
    <w:abstractNumId w:val="3"/>
  </w:num>
  <w:num w:numId="5" w16cid:durableId="1158224881">
    <w:abstractNumId w:val="4"/>
  </w:num>
  <w:num w:numId="6" w16cid:durableId="508060251">
    <w:abstractNumId w:val="5"/>
  </w:num>
  <w:num w:numId="7" w16cid:durableId="178659542">
    <w:abstractNumId w:val="6"/>
  </w:num>
  <w:num w:numId="8" w16cid:durableId="2030835284">
    <w:abstractNumId w:val="7"/>
  </w:num>
  <w:num w:numId="9" w16cid:durableId="1171987313">
    <w:abstractNumId w:val="8"/>
  </w:num>
  <w:num w:numId="10" w16cid:durableId="1971936920">
    <w:abstractNumId w:val="9"/>
  </w:num>
  <w:num w:numId="11" w16cid:durableId="910114998">
    <w:abstractNumId w:val="10"/>
  </w:num>
  <w:num w:numId="12" w16cid:durableId="1279337595">
    <w:abstractNumId w:val="15"/>
  </w:num>
  <w:num w:numId="13" w16cid:durableId="1131555153">
    <w:abstractNumId w:val="11"/>
  </w:num>
  <w:num w:numId="14" w16cid:durableId="808210618">
    <w:abstractNumId w:val="14"/>
  </w:num>
  <w:num w:numId="15" w16cid:durableId="707411809">
    <w:abstractNumId w:val="12"/>
  </w:num>
  <w:num w:numId="16" w16cid:durableId="548764676">
    <w:abstractNumId w:val="14"/>
  </w:num>
  <w:num w:numId="17" w16cid:durableId="192973389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isplayBackgroundShape/>
  <w:embedSystemFont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4DB9"/>
    <w:rsid w:val="000E35FB"/>
    <w:rsid w:val="0010181B"/>
    <w:rsid w:val="002149FC"/>
    <w:rsid w:val="002568C0"/>
    <w:rsid w:val="003122EA"/>
    <w:rsid w:val="004547D2"/>
    <w:rsid w:val="004859FC"/>
    <w:rsid w:val="0050656D"/>
    <w:rsid w:val="00522DE1"/>
    <w:rsid w:val="005A5609"/>
    <w:rsid w:val="006A7707"/>
    <w:rsid w:val="00703529"/>
    <w:rsid w:val="007400CD"/>
    <w:rsid w:val="007848DD"/>
    <w:rsid w:val="007D50FF"/>
    <w:rsid w:val="00807D09"/>
    <w:rsid w:val="00897A7E"/>
    <w:rsid w:val="008C0823"/>
    <w:rsid w:val="00916078"/>
    <w:rsid w:val="009B1983"/>
    <w:rsid w:val="00A27BB4"/>
    <w:rsid w:val="00A404DD"/>
    <w:rsid w:val="00A61F63"/>
    <w:rsid w:val="00AB4BEA"/>
    <w:rsid w:val="00BF17DB"/>
    <w:rsid w:val="00BF4783"/>
    <w:rsid w:val="00C207B3"/>
    <w:rsid w:val="00CA2044"/>
    <w:rsid w:val="00D5029F"/>
    <w:rsid w:val="00E041B9"/>
    <w:rsid w:val="00E3644A"/>
    <w:rsid w:val="00E52ECA"/>
    <w:rsid w:val="00E855A4"/>
    <w:rsid w:val="00EB4AA6"/>
    <w:rsid w:val="00F1065A"/>
    <w:rsid w:val="00F47BA7"/>
    <w:rsid w:val="00FB0ABD"/>
    <w:rsid w:val="00FB6984"/>
    <w:rsid w:val="00FF1CB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E411172"/>
  <w15:chartTrackingRefBased/>
  <w15:docId w15:val="{B1752FAF-3D3D-7447-8650-8E9A0F6FA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0FF"/>
    <w:pPr>
      <w:jc w:val="both"/>
    </w:pPr>
    <w:rPr>
      <w:sz w:val="22"/>
      <w:szCs w:val="24"/>
      <w:lang w:val="en-GB"/>
    </w:rPr>
  </w:style>
  <w:style w:type="paragraph" w:styleId="Heading1">
    <w:name w:val="heading 1"/>
    <w:basedOn w:val="Normal"/>
    <w:next w:val="Heading2"/>
    <w:qFormat/>
    <w:rsid w:val="007D50FF"/>
    <w:pPr>
      <w:keepNext/>
      <w:tabs>
        <w:tab w:val="left" w:pos="720"/>
      </w:tabs>
      <w:spacing w:before="240" w:after="120"/>
      <w:jc w:val="center"/>
      <w:outlineLvl w:val="0"/>
    </w:pPr>
    <w:rPr>
      <w:b/>
      <w:caps/>
    </w:rPr>
  </w:style>
  <w:style w:type="paragraph" w:styleId="Heading2">
    <w:name w:val="heading 2"/>
    <w:basedOn w:val="Normal"/>
    <w:next w:val="Normal"/>
    <w:qFormat/>
    <w:rsid w:val="007D50FF"/>
    <w:pPr>
      <w:keepNext/>
      <w:tabs>
        <w:tab w:val="left" w:pos="720"/>
      </w:tabs>
      <w:spacing w:before="120" w:after="120"/>
      <w:jc w:val="center"/>
      <w:outlineLvl w:val="1"/>
    </w:pPr>
    <w:rPr>
      <w:b/>
      <w:bCs/>
      <w:i/>
      <w:iCs/>
    </w:rPr>
  </w:style>
  <w:style w:type="paragraph" w:styleId="Heading3">
    <w:name w:val="heading 3"/>
    <w:basedOn w:val="Normal"/>
    <w:next w:val="Normal"/>
    <w:qFormat/>
    <w:rsid w:val="007D50FF"/>
    <w:pPr>
      <w:keepNext/>
      <w:tabs>
        <w:tab w:val="left" w:pos="567"/>
      </w:tabs>
      <w:spacing w:before="120" w:after="120"/>
      <w:jc w:val="center"/>
      <w:outlineLvl w:val="2"/>
    </w:pPr>
    <w:rPr>
      <w:i/>
      <w:iCs/>
    </w:rPr>
  </w:style>
  <w:style w:type="paragraph" w:styleId="Heading4">
    <w:name w:val="heading 4"/>
    <w:basedOn w:val="Normal"/>
    <w:qFormat/>
    <w:rsid w:val="007D50FF"/>
    <w:pPr>
      <w:keepNext/>
      <w:spacing w:before="120" w:after="120"/>
      <w:outlineLvl w:val="3"/>
    </w:pPr>
    <w:rPr>
      <w:rFonts w:ascii="Times New Roman Bold" w:eastAsia="Arial Unicode MS" w:hAnsi="Times New Roman Bold" w:cs="Arial"/>
      <w:b/>
      <w:bCs/>
      <w:i/>
    </w:rPr>
  </w:style>
  <w:style w:type="paragraph" w:styleId="Heading5">
    <w:name w:val="heading 5"/>
    <w:basedOn w:val="Normal"/>
    <w:next w:val="Normal"/>
    <w:qFormat/>
    <w:rsid w:val="007D50FF"/>
    <w:pPr>
      <w:keepNext/>
      <w:numPr>
        <w:ilvl w:val="4"/>
        <w:numId w:val="13"/>
      </w:numPr>
      <w:spacing w:before="120" w:after="120"/>
      <w:jc w:val="left"/>
      <w:outlineLvl w:val="4"/>
    </w:pPr>
    <w:rPr>
      <w:bCs/>
      <w:i/>
      <w:szCs w:val="26"/>
      <w:lang w:val="en-CA"/>
    </w:rPr>
  </w:style>
  <w:style w:type="paragraph" w:styleId="Heading6">
    <w:name w:val="heading 6"/>
    <w:basedOn w:val="Normal"/>
    <w:next w:val="Normal"/>
    <w:qFormat/>
    <w:rsid w:val="007D50FF"/>
    <w:pPr>
      <w:keepNext/>
      <w:spacing w:after="240" w:line="240" w:lineRule="exact"/>
      <w:ind w:left="720"/>
      <w:outlineLvl w:val="5"/>
    </w:pPr>
    <w:rPr>
      <w:u w:val="single"/>
    </w:rPr>
  </w:style>
  <w:style w:type="paragraph" w:styleId="Heading7">
    <w:name w:val="heading 7"/>
    <w:basedOn w:val="Normal"/>
    <w:next w:val="Normal"/>
    <w:rsid w:val="007D50FF"/>
    <w:pPr>
      <w:keepNext/>
      <w:jc w:val="right"/>
      <w:outlineLvl w:val="6"/>
    </w:pPr>
    <w:rPr>
      <w:rFonts w:ascii="Univers" w:hAnsi="Univers"/>
      <w:b/>
      <w:sz w:val="28"/>
    </w:rPr>
  </w:style>
  <w:style w:type="paragraph" w:styleId="Heading8">
    <w:name w:val="heading 8"/>
    <w:basedOn w:val="Normal"/>
    <w:next w:val="Normal"/>
    <w:qFormat/>
    <w:rsid w:val="007D50FF"/>
    <w:pPr>
      <w:keepNext/>
      <w:jc w:val="right"/>
      <w:outlineLvl w:val="7"/>
    </w:pPr>
    <w:rPr>
      <w:rFonts w:ascii="Univers" w:hAnsi="Univers"/>
      <w:b/>
      <w:sz w:val="32"/>
    </w:rPr>
  </w:style>
  <w:style w:type="paragraph" w:styleId="Heading9">
    <w:name w:val="heading 9"/>
    <w:basedOn w:val="Normal"/>
    <w:next w:val="Normal"/>
    <w:rsid w:val="007D50FF"/>
    <w:pPr>
      <w:keepNext/>
      <w:spacing w:before="100" w:beforeAutospacing="1" w:after="120"/>
      <w:outlineLvl w:val="8"/>
    </w:pPr>
    <w:rPr>
      <w:i/>
      <w:iCs/>
    </w:rPr>
  </w:style>
  <w:style w:type="character" w:default="1" w:styleId="DefaultParagraphFont">
    <w:name w:val="Default Paragraph Font"/>
    <w:rsid w:val="007D50F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rsid w:val="007D50FF"/>
  </w:style>
  <w:style w:type="character" w:customStyle="1" w:styleId="WW8Num1z0">
    <w:name w:val="WW8Num1z0"/>
    <w:rPr>
      <w:rFonts w:ascii="Times New Roman" w:hAnsi="Times New Roman" w:cs="Times New Roman"/>
      <w:b w:val="0"/>
      <w:i w:val="0"/>
      <w:sz w:val="20"/>
      <w:szCs w:val="20"/>
    </w:rPr>
  </w:style>
  <w:style w:type="character" w:customStyle="1" w:styleId="WW8Num6z0">
    <w:name w:val="WW8Num6z0"/>
    <w:rPr>
      <w:rFonts w:ascii="Times New Roman" w:hAnsi="Times New Roman"/>
      <w:b w:val="0"/>
      <w:i w:val="0"/>
      <w:sz w:val="22"/>
    </w:rPr>
  </w:style>
  <w:style w:type="character" w:customStyle="1" w:styleId="WW8Num6z1">
    <w:name w:val="WW8Num6z1"/>
    <w:rPr>
      <w:b w:val="0"/>
      <w:i w:val="0"/>
    </w:rPr>
  </w:style>
  <w:style w:type="character" w:customStyle="1" w:styleId="WW8Num6z3">
    <w:name w:val="WW8Num6z3"/>
    <w:rPr>
      <w:rFonts w:ascii="Symbol" w:hAnsi="Symbol"/>
      <w:color w:val="auto"/>
      <w:sz w:val="28"/>
    </w:rPr>
  </w:style>
  <w:style w:type="character" w:customStyle="1" w:styleId="WW8Num8z0">
    <w:name w:val="WW8Num8z0"/>
    <w:rPr>
      <w:b w:val="0"/>
      <w:i w:val="0"/>
    </w:rPr>
  </w:style>
  <w:style w:type="character" w:customStyle="1" w:styleId="WW8Num11z0">
    <w:name w:val="WW8Num11z0"/>
    <w:rPr>
      <w:rFonts w:ascii="Times New Roman" w:hAnsi="Times New Roman"/>
      <w:b w:val="0"/>
      <w:i w:val="0"/>
      <w:sz w:val="22"/>
    </w:rPr>
  </w:style>
  <w:style w:type="character" w:customStyle="1" w:styleId="WW8Num11z1">
    <w:name w:val="WW8Num11z1"/>
    <w:rPr>
      <w:b w:val="0"/>
      <w:i w:val="0"/>
    </w:rPr>
  </w:style>
  <w:style w:type="character" w:customStyle="1" w:styleId="WW8Num11z3">
    <w:name w:val="WW8Num11z3"/>
    <w:rPr>
      <w:rFonts w:ascii="Symbol" w:hAnsi="Symbol"/>
      <w:color w:val="auto"/>
      <w:sz w:val="28"/>
    </w:rPr>
  </w:style>
  <w:style w:type="character" w:customStyle="1" w:styleId="WW8Num12z0">
    <w:name w:val="WW8Num12z0"/>
    <w:rPr>
      <w:rFonts w:ascii="Times New Roman" w:hAnsi="Times New Roman"/>
      <w:b w:val="0"/>
      <w:i w:val="0"/>
      <w:sz w:val="22"/>
    </w:rPr>
  </w:style>
  <w:style w:type="character" w:customStyle="1" w:styleId="WW8Num12z1">
    <w:name w:val="WW8Num12z1"/>
    <w:rPr>
      <w:b w:val="0"/>
      <w:i w:val="0"/>
    </w:rPr>
  </w:style>
  <w:style w:type="character" w:customStyle="1" w:styleId="WW8Num12z3">
    <w:name w:val="WW8Num12z3"/>
    <w:rPr>
      <w:rFonts w:ascii="Symbol" w:hAnsi="Symbol"/>
      <w:color w:val="auto"/>
      <w:sz w:val="28"/>
    </w:rPr>
  </w:style>
  <w:style w:type="character" w:customStyle="1" w:styleId="WW8Num13z0">
    <w:name w:val="WW8Num13z0"/>
    <w:rPr>
      <w:rFonts w:ascii="Times New Roman" w:hAnsi="Times New Roman" w:cs="Times New Roman"/>
      <w:b w:val="0"/>
      <w:i w:val="0"/>
      <w:color w:val="auto"/>
      <w:position w:val="0"/>
      <w:sz w:val="22"/>
      <w:szCs w:val="22"/>
      <w:u w:val="none"/>
      <w:vertAlign w:val="baseline"/>
    </w:rPr>
  </w:style>
  <w:style w:type="character" w:customStyle="1" w:styleId="WW8Num13z1">
    <w:name w:val="WW8Num13z1"/>
    <w:rPr>
      <w:rFonts w:cs="Times New Roman"/>
      <w:b w:val="0"/>
      <w:i w:val="0"/>
    </w:rPr>
  </w:style>
  <w:style w:type="character" w:customStyle="1" w:styleId="WW8Num13z2">
    <w:name w:val="WW8Num13z2"/>
    <w:rPr>
      <w:rFonts w:cs="Times New Roman"/>
    </w:rPr>
  </w:style>
  <w:style w:type="character" w:customStyle="1" w:styleId="WW8Num13z3">
    <w:name w:val="WW8Num13z3"/>
    <w:rPr>
      <w:rFonts w:ascii="Symbol" w:hAnsi="Symbol"/>
      <w:color w:val="auto"/>
      <w:sz w:val="28"/>
    </w:rPr>
  </w:style>
  <w:style w:type="character" w:customStyle="1" w:styleId="DefaultParagraphFont1">
    <w:name w:val="Default Paragraph Font1"/>
  </w:style>
  <w:style w:type="character" w:customStyle="1" w:styleId="a">
    <w:name w:val="脚注番号"/>
    <w:rPr>
      <w:position w:val="0"/>
      <w:sz w:val="18"/>
      <w:u w:val="single"/>
      <w:vertAlign w:val="baseline"/>
    </w:rPr>
  </w:style>
  <w:style w:type="character" w:customStyle="1" w:styleId="a0">
    <w:name w:val="文末脚注番号"/>
    <w:rPr>
      <w:vertAlign w:val="superscript"/>
    </w:rPr>
  </w:style>
  <w:style w:type="character" w:styleId="PageNumber">
    <w:name w:val="page number"/>
    <w:rsid w:val="007D50FF"/>
    <w:rPr>
      <w:rFonts w:ascii="Times New Roman" w:hAnsi="Times New Roman"/>
      <w:sz w:val="22"/>
    </w:rPr>
  </w:style>
  <w:style w:type="character" w:customStyle="1" w:styleId="Document5">
    <w:name w:val="Document 5"/>
    <w:basedOn w:val="DefaultParagraphFont1"/>
  </w:style>
  <w:style w:type="character" w:styleId="Hyperlink">
    <w:name w:val="Hyperlink"/>
    <w:rPr>
      <w:color w:val="0000FF"/>
      <w:u w:val="single"/>
    </w:rPr>
  </w:style>
  <w:style w:type="character" w:customStyle="1" w:styleId="BodyTextChar">
    <w:name w:val="Body Text Char"/>
    <w:rPr>
      <w:iCs/>
      <w:sz w:val="22"/>
      <w:szCs w:val="24"/>
      <w:lang w:val="en-GB" w:eastAsia="ar-SA" w:bidi="ar-SA"/>
    </w:rPr>
  </w:style>
  <w:style w:type="character" w:styleId="FollowedHyperlink">
    <w:name w:val="FollowedHyperlink"/>
    <w:rsid w:val="007D50FF"/>
    <w:rPr>
      <w:color w:val="800080"/>
      <w:u w:val="single"/>
    </w:rPr>
  </w:style>
  <w:style w:type="character" w:customStyle="1" w:styleId="Heading2CharChar">
    <w:name w:val="Heading 2 Char Char"/>
    <w:rPr>
      <w:rFonts w:ascii="Arial" w:hAnsi="Arial" w:cs="Arial"/>
      <w:b/>
      <w:bCs/>
      <w:i/>
      <w:iCs/>
      <w:sz w:val="28"/>
      <w:szCs w:val="28"/>
      <w:lang w:val="en-US" w:eastAsia="ar-SA" w:bidi="ar-SA"/>
    </w:rPr>
  </w:style>
  <w:style w:type="character" w:customStyle="1" w:styleId="Para1Char">
    <w:name w:val="Para 1 Char"/>
    <w:rPr>
      <w:rFonts w:eastAsia="MS Mincho"/>
      <w:bCs/>
      <w:iCs/>
      <w:sz w:val="22"/>
      <w:szCs w:val="22"/>
      <w:lang w:val="en-GB" w:eastAsia="ar-SA" w:bidi="ar-SA"/>
    </w:rPr>
  </w:style>
  <w:style w:type="character" w:styleId="Strong">
    <w:name w:val="Strong"/>
    <w:qFormat/>
    <w:rPr>
      <w:b/>
      <w:bCs/>
    </w:rPr>
  </w:style>
  <w:style w:type="character" w:customStyle="1" w:styleId="StyleBodyTextTimesNewRoman11ptCharCharChar">
    <w:name w:val="Style Body Text + Times New Roman 11 pt Char Char Char"/>
    <w:rPr>
      <w:rFonts w:cs="Angsana New"/>
      <w:iCs/>
      <w:color w:val="000000"/>
      <w:sz w:val="22"/>
      <w:szCs w:val="22"/>
      <w:lang w:val="en-US" w:eastAsia="ar-SA" w:bidi="ar-SA"/>
    </w:rPr>
  </w:style>
  <w:style w:type="character" w:customStyle="1" w:styleId="CommentReference1">
    <w:name w:val="Comment Reference1"/>
    <w:rPr>
      <w:sz w:val="16"/>
      <w:szCs w:val="16"/>
    </w:rPr>
  </w:style>
  <w:style w:type="character" w:customStyle="1" w:styleId="CommentTextChar">
    <w:name w:val="Comment Text Char"/>
    <w:rPr>
      <w:lang w:val="en-GB"/>
    </w:rPr>
  </w:style>
  <w:style w:type="character" w:customStyle="1" w:styleId="FootnoteTextChar">
    <w:name w:val="Footnote Text Char"/>
    <w:rPr>
      <w:rFonts w:cs="Angsana New"/>
      <w:sz w:val="18"/>
      <w:szCs w:val="24"/>
      <w:lang w:val="en-GB"/>
    </w:rPr>
  </w:style>
  <w:style w:type="character" w:styleId="FootnoteReference">
    <w:name w:val="footnote reference"/>
    <w:rsid w:val="007D50FF"/>
    <w:rPr>
      <w:sz w:val="18"/>
      <w:u w:val="single"/>
      <w:vertAlign w:val="baseline"/>
    </w:rPr>
  </w:style>
  <w:style w:type="character" w:customStyle="1" w:styleId="a1">
    <w:name w:val="番号付け記号"/>
  </w:style>
  <w:style w:type="character" w:styleId="EndnoteReference">
    <w:name w:val="endnote reference"/>
    <w:rsid w:val="007D50FF"/>
    <w:rPr>
      <w:vertAlign w:val="superscript"/>
    </w:rPr>
  </w:style>
  <w:style w:type="paragraph" w:customStyle="1" w:styleId="a2">
    <w:name w:val="見出し"/>
    <w:basedOn w:val="Normal"/>
    <w:next w:val="BodyText"/>
    <w:pPr>
      <w:keepNext/>
      <w:spacing w:before="240" w:after="120"/>
    </w:pPr>
    <w:rPr>
      <w:rFonts w:ascii="Arial" w:eastAsia="ヒラギノ角ゴ ProN W3" w:hAnsi="Arial" w:cs="Arial Unicode MS"/>
      <w:sz w:val="28"/>
      <w:szCs w:val="28"/>
    </w:rPr>
  </w:style>
  <w:style w:type="paragraph" w:styleId="BodyText">
    <w:name w:val="Body Text"/>
    <w:basedOn w:val="Normal"/>
    <w:rsid w:val="007D50FF"/>
    <w:pPr>
      <w:spacing w:before="120" w:after="120"/>
      <w:ind w:firstLine="720"/>
    </w:pPr>
    <w:rPr>
      <w:iCs/>
    </w:rPr>
  </w:style>
  <w:style w:type="paragraph" w:styleId="List">
    <w:name w:val="List"/>
    <w:basedOn w:val="BodyText"/>
    <w:rPr>
      <w:rFonts w:cs="Arial Unicode MS"/>
    </w:rPr>
  </w:style>
  <w:style w:type="paragraph" w:customStyle="1" w:styleId="a3">
    <w:name w:val="図表番号"/>
    <w:basedOn w:val="Normal"/>
    <w:pPr>
      <w:suppressLineNumbers/>
      <w:spacing w:before="120" w:after="120"/>
    </w:pPr>
    <w:rPr>
      <w:rFonts w:cs="Arial Unicode MS"/>
      <w:i/>
      <w:iCs/>
      <w:sz w:val="24"/>
    </w:rPr>
  </w:style>
  <w:style w:type="paragraph" w:customStyle="1" w:styleId="a4">
    <w:name w:val="索引"/>
    <w:basedOn w:val="Normal"/>
    <w:pPr>
      <w:suppressLineNumbers/>
    </w:pPr>
    <w:rPr>
      <w:rFonts w:cs="Arial Unicode MS"/>
    </w:rPr>
  </w:style>
  <w:style w:type="paragraph" w:styleId="Footer">
    <w:name w:val="footer"/>
    <w:basedOn w:val="Normal"/>
    <w:rsid w:val="007D50FF"/>
    <w:pPr>
      <w:tabs>
        <w:tab w:val="center" w:pos="4320"/>
        <w:tab w:val="right" w:pos="8640"/>
      </w:tabs>
      <w:ind w:firstLine="720"/>
      <w:jc w:val="right"/>
    </w:pPr>
  </w:style>
  <w:style w:type="paragraph" w:customStyle="1" w:styleId="Para1">
    <w:name w:val="Para1"/>
    <w:basedOn w:val="Normal"/>
    <w:rsid w:val="007D50FF"/>
    <w:pPr>
      <w:numPr>
        <w:numId w:val="16"/>
      </w:numPr>
      <w:spacing w:before="120" w:after="120"/>
    </w:pPr>
    <w:rPr>
      <w:snapToGrid w:val="0"/>
      <w:szCs w:val="18"/>
    </w:rPr>
  </w:style>
  <w:style w:type="paragraph" w:customStyle="1" w:styleId="Para2">
    <w:name w:val="Para2"/>
    <w:basedOn w:val="Para1"/>
    <w:rsid w:val="007D50FF"/>
    <w:pPr>
      <w:numPr>
        <w:numId w:val="0"/>
      </w:numPr>
      <w:autoSpaceDE w:val="0"/>
      <w:autoSpaceDN w:val="0"/>
    </w:pPr>
  </w:style>
  <w:style w:type="paragraph" w:customStyle="1" w:styleId="Para3">
    <w:name w:val="Para3"/>
    <w:basedOn w:val="Normal"/>
    <w:rsid w:val="007D50FF"/>
    <w:pPr>
      <w:numPr>
        <w:ilvl w:val="3"/>
        <w:numId w:val="17"/>
      </w:numPr>
      <w:tabs>
        <w:tab w:val="left" w:pos="1980"/>
      </w:tabs>
      <w:spacing w:before="80" w:after="80"/>
    </w:pPr>
    <w:rPr>
      <w:szCs w:val="20"/>
    </w:rPr>
  </w:style>
  <w:style w:type="paragraph" w:styleId="FootnoteText">
    <w:name w:val="footnote text"/>
    <w:basedOn w:val="Normal"/>
    <w:rsid w:val="007D50FF"/>
    <w:pPr>
      <w:keepLines/>
      <w:spacing w:after="60"/>
      <w:ind w:firstLine="720"/>
    </w:pPr>
    <w:rPr>
      <w:sz w:val="18"/>
    </w:rPr>
  </w:style>
  <w:style w:type="paragraph" w:customStyle="1" w:styleId="Cornernotation">
    <w:name w:val="Corner notation"/>
    <w:basedOn w:val="Normal"/>
    <w:rsid w:val="007D50FF"/>
    <w:pPr>
      <w:ind w:left="170" w:right="3119" w:hanging="170"/>
      <w:jc w:val="left"/>
    </w:pPr>
  </w:style>
  <w:style w:type="paragraph" w:customStyle="1" w:styleId="para20">
    <w:name w:val="para2"/>
    <w:basedOn w:val="Normal"/>
    <w:pPr>
      <w:numPr>
        <w:numId w:val="3"/>
      </w:numPr>
      <w:spacing w:before="120" w:after="120"/>
    </w:pPr>
    <w:rPr>
      <w:szCs w:val="20"/>
    </w:rPr>
  </w:style>
  <w:style w:type="paragraph" w:customStyle="1" w:styleId="Paranum">
    <w:name w:val="Paranum"/>
    <w:basedOn w:val="Para1"/>
    <w:pPr>
      <w:numPr>
        <w:numId w:val="4"/>
      </w:numPr>
      <w:spacing w:line="240" w:lineRule="exact"/>
    </w:pPr>
    <w:rPr>
      <w:szCs w:val="20"/>
      <w:lang w:val="en-US"/>
    </w:rPr>
  </w:style>
  <w:style w:type="paragraph" w:styleId="EndnoteText">
    <w:name w:val="endnote text"/>
    <w:basedOn w:val="Normal"/>
    <w:rsid w:val="007D50FF"/>
    <w:pPr>
      <w:widowControl w:val="0"/>
      <w:tabs>
        <w:tab w:val="left" w:pos="-720"/>
      </w:tabs>
      <w:suppressAutoHyphens/>
    </w:pPr>
    <w:rPr>
      <w:rFonts w:ascii="Courier New" w:hAnsi="Courier New"/>
    </w:rPr>
  </w:style>
  <w:style w:type="paragraph" w:customStyle="1" w:styleId="para4">
    <w:name w:val="para4"/>
    <w:basedOn w:val="Normal"/>
    <w:rsid w:val="007D50FF"/>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ing1multiline">
    <w:name w:val="Heading 1 (multiline)"/>
    <w:basedOn w:val="Heading1"/>
    <w:rsid w:val="007D50FF"/>
    <w:pPr>
      <w:ind w:left="1843" w:right="996" w:hanging="567"/>
      <w:jc w:val="left"/>
    </w:pPr>
  </w:style>
  <w:style w:type="paragraph" w:customStyle="1" w:styleId="Heading2multiline">
    <w:name w:val="Heading 2 (multiline)"/>
    <w:basedOn w:val="Heading1"/>
    <w:next w:val="Para1"/>
    <w:rsid w:val="007D50FF"/>
    <w:pPr>
      <w:spacing w:before="120"/>
      <w:ind w:left="1843" w:right="998" w:hanging="567"/>
      <w:jc w:val="left"/>
    </w:pPr>
    <w:rPr>
      <w:i/>
      <w:iCs/>
      <w:caps w:val="0"/>
    </w:rPr>
  </w:style>
  <w:style w:type="paragraph" w:customStyle="1" w:styleId="Heading3multiline">
    <w:name w:val="Heading 3 (multiline)"/>
    <w:basedOn w:val="Heading3"/>
    <w:next w:val="Para1"/>
    <w:rsid w:val="007D50FF"/>
    <w:pPr>
      <w:ind w:left="1418" w:hanging="425"/>
      <w:jc w:val="left"/>
    </w:pPr>
  </w:style>
  <w:style w:type="paragraph" w:customStyle="1" w:styleId="Heading2longmultiline">
    <w:name w:val="Heading 2 (long multiline)"/>
    <w:basedOn w:val="Heading2multiline"/>
    <w:rsid w:val="007D50FF"/>
    <w:pPr>
      <w:ind w:left="2127" w:hanging="1276"/>
    </w:pPr>
  </w:style>
  <w:style w:type="paragraph" w:customStyle="1" w:styleId="Heading1longmultiline">
    <w:name w:val="Heading 1 (long multiline)"/>
    <w:basedOn w:val="Heading1"/>
    <w:rsid w:val="007D50FF"/>
    <w:pPr>
      <w:ind w:left="1843" w:hanging="1134"/>
      <w:jc w:val="left"/>
    </w:pPr>
  </w:style>
  <w:style w:type="paragraph" w:styleId="BodyTextIndent">
    <w:name w:val="Body Text Indent"/>
    <w:basedOn w:val="Normal"/>
    <w:rsid w:val="007D50FF"/>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rsid w:val="007D50FF"/>
    <w:pPr>
      <w:ind w:left="720" w:hanging="720"/>
    </w:pPr>
    <w:rPr>
      <w:caps/>
    </w:rPr>
  </w:style>
  <w:style w:type="paragraph" w:styleId="TOC2">
    <w:name w:val="toc 2"/>
    <w:basedOn w:val="Normal"/>
    <w:next w:val="Normal"/>
    <w:autoRedefine/>
    <w:rsid w:val="007D50FF"/>
    <w:pPr>
      <w:tabs>
        <w:tab w:val="right" w:leader="dot" w:pos="9356"/>
      </w:tabs>
      <w:ind w:left="1440" w:hanging="720"/>
    </w:pPr>
    <w:rPr>
      <w:noProof/>
      <w:szCs w:val="22"/>
    </w:rPr>
  </w:style>
  <w:style w:type="paragraph" w:styleId="TOC3">
    <w:name w:val="toc 3"/>
    <w:basedOn w:val="Normal"/>
    <w:next w:val="Normal"/>
    <w:autoRedefine/>
    <w:rsid w:val="007D50FF"/>
    <w:pPr>
      <w:ind w:left="2160" w:hanging="720"/>
    </w:pPr>
  </w:style>
  <w:style w:type="paragraph" w:styleId="Header">
    <w:name w:val="header"/>
    <w:basedOn w:val="Normal"/>
    <w:rsid w:val="007D50FF"/>
    <w:pPr>
      <w:tabs>
        <w:tab w:val="center" w:pos="4320"/>
        <w:tab w:val="right" w:pos="8640"/>
      </w:tabs>
    </w:pPr>
  </w:style>
  <w:style w:type="paragraph" w:customStyle="1" w:styleId="HEADINGNOTFORTOC">
    <w:name w:val="HEADING (NOT FOR TOC)"/>
    <w:basedOn w:val="Heading1"/>
    <w:next w:val="Heading2"/>
    <w:rsid w:val="007D50FF"/>
  </w:style>
  <w:style w:type="paragraph" w:customStyle="1" w:styleId="Paragraph">
    <w:name w:val="Paragraph"/>
    <w:basedOn w:val="Normal"/>
    <w:pPr>
      <w:spacing w:before="120" w:after="120"/>
    </w:pPr>
  </w:style>
  <w:style w:type="paragraph" w:customStyle="1" w:styleId="BodyTextIndent21">
    <w:name w:val="Body Text Indent 21"/>
    <w:basedOn w:val="Normal"/>
    <w:pPr>
      <w:ind w:firstLine="720"/>
    </w:pPr>
  </w:style>
  <w:style w:type="paragraph" w:styleId="BalloonText">
    <w:name w:val="Balloon Text"/>
    <w:basedOn w:val="Normal"/>
    <w:rPr>
      <w:rFonts w:ascii="Tahoma" w:hAnsi="Tahoma" w:cs="Tahoma"/>
      <w:sz w:val="16"/>
      <w:szCs w:val="16"/>
    </w:rPr>
  </w:style>
  <w:style w:type="paragraph" w:customStyle="1" w:styleId="bodytextnoindent">
    <w:name w:val="body text (no indent)"/>
    <w:basedOn w:val="Normal"/>
    <w:pPr>
      <w:widowControl w:val="0"/>
      <w:overflowPunct w:val="0"/>
      <w:autoSpaceDE w:val="0"/>
      <w:spacing w:before="120" w:after="120"/>
      <w:textAlignment w:val="baseline"/>
    </w:pPr>
    <w:rPr>
      <w:szCs w:val="20"/>
    </w:rPr>
  </w:style>
  <w:style w:type="paragraph" w:customStyle="1" w:styleId="BodyText21">
    <w:name w:val="Body Text 21"/>
    <w:basedOn w:val="Normal"/>
    <w:rPr>
      <w:i/>
      <w:iCs/>
    </w:rPr>
  </w:style>
  <w:style w:type="paragraph" w:customStyle="1" w:styleId="BodyText31">
    <w:name w:val="Body Text 31"/>
    <w:basedOn w:val="Normal"/>
    <w:pPr>
      <w:jc w:val="center"/>
    </w:pPr>
    <w:rPr>
      <w:sz w:val="28"/>
    </w:rPr>
  </w:style>
  <w:style w:type="paragraph" w:customStyle="1" w:styleId="Bodytextitalic">
    <w:name w:val="Body text italic"/>
    <w:basedOn w:val="BodyText"/>
    <w:rPr>
      <w:i/>
      <w:iCs w:val="0"/>
    </w:rPr>
  </w:style>
  <w:style w:type="paragraph" w:customStyle="1" w:styleId="boxbody">
    <w:name w:val="boxbody"/>
    <w:basedOn w:val="Normal"/>
    <w:pPr>
      <w:spacing w:before="100" w:after="100"/>
      <w:ind w:left="612" w:right="612"/>
    </w:pPr>
    <w:rPr>
      <w:rFonts w:ascii="Helvetica" w:eastAsia="Arial Unicode MS" w:hAnsi="Helvetica" w:cs="Arial Unicode MS"/>
      <w:sz w:val="18"/>
      <w:szCs w:val="18"/>
    </w:rPr>
  </w:style>
  <w:style w:type="paragraph" w:customStyle="1" w:styleId="HEADING">
    <w:name w:val="HEADING"/>
    <w:basedOn w:val="Normal"/>
    <w:rsid w:val="007D50FF"/>
    <w:pPr>
      <w:keepNext/>
      <w:spacing w:before="240" w:after="120"/>
      <w:jc w:val="center"/>
    </w:pPr>
    <w:rPr>
      <w:b/>
      <w:bCs/>
      <w:caps/>
    </w:rPr>
  </w:style>
  <w:style w:type="paragraph" w:customStyle="1" w:styleId="Heading-plain">
    <w:name w:val="Heading - plain"/>
    <w:basedOn w:val="Heading2"/>
    <w:next w:val="BodyText"/>
    <w:pPr>
      <w:tabs>
        <w:tab w:val="clear" w:pos="720"/>
        <w:tab w:val="left" w:pos="900"/>
      </w:tabs>
    </w:pPr>
    <w:rPr>
      <w:rFonts w:eastAsia="Batang"/>
      <w:b w:val="0"/>
      <w:bCs w:val="0"/>
      <w:szCs w:val="20"/>
    </w:rPr>
  </w:style>
  <w:style w:type="paragraph" w:customStyle="1" w:styleId="Heading2noletter">
    <w:name w:val="Heading 2 (no letter)"/>
    <w:basedOn w:val="Heading2"/>
    <w:pPr>
      <w:tabs>
        <w:tab w:val="clear" w:pos="720"/>
      </w:tabs>
    </w:pPr>
  </w:style>
  <w:style w:type="paragraph" w:customStyle="1" w:styleId="Heading-plain0">
    <w:name w:val="Heading-plain"/>
    <w:basedOn w:val="Normal"/>
    <w:pPr>
      <w:spacing w:before="120" w:after="120"/>
      <w:jc w:val="center"/>
    </w:pPr>
    <w:rPr>
      <w:i/>
      <w:szCs w:val="20"/>
    </w:rPr>
  </w:style>
  <w:style w:type="paragraph" w:styleId="NormalWeb">
    <w:name w:val="Normal (Web)"/>
    <w:basedOn w:val="Normal"/>
    <w:pPr>
      <w:spacing w:before="100" w:after="100"/>
      <w:jc w:val="left"/>
    </w:pPr>
    <w:rPr>
      <w:rFonts w:ascii="Verdana" w:hAnsi="Verdana"/>
      <w:color w:val="000000"/>
      <w:sz w:val="18"/>
      <w:szCs w:val="18"/>
      <w:lang w:val="en-US"/>
    </w:rPr>
  </w:style>
  <w:style w:type="paragraph" w:customStyle="1" w:styleId="Para10">
    <w:name w:val="Para 1"/>
    <w:basedOn w:val="BodyText"/>
    <w:pPr>
      <w:ind w:firstLine="0"/>
    </w:pPr>
    <w:rPr>
      <w:rFonts w:eastAsia="MS Mincho"/>
      <w:bCs/>
      <w:iCs w:val="0"/>
      <w:szCs w:val="22"/>
    </w:rPr>
  </w:style>
  <w:style w:type="paragraph" w:customStyle="1" w:styleId="Para2rev">
    <w:name w:val="Para 2 (rev)"/>
    <w:basedOn w:val="Normal"/>
    <w:pPr>
      <w:tabs>
        <w:tab w:val="left" w:pos="720"/>
      </w:tabs>
      <w:spacing w:after="120"/>
      <w:ind w:left="720" w:hanging="360"/>
    </w:pPr>
  </w:style>
  <w:style w:type="paragraph" w:customStyle="1" w:styleId="Paraofficial">
    <w:name w:val="Para official"/>
    <w:basedOn w:val="Normal"/>
    <w:pPr>
      <w:numPr>
        <w:numId w:val="9"/>
      </w:numPr>
      <w:spacing w:before="240" w:after="240"/>
      <w:jc w:val="left"/>
    </w:pPr>
    <w:rPr>
      <w:szCs w:val="20"/>
    </w:rPr>
  </w:style>
  <w:style w:type="paragraph" w:customStyle="1" w:styleId="Para1Char0">
    <w:name w:val="Para1 Char"/>
    <w:basedOn w:val="Normal"/>
    <w:pPr>
      <w:tabs>
        <w:tab w:val="left" w:pos="720"/>
      </w:tabs>
      <w:spacing w:before="120" w:after="120"/>
      <w:ind w:left="360"/>
    </w:pPr>
    <w:rPr>
      <w:szCs w:val="18"/>
    </w:rPr>
  </w:style>
  <w:style w:type="paragraph" w:customStyle="1" w:styleId="Para1-Annex">
    <w:name w:val="Para1-Annex"/>
    <w:basedOn w:val="Normal"/>
    <w:pPr>
      <w:numPr>
        <w:numId w:val="8"/>
      </w:numPr>
      <w:spacing w:after="120"/>
    </w:pPr>
    <w:rPr>
      <w:szCs w:val="22"/>
      <w:lang w:val="en-US"/>
    </w:rPr>
  </w:style>
  <w:style w:type="paragraph" w:customStyle="1" w:styleId="Para40">
    <w:name w:val="Para4"/>
    <w:basedOn w:val="Para3"/>
    <w:pPr>
      <w:numPr>
        <w:ilvl w:val="0"/>
        <w:numId w:val="0"/>
      </w:numPr>
      <w:tabs>
        <w:tab w:val="clear" w:pos="1980"/>
        <w:tab w:val="left" w:pos="2552"/>
        <w:tab w:val="left" w:pos="3540"/>
      </w:tabs>
      <w:ind w:left="2552" w:hanging="567"/>
    </w:pPr>
    <w:rPr>
      <w:lang w:val="en-US"/>
    </w:rPr>
  </w:style>
  <w:style w:type="paragraph" w:customStyle="1" w:styleId="StyleBodyTextTimesNewRoman11ptCharChar">
    <w:name w:val="Style Body Text + Times New Roman 11 pt Char Char"/>
    <w:basedOn w:val="BodyText"/>
    <w:rPr>
      <w:iCs w:val="0"/>
      <w:color w:val="000000"/>
      <w:szCs w:val="22"/>
      <w:lang w:val="en-US"/>
    </w:rPr>
  </w:style>
  <w:style w:type="paragraph" w:customStyle="1" w:styleId="StylePara1Firstline127cm">
    <w:name w:val="Style Para1 + First line:  1.27 cm"/>
    <w:basedOn w:val="Para1"/>
    <w:pPr>
      <w:numPr>
        <w:numId w:val="0"/>
      </w:numPr>
      <w:tabs>
        <w:tab w:val="left" w:pos="360"/>
      </w:tabs>
    </w:pPr>
    <w:rPr>
      <w:szCs w:val="20"/>
    </w:rPr>
  </w:style>
  <w:style w:type="paragraph" w:styleId="Title">
    <w:name w:val="Title"/>
    <w:basedOn w:val="Normal"/>
    <w:next w:val="Subtitle"/>
    <w:qFormat/>
    <w:pPr>
      <w:jc w:val="center"/>
    </w:pPr>
    <w:rPr>
      <w:i/>
      <w:iCs/>
    </w:rPr>
  </w:style>
  <w:style w:type="paragraph" w:styleId="Subtitle">
    <w:name w:val="Subtitle"/>
    <w:basedOn w:val="a2"/>
    <w:next w:val="BodyText"/>
    <w:qFormat/>
    <w:pPr>
      <w:jc w:val="center"/>
    </w:pPr>
    <w:rPr>
      <w:i/>
      <w:iCs/>
    </w:rPr>
  </w:style>
  <w:style w:type="paragraph" w:styleId="TOC5">
    <w:name w:val="toc 5"/>
    <w:basedOn w:val="Normal"/>
    <w:next w:val="Normal"/>
    <w:autoRedefine/>
    <w:rsid w:val="007D50FF"/>
    <w:pPr>
      <w:spacing w:before="120" w:after="120"/>
      <w:ind w:left="880"/>
      <w:jc w:val="left"/>
    </w:pPr>
  </w:style>
  <w:style w:type="paragraph" w:customStyle="1" w:styleId="CommentText1">
    <w:name w:val="Comment Text1"/>
    <w:basedOn w:val="Normal"/>
    <w:rPr>
      <w:sz w:val="20"/>
      <w:szCs w:val="20"/>
    </w:rPr>
  </w:style>
  <w:style w:type="paragraph" w:customStyle="1" w:styleId="a5">
    <w:name w:val="表の内容"/>
    <w:basedOn w:val="Normal"/>
    <w:pPr>
      <w:suppressLineNumbers/>
    </w:pPr>
  </w:style>
  <w:style w:type="paragraph" w:customStyle="1" w:styleId="a6">
    <w:name w:val="表の見出し"/>
    <w:basedOn w:val="a5"/>
    <w:pPr>
      <w:jc w:val="center"/>
    </w:pPr>
    <w:rPr>
      <w:b/>
      <w:bCs/>
    </w:rPr>
  </w:style>
  <w:style w:type="character" w:styleId="CommentReference">
    <w:name w:val="annotation reference"/>
    <w:semiHidden/>
    <w:rsid w:val="007D50FF"/>
    <w:rPr>
      <w:sz w:val="16"/>
    </w:rPr>
  </w:style>
  <w:style w:type="paragraph" w:styleId="CommentText">
    <w:name w:val="annotation text"/>
    <w:basedOn w:val="Normal"/>
    <w:link w:val="CommentTextChar1"/>
    <w:semiHidden/>
    <w:rsid w:val="007D50FF"/>
    <w:pPr>
      <w:spacing w:after="120" w:line="240" w:lineRule="exact"/>
    </w:pPr>
  </w:style>
  <w:style w:type="character" w:customStyle="1" w:styleId="CommentTextChar1">
    <w:name w:val="Comment Text Char1"/>
    <w:link w:val="CommentText"/>
    <w:semiHidden/>
    <w:rsid w:val="00606331"/>
    <w:rPr>
      <w:sz w:val="22"/>
      <w:szCs w:val="24"/>
      <w:lang w:val="en-GB"/>
    </w:rPr>
  </w:style>
  <w:style w:type="paragraph" w:styleId="CommentSubject">
    <w:name w:val="annotation subject"/>
    <w:basedOn w:val="CommentText"/>
    <w:next w:val="CommentText"/>
    <w:link w:val="CommentSubjectChar"/>
    <w:uiPriority w:val="99"/>
    <w:semiHidden/>
    <w:unhideWhenUsed/>
    <w:rsid w:val="00606331"/>
    <w:rPr>
      <w:b/>
      <w:bCs/>
    </w:rPr>
  </w:style>
  <w:style w:type="character" w:customStyle="1" w:styleId="CommentSubjectChar">
    <w:name w:val="Comment Subject Char"/>
    <w:link w:val="CommentSubject"/>
    <w:uiPriority w:val="99"/>
    <w:semiHidden/>
    <w:rsid w:val="00606331"/>
    <w:rPr>
      <w:rFonts w:cs="Angsana New"/>
      <w:b/>
      <w:bCs/>
      <w:lang w:val="en-GB" w:eastAsia="ar-SA"/>
    </w:rPr>
  </w:style>
  <w:style w:type="paragraph" w:styleId="BodyText2">
    <w:name w:val="Body Text 2"/>
    <w:basedOn w:val="Normal"/>
    <w:link w:val="BodyText2Char"/>
    <w:uiPriority w:val="99"/>
    <w:semiHidden/>
    <w:unhideWhenUsed/>
    <w:rsid w:val="004547D2"/>
    <w:pPr>
      <w:spacing w:after="120" w:line="480" w:lineRule="auto"/>
    </w:pPr>
  </w:style>
  <w:style w:type="character" w:customStyle="1" w:styleId="BodyText2Char">
    <w:name w:val="Body Text 2 Char"/>
    <w:link w:val="BodyText2"/>
    <w:uiPriority w:val="99"/>
    <w:semiHidden/>
    <w:rsid w:val="004547D2"/>
    <w:rPr>
      <w:rFonts w:cs="Angsana New"/>
      <w:sz w:val="22"/>
      <w:szCs w:val="24"/>
      <w:lang w:val="en-GB" w:eastAsia="ar-SA"/>
    </w:rPr>
  </w:style>
  <w:style w:type="paragraph" w:customStyle="1" w:styleId="heading2notforTOC">
    <w:name w:val="heading 2 not for TOC"/>
    <w:basedOn w:val="Heading3"/>
    <w:rsid w:val="007D50FF"/>
  </w:style>
  <w:style w:type="paragraph" w:customStyle="1" w:styleId="Heading4indent">
    <w:name w:val="Heading 4 indent"/>
    <w:basedOn w:val="Heading4"/>
    <w:rsid w:val="007D50FF"/>
    <w:pPr>
      <w:ind w:left="720"/>
      <w:outlineLvl w:val="9"/>
    </w:pPr>
    <w:rPr>
      <w:rFonts w:ascii="Times New Roman" w:hAnsi="Times New Roman"/>
    </w:rPr>
  </w:style>
  <w:style w:type="paragraph" w:customStyle="1" w:styleId="Para-decision">
    <w:name w:val="Para-decision"/>
    <w:basedOn w:val="Normal"/>
    <w:rsid w:val="007D50FF"/>
    <w:pPr>
      <w:tabs>
        <w:tab w:val="left" w:pos="-1440"/>
        <w:tab w:val="left" w:pos="-720"/>
        <w:tab w:val="left" w:pos="0"/>
        <w:tab w:val="left" w:pos="720"/>
        <w:tab w:val="left" w:pos="1440"/>
      </w:tabs>
      <w:suppressAutoHyphens/>
      <w:overflowPunct w:val="0"/>
      <w:autoSpaceDE w:val="0"/>
      <w:autoSpaceDN w:val="0"/>
      <w:adjustRightInd w:val="0"/>
      <w:spacing w:before="120" w:after="120"/>
      <w:ind w:firstLine="720"/>
      <w:jc w:val="left"/>
      <w:textAlignment w:val="baseline"/>
    </w:pPr>
    <w:rPr>
      <w:color w:val="000000"/>
    </w:rPr>
  </w:style>
  <w:style w:type="paragraph" w:customStyle="1" w:styleId="Quotationtextindented">
    <w:name w:val="Quotation text (indented)"/>
    <w:basedOn w:val="Normal"/>
    <w:qFormat/>
    <w:rsid w:val="007D50FF"/>
    <w:pPr>
      <w:spacing w:before="120" w:after="120"/>
      <w:ind w:left="720" w:right="720"/>
    </w:pPr>
    <w:rPr>
      <w:bCs/>
    </w:rPr>
  </w:style>
  <w:style w:type="paragraph" w:customStyle="1" w:styleId="recommendationheader">
    <w:name w:val="recommendation header"/>
    <w:basedOn w:val="Heading2"/>
    <w:qFormat/>
    <w:rsid w:val="007D50FF"/>
  </w:style>
  <w:style w:type="paragraph" w:customStyle="1" w:styleId="recommendationheaderlong">
    <w:name w:val="recommendation header long"/>
    <w:basedOn w:val="Heading2longmultiline"/>
    <w:qFormat/>
    <w:rsid w:val="007D50FF"/>
  </w:style>
  <w:style w:type="paragraph" w:customStyle="1" w:styleId="reference">
    <w:name w:val="reference"/>
    <w:basedOn w:val="Heading9"/>
    <w:qFormat/>
    <w:rsid w:val="007D50FF"/>
    <w:rPr>
      <w:i w:val="0"/>
      <w:sz w:val="18"/>
    </w:rPr>
  </w:style>
  <w:style w:type="character" w:customStyle="1" w:styleId="StyleFootnoteReferenceNounderline">
    <w:name w:val="Style Footnote Reference + No underline"/>
    <w:rsid w:val="007D50FF"/>
    <w:rPr>
      <w:sz w:val="18"/>
      <w:u w:val="none"/>
      <w:vertAlign w:val="baseline"/>
    </w:rPr>
  </w:style>
  <w:style w:type="paragraph" w:customStyle="1" w:styleId="tabletitle">
    <w:name w:val="table title"/>
    <w:basedOn w:val="Heading2"/>
    <w:qFormat/>
    <w:rsid w:val="007D50FF"/>
    <w:pPr>
      <w:jc w:val="left"/>
      <w:outlineLvl w:val="9"/>
    </w:pPr>
  </w:style>
  <w:style w:type="paragraph" w:styleId="TOAHeading">
    <w:name w:val="toa heading"/>
    <w:basedOn w:val="Normal"/>
    <w:next w:val="Normal"/>
    <w:semiHidden/>
    <w:rsid w:val="007D50FF"/>
    <w:pPr>
      <w:spacing w:before="120"/>
    </w:pPr>
    <w:rPr>
      <w:rFonts w:cs="Arial"/>
      <w:b/>
      <w:bCs/>
      <w:sz w:val="24"/>
    </w:rPr>
  </w:style>
  <w:style w:type="paragraph" w:styleId="TOC4">
    <w:name w:val="toc 4"/>
    <w:basedOn w:val="Normal"/>
    <w:next w:val="Normal"/>
    <w:autoRedefine/>
    <w:semiHidden/>
    <w:rsid w:val="007D50FF"/>
    <w:pPr>
      <w:spacing w:before="120" w:after="120"/>
      <w:ind w:left="660"/>
      <w:jc w:val="left"/>
    </w:pPr>
  </w:style>
  <w:style w:type="paragraph" w:styleId="TOC6">
    <w:name w:val="toc 6"/>
    <w:basedOn w:val="Normal"/>
    <w:next w:val="Normal"/>
    <w:autoRedefine/>
    <w:semiHidden/>
    <w:rsid w:val="007D50FF"/>
    <w:pPr>
      <w:spacing w:before="120" w:after="120"/>
      <w:ind w:left="1100"/>
      <w:jc w:val="left"/>
    </w:pPr>
  </w:style>
  <w:style w:type="paragraph" w:styleId="TOC7">
    <w:name w:val="toc 7"/>
    <w:basedOn w:val="Normal"/>
    <w:next w:val="Normal"/>
    <w:autoRedefine/>
    <w:semiHidden/>
    <w:rsid w:val="007D50FF"/>
    <w:pPr>
      <w:spacing w:before="120" w:after="120"/>
      <w:ind w:left="1320"/>
      <w:jc w:val="left"/>
    </w:pPr>
  </w:style>
  <w:style w:type="paragraph" w:styleId="TOC8">
    <w:name w:val="toc 8"/>
    <w:basedOn w:val="Normal"/>
    <w:next w:val="Normal"/>
    <w:autoRedefine/>
    <w:semiHidden/>
    <w:rsid w:val="007D50FF"/>
    <w:pPr>
      <w:spacing w:before="120" w:after="120"/>
      <w:ind w:left="1540"/>
      <w:jc w:val="left"/>
    </w:pPr>
  </w:style>
  <w:style w:type="paragraph" w:styleId="TOC9">
    <w:name w:val="toc 9"/>
    <w:basedOn w:val="Normal"/>
    <w:next w:val="Normal"/>
    <w:autoRedefine/>
    <w:semiHidden/>
    <w:rsid w:val="007D50FF"/>
    <w:pPr>
      <w:spacing w:before="120" w:after="120"/>
      <w:ind w:left="1760"/>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9ECD31-D7DB-4AC5-B2C2-39AEA34B14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1393</Words>
  <Characters>7941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agenda</vt:lpstr>
    </vt:vector>
  </TitlesOfParts>
  <Company>SCBD</Company>
  <LinksUpToDate>false</LinksUpToDate>
  <CharactersWithSpaces>9316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dc:title>
  <dc:subject>INTERGOVERNMENTAL COMMITTEE FOR THE NAGOYA PROTOCOL ON ACCESS TO GENETIC RESOURCES AND THE FAIR AND EQUITABLE SHARING OF BENEFITS ARISING OUT OF THEIR UTILIZATION TO THE CONVENTION ON BIOLOGICAL DIVERSITY</dc:subject>
  <dc:creator>JShimura</dc:creator>
  <cp:keywords/>
  <cp:lastModifiedBy>Rodrigo Elias</cp:lastModifiedBy>
  <cp:revision>2</cp:revision>
  <cp:lastPrinted>2014-10-07T23:41:00Z</cp:lastPrinted>
  <dcterms:created xsi:type="dcterms:W3CDTF">2025-11-13T14:41:00Z</dcterms:created>
  <dcterms:modified xsi:type="dcterms:W3CDTF">2025-11-13T14:41:00Z</dcterms:modified>
</cp:coreProperties>
</file>