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3260"/>
      </w:tblGrid>
      <w:tr w:rsidR="00845AF1" w:rsidRPr="009D77D5" w14:paraId="70909B7F" w14:textId="77777777" w:rsidTr="009D77D5">
        <w:tblPrEx>
          <w:tblCellMar>
            <w:top w:w="0" w:type="dxa"/>
            <w:bottom w:w="0" w:type="dxa"/>
          </w:tblCellMar>
        </w:tblPrEx>
        <w:tc>
          <w:tcPr>
            <w:tcW w:w="1213" w:type="dxa"/>
            <w:tcBorders>
              <w:top w:val="nil"/>
              <w:bottom w:val="single" w:sz="12" w:space="0" w:color="000000"/>
            </w:tcBorders>
          </w:tcPr>
          <w:p w14:paraId="78767510" w14:textId="77777777" w:rsidR="00845AF1" w:rsidRPr="009D77D5" w:rsidRDefault="005D6DB3" w:rsidP="007B12E2">
            <w:pPr>
              <w:rPr>
                <w:b/>
                <w:bCs/>
                <w:kern w:val="22"/>
                <w:sz w:val="12"/>
                <w:szCs w:val="12"/>
              </w:rPr>
            </w:pPr>
            <w:r w:rsidRPr="009D77D5">
              <w:rPr>
                <w:b/>
                <w:bCs/>
                <w:noProof/>
                <w:kern w:val="22"/>
                <w:sz w:val="12"/>
                <w:szCs w:val="12"/>
              </w:rPr>
              <w:drawing>
                <wp:inline distT="0" distB="0" distL="0" distR="0" wp14:anchorId="08BCC8EE" wp14:editId="4D751812">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375EE0E" w14:textId="77777777" w:rsidR="00845AF1" w:rsidRPr="009D77D5" w:rsidRDefault="005D6DB3" w:rsidP="00845AF1">
            <w:pPr>
              <w:rPr>
                <w:kern w:val="22"/>
              </w:rPr>
            </w:pPr>
            <w:r w:rsidRPr="009D77D5">
              <w:rPr>
                <w:b/>
                <w:noProof/>
                <w:kern w:val="22"/>
              </w:rPr>
              <w:drawing>
                <wp:inline distT="0" distB="0" distL="0" distR="0" wp14:anchorId="20293A91" wp14:editId="68B87FDA">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608" w:type="dxa"/>
            <w:gridSpan w:val="3"/>
            <w:tcBorders>
              <w:top w:val="nil"/>
              <w:bottom w:val="single" w:sz="12" w:space="0" w:color="000000"/>
            </w:tcBorders>
          </w:tcPr>
          <w:p w14:paraId="0E3A8A0C" w14:textId="77777777" w:rsidR="00845AF1" w:rsidRPr="009D77D5" w:rsidRDefault="00BE6A52" w:rsidP="00BE6A52">
            <w:pPr>
              <w:tabs>
                <w:tab w:val="left" w:pos="1125"/>
                <w:tab w:val="left" w:pos="6815"/>
                <w:tab w:val="right" w:pos="7611"/>
              </w:tabs>
              <w:jc w:val="right"/>
              <w:rPr>
                <w:rFonts w:ascii="Univers" w:hAnsi="Univers"/>
                <w:b/>
                <w:kern w:val="22"/>
                <w:sz w:val="32"/>
              </w:rPr>
            </w:pPr>
            <w:r>
              <w:rPr>
                <w:rFonts w:ascii="Univers" w:hAnsi="Univers"/>
                <w:b/>
                <w:kern w:val="22"/>
                <w:sz w:val="32"/>
              </w:rPr>
              <w:tab/>
            </w:r>
            <w:r w:rsidR="00845AF1" w:rsidRPr="009D77D5">
              <w:rPr>
                <w:rFonts w:ascii="Univers" w:hAnsi="Univers"/>
                <w:b/>
                <w:kern w:val="22"/>
                <w:sz w:val="32"/>
              </w:rPr>
              <w:t>CBD</w:t>
            </w:r>
          </w:p>
          <w:p w14:paraId="76CEA4AE" w14:textId="77777777" w:rsidR="00845AF1" w:rsidRPr="009D77D5" w:rsidRDefault="00845AF1" w:rsidP="00845AF1">
            <w:pPr>
              <w:jc w:val="right"/>
              <w:rPr>
                <w:b/>
                <w:kern w:val="22"/>
                <w:sz w:val="28"/>
              </w:rPr>
            </w:pPr>
          </w:p>
        </w:tc>
      </w:tr>
      <w:tr w:rsidR="00845AF1" w:rsidRPr="009D77D5" w14:paraId="7E243C8C" w14:textId="77777777" w:rsidTr="009D77D5">
        <w:tblPrEx>
          <w:tblCellMar>
            <w:top w:w="0" w:type="dxa"/>
            <w:bottom w:w="0" w:type="dxa"/>
          </w:tblCellMar>
        </w:tblPrEx>
        <w:trPr>
          <w:trHeight w:val="1693"/>
        </w:trPr>
        <w:tc>
          <w:tcPr>
            <w:tcW w:w="5067" w:type="dxa"/>
            <w:gridSpan w:val="3"/>
            <w:tcBorders>
              <w:top w:val="nil"/>
              <w:bottom w:val="single" w:sz="36" w:space="0" w:color="000000"/>
            </w:tcBorders>
          </w:tcPr>
          <w:p w14:paraId="76AA53BD" w14:textId="77777777" w:rsidR="00845AF1" w:rsidRPr="009D77D5" w:rsidRDefault="00845AF1" w:rsidP="00845AF1">
            <w:pPr>
              <w:rPr>
                <w:kern w:val="22"/>
              </w:rPr>
            </w:pPr>
          </w:p>
          <w:p w14:paraId="7F5B7C8E" w14:textId="77777777" w:rsidR="00845AF1" w:rsidRPr="009D77D5" w:rsidRDefault="005D6DB3" w:rsidP="00845AF1">
            <w:pPr>
              <w:rPr>
                <w:kern w:val="22"/>
              </w:rPr>
            </w:pPr>
            <w:r w:rsidRPr="009D77D5">
              <w:rPr>
                <w:noProof/>
                <w:kern w:val="22"/>
              </w:rPr>
              <w:drawing>
                <wp:inline distT="0" distB="0" distL="0" distR="0" wp14:anchorId="090DAA5C" wp14:editId="6C4D4EE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3C66060" w14:textId="77777777" w:rsidR="00845AF1" w:rsidRPr="009D77D5" w:rsidRDefault="00845AF1" w:rsidP="00845AF1">
            <w:pPr>
              <w:rPr>
                <w:rFonts w:ascii="Univers" w:hAnsi="Univers"/>
                <w:kern w:val="22"/>
              </w:rPr>
            </w:pPr>
          </w:p>
        </w:tc>
        <w:tc>
          <w:tcPr>
            <w:tcW w:w="1738" w:type="dxa"/>
            <w:tcBorders>
              <w:top w:val="nil"/>
              <w:bottom w:val="single" w:sz="36" w:space="0" w:color="000000"/>
            </w:tcBorders>
          </w:tcPr>
          <w:p w14:paraId="1C6C2868" w14:textId="77777777" w:rsidR="00845AF1" w:rsidRPr="009D77D5" w:rsidRDefault="00845AF1" w:rsidP="00845AF1">
            <w:pPr>
              <w:ind w:left="1478" w:right="-2943"/>
              <w:rPr>
                <w:b/>
                <w:kern w:val="22"/>
                <w:szCs w:val="22"/>
              </w:rPr>
            </w:pPr>
          </w:p>
          <w:p w14:paraId="7C56D60D" w14:textId="77777777" w:rsidR="00845AF1" w:rsidRPr="009D77D5" w:rsidRDefault="00845AF1" w:rsidP="00845AF1">
            <w:pPr>
              <w:ind w:left="1478" w:right="-2943"/>
              <w:rPr>
                <w:b/>
                <w:kern w:val="22"/>
                <w:szCs w:val="22"/>
              </w:rPr>
            </w:pPr>
          </w:p>
          <w:p w14:paraId="2A5E9A60" w14:textId="77777777" w:rsidR="00845AF1" w:rsidRPr="009D77D5" w:rsidRDefault="00845AF1" w:rsidP="00845AF1">
            <w:pPr>
              <w:ind w:left="1478" w:right="-2943"/>
              <w:rPr>
                <w:b/>
                <w:kern w:val="22"/>
                <w:szCs w:val="22"/>
              </w:rPr>
            </w:pPr>
          </w:p>
          <w:p w14:paraId="0A550CB3" w14:textId="77777777" w:rsidR="00845AF1" w:rsidRPr="009D77D5" w:rsidRDefault="00845AF1" w:rsidP="00845AF1">
            <w:pPr>
              <w:ind w:right="-2943"/>
              <w:rPr>
                <w:b/>
                <w:kern w:val="22"/>
                <w:szCs w:val="22"/>
                <w:u w:val="single"/>
              </w:rPr>
            </w:pPr>
          </w:p>
          <w:p w14:paraId="7BD4EEDD" w14:textId="77777777" w:rsidR="00845AF1" w:rsidRPr="009D77D5" w:rsidRDefault="00845AF1" w:rsidP="00845AF1">
            <w:pPr>
              <w:ind w:left="1478" w:right="-2943"/>
              <w:rPr>
                <w:b/>
                <w:color w:val="FF0000"/>
                <w:kern w:val="22"/>
                <w:szCs w:val="22"/>
              </w:rPr>
            </w:pPr>
          </w:p>
        </w:tc>
        <w:tc>
          <w:tcPr>
            <w:tcW w:w="3260" w:type="dxa"/>
            <w:tcBorders>
              <w:top w:val="nil"/>
              <w:bottom w:val="single" w:sz="36" w:space="0" w:color="000000"/>
            </w:tcBorders>
          </w:tcPr>
          <w:p w14:paraId="32DC8B33" w14:textId="77777777" w:rsidR="00845AF1" w:rsidRPr="009D77D5" w:rsidRDefault="00845AF1" w:rsidP="00845AF1">
            <w:pPr>
              <w:ind w:left="34"/>
              <w:rPr>
                <w:kern w:val="22"/>
                <w:szCs w:val="22"/>
              </w:rPr>
            </w:pPr>
            <w:r w:rsidRPr="009D77D5">
              <w:rPr>
                <w:kern w:val="22"/>
                <w:szCs w:val="22"/>
              </w:rPr>
              <w:t>Distr.</w:t>
            </w:r>
          </w:p>
          <w:p w14:paraId="51D4E131" w14:textId="77777777" w:rsidR="00845AF1" w:rsidRPr="009D77D5" w:rsidRDefault="00690742" w:rsidP="00845AF1">
            <w:pPr>
              <w:ind w:left="34"/>
              <w:rPr>
                <w:kern w:val="22"/>
                <w:szCs w:val="22"/>
              </w:rPr>
            </w:pPr>
            <w:r w:rsidRPr="009D77D5">
              <w:rPr>
                <w:kern w:val="22"/>
                <w:szCs w:val="22"/>
              </w:rPr>
              <w:t>GENERAL</w:t>
            </w:r>
          </w:p>
          <w:p w14:paraId="6ED00172" w14:textId="77777777" w:rsidR="00845AF1" w:rsidRPr="009D77D5" w:rsidRDefault="00845AF1" w:rsidP="00845AF1">
            <w:pPr>
              <w:ind w:left="34"/>
              <w:rPr>
                <w:kern w:val="22"/>
                <w:szCs w:val="22"/>
              </w:rPr>
            </w:pPr>
          </w:p>
          <w:p w14:paraId="3CD45ACA" w14:textId="77777777" w:rsidR="00845AF1" w:rsidRPr="009D77D5" w:rsidRDefault="00845AF1" w:rsidP="00845AF1">
            <w:pPr>
              <w:ind w:left="34"/>
              <w:rPr>
                <w:kern w:val="22"/>
                <w:szCs w:val="22"/>
              </w:rPr>
            </w:pPr>
            <w:r w:rsidRPr="009D77D5">
              <w:rPr>
                <w:kern w:val="22"/>
                <w:szCs w:val="22"/>
              </w:rPr>
              <w:t>UNEP/CBD/COP/</w:t>
            </w:r>
            <w:r w:rsidR="00690742" w:rsidRPr="009D77D5">
              <w:rPr>
                <w:kern w:val="22"/>
                <w:szCs w:val="22"/>
              </w:rPr>
              <w:t>DEC/XII/2</w:t>
            </w:r>
            <w:r w:rsidR="00F053D3" w:rsidRPr="009D77D5">
              <w:rPr>
                <w:kern w:val="22"/>
                <w:szCs w:val="22"/>
              </w:rPr>
              <w:t>6</w:t>
            </w:r>
          </w:p>
          <w:p w14:paraId="39ABD246" w14:textId="77777777" w:rsidR="00845AF1" w:rsidRPr="009D77D5" w:rsidRDefault="00845AF1" w:rsidP="00845AF1">
            <w:pPr>
              <w:ind w:left="34"/>
              <w:rPr>
                <w:kern w:val="22"/>
                <w:szCs w:val="22"/>
              </w:rPr>
            </w:pPr>
            <w:r w:rsidRPr="009D77D5">
              <w:rPr>
                <w:kern w:val="22"/>
                <w:szCs w:val="22"/>
              </w:rPr>
              <w:t>1</w:t>
            </w:r>
            <w:r w:rsidR="00690742" w:rsidRPr="009D77D5">
              <w:rPr>
                <w:kern w:val="22"/>
                <w:szCs w:val="22"/>
              </w:rPr>
              <w:t>7</w:t>
            </w:r>
            <w:r w:rsidRPr="009D77D5">
              <w:rPr>
                <w:kern w:val="22"/>
                <w:szCs w:val="22"/>
              </w:rPr>
              <w:t xml:space="preserve"> October 2014</w:t>
            </w:r>
          </w:p>
          <w:p w14:paraId="0FAE8792" w14:textId="77777777" w:rsidR="00845AF1" w:rsidRPr="009D77D5" w:rsidRDefault="00845AF1" w:rsidP="00845AF1">
            <w:pPr>
              <w:ind w:left="34"/>
              <w:rPr>
                <w:kern w:val="22"/>
                <w:szCs w:val="22"/>
              </w:rPr>
            </w:pPr>
          </w:p>
          <w:p w14:paraId="3593B219" w14:textId="77777777" w:rsidR="00845AF1" w:rsidRPr="009D77D5" w:rsidRDefault="00845AF1" w:rsidP="00845AF1">
            <w:pPr>
              <w:ind w:left="34"/>
              <w:rPr>
                <w:b/>
                <w:bCs/>
                <w:kern w:val="22"/>
                <w:szCs w:val="22"/>
                <w:u w:val="single"/>
              </w:rPr>
            </w:pPr>
            <w:r w:rsidRPr="009D77D5">
              <w:rPr>
                <w:kern w:val="22"/>
                <w:szCs w:val="22"/>
              </w:rPr>
              <w:t>ORIGINAL:  ENGLISH</w:t>
            </w:r>
          </w:p>
        </w:tc>
      </w:tr>
    </w:tbl>
    <w:p w14:paraId="4F33D466" w14:textId="77777777" w:rsidR="00E00F6D" w:rsidRPr="005655CC" w:rsidRDefault="00E00F6D" w:rsidP="00E00F6D">
      <w:pPr>
        <w:pStyle w:val="Cornernotation"/>
        <w:ind w:right="3973"/>
        <w:rPr>
          <w:caps/>
          <w:kern w:val="22"/>
          <w:szCs w:val="22"/>
        </w:rPr>
      </w:pPr>
      <w:r w:rsidRPr="005655CC">
        <w:rPr>
          <w:caps/>
          <w:kern w:val="22"/>
          <w:szCs w:val="22"/>
        </w:rPr>
        <w:t>CONFERENCE OF THE PARTIES TO THE CONVENTION ON BIOLOGICAL DIVERSITY</w:t>
      </w:r>
    </w:p>
    <w:p w14:paraId="12682B8B" w14:textId="77777777" w:rsidR="00E00F6D" w:rsidRPr="00DA5F92" w:rsidRDefault="00E00F6D">
      <w:pPr>
        <w:pStyle w:val="Cornernotation"/>
        <w:ind w:right="3548"/>
        <w:rPr>
          <w:kern w:val="22"/>
          <w:szCs w:val="22"/>
        </w:rPr>
      </w:pPr>
      <w:r w:rsidRPr="00DA5F92">
        <w:rPr>
          <w:kern w:val="22"/>
          <w:szCs w:val="22"/>
        </w:rPr>
        <w:t>Twelfth meeting</w:t>
      </w:r>
    </w:p>
    <w:p w14:paraId="415B28D8" w14:textId="77777777" w:rsidR="00E00F6D" w:rsidRPr="009D77D5" w:rsidRDefault="00E00F6D" w:rsidP="00E00F6D">
      <w:pPr>
        <w:pStyle w:val="Cornernotation"/>
        <w:rPr>
          <w:kern w:val="22"/>
          <w:szCs w:val="22"/>
        </w:rPr>
      </w:pPr>
      <w:r w:rsidRPr="009D77D5">
        <w:rPr>
          <w:noProof/>
          <w:kern w:val="22"/>
          <w:szCs w:val="22"/>
        </w:rPr>
        <w:t>Pyeongchang</w:t>
      </w:r>
      <w:r w:rsidRPr="009D77D5">
        <w:rPr>
          <w:kern w:val="22"/>
          <w:szCs w:val="22"/>
        </w:rPr>
        <w:t>, Republic of Korea, 6-17 October 2014</w:t>
      </w:r>
    </w:p>
    <w:p w14:paraId="613ACCE5" w14:textId="77777777" w:rsidR="00E00F6D" w:rsidRPr="009D77D5" w:rsidRDefault="00E00F6D" w:rsidP="00E00F6D">
      <w:pPr>
        <w:pStyle w:val="Cornernotation"/>
        <w:ind w:right="3548"/>
        <w:rPr>
          <w:kern w:val="22"/>
          <w:szCs w:val="22"/>
        </w:rPr>
      </w:pPr>
      <w:r w:rsidRPr="009D77D5">
        <w:rPr>
          <w:kern w:val="22"/>
          <w:szCs w:val="22"/>
        </w:rPr>
        <w:t>Agenda item 30</w:t>
      </w:r>
    </w:p>
    <w:p w14:paraId="27D352A5" w14:textId="77777777" w:rsidR="00690742" w:rsidRPr="005655CC" w:rsidRDefault="00690742" w:rsidP="00E00F6D">
      <w:pPr>
        <w:pStyle w:val="Heading1"/>
        <w:rPr>
          <w:kern w:val="22"/>
          <w:szCs w:val="22"/>
        </w:rPr>
      </w:pPr>
      <w:r w:rsidRPr="009D77D5">
        <w:rPr>
          <w:kern w:val="22"/>
          <w:szCs w:val="22"/>
        </w:rPr>
        <w:t>DECISION ADOPTED BY THE CONFERENCE OF THE PARTIES TO THE CONVENTION ON BIOLOGICAL DIVERSITY</w:t>
      </w:r>
    </w:p>
    <w:p w14:paraId="71165B88" w14:textId="77777777" w:rsidR="00E00F6D" w:rsidRPr="009D77D5" w:rsidRDefault="00F053D3" w:rsidP="009D77D5">
      <w:pPr>
        <w:pStyle w:val="recommendationheaderlong"/>
        <w:rPr>
          <w:rFonts w:eastAsia="MS Mincho"/>
          <w:kern w:val="22"/>
        </w:rPr>
      </w:pPr>
      <w:r w:rsidRPr="009D77D5">
        <w:rPr>
          <w:kern w:val="22"/>
        </w:rPr>
        <w:t>XII/26</w:t>
      </w:r>
      <w:r w:rsidR="00690742" w:rsidRPr="009D77D5">
        <w:rPr>
          <w:kern w:val="22"/>
        </w:rPr>
        <w:t>.</w:t>
      </w:r>
      <w:r w:rsidR="00690742" w:rsidRPr="009D77D5">
        <w:rPr>
          <w:kern w:val="22"/>
        </w:rPr>
        <w:tab/>
        <w:t>I</w:t>
      </w:r>
      <w:r w:rsidR="00E00F6D" w:rsidRPr="009D77D5">
        <w:rPr>
          <w:kern w:val="22"/>
        </w:rPr>
        <w:t>mproving the efficiency of structures and processes</w:t>
      </w:r>
      <w:r w:rsidR="00E00F6D" w:rsidRPr="009D77D5">
        <w:rPr>
          <w:kern w:val="22"/>
        </w:rPr>
        <w:br/>
        <w:t xml:space="preserve">of the </w:t>
      </w:r>
      <w:r w:rsidR="00854624" w:rsidRPr="009D77D5">
        <w:rPr>
          <w:kern w:val="22"/>
        </w:rPr>
        <w:t>C</w:t>
      </w:r>
      <w:r w:rsidR="00E00F6D" w:rsidRPr="009D77D5">
        <w:rPr>
          <w:kern w:val="22"/>
        </w:rPr>
        <w:t>onvention</w:t>
      </w:r>
      <w:r w:rsidR="00690742" w:rsidRPr="009D77D5">
        <w:rPr>
          <w:kern w:val="22"/>
        </w:rPr>
        <w:t>:</w:t>
      </w:r>
      <w:r w:rsidR="00E00F6D" w:rsidRPr="009D77D5">
        <w:rPr>
          <w:rFonts w:eastAsia="MS Mincho"/>
          <w:bCs/>
          <w:kern w:val="22"/>
        </w:rPr>
        <w:t xml:space="preserve"> </w:t>
      </w:r>
      <w:r w:rsidR="00E00F6D" w:rsidRPr="009D77D5">
        <w:rPr>
          <w:rFonts w:eastAsia="MS Mincho"/>
          <w:kern w:val="22"/>
        </w:rPr>
        <w:t>Subsidiary Body on Implementation</w:t>
      </w:r>
    </w:p>
    <w:p w14:paraId="01C25736" w14:textId="77777777" w:rsidR="00E00F6D" w:rsidRPr="005655CC" w:rsidRDefault="00E00F6D" w:rsidP="00E00F6D">
      <w:pPr>
        <w:shd w:val="clear" w:color="auto" w:fill="FFFFFF"/>
        <w:autoSpaceDE w:val="0"/>
        <w:autoSpaceDN w:val="0"/>
        <w:adjustRightInd w:val="0"/>
        <w:spacing w:before="120" w:after="120"/>
        <w:ind w:firstLine="709"/>
        <w:rPr>
          <w:i/>
          <w:kern w:val="22"/>
          <w:szCs w:val="22"/>
          <w:lang w:eastAsia="en-GB"/>
        </w:rPr>
      </w:pPr>
      <w:r w:rsidRPr="005655CC">
        <w:rPr>
          <w:i/>
          <w:kern w:val="22"/>
          <w:szCs w:val="22"/>
          <w:lang w:eastAsia="en-GB"/>
        </w:rPr>
        <w:t>The Conference of the Parties,</w:t>
      </w:r>
    </w:p>
    <w:p w14:paraId="17986E30" w14:textId="77777777" w:rsidR="00E00F6D" w:rsidRPr="009D77D5" w:rsidRDefault="00E00F6D" w:rsidP="00E00F6D">
      <w:pPr>
        <w:shd w:val="clear" w:color="auto" w:fill="FFFFFF"/>
        <w:autoSpaceDE w:val="0"/>
        <w:autoSpaceDN w:val="0"/>
        <w:adjustRightInd w:val="0"/>
        <w:spacing w:before="120" w:after="120"/>
        <w:ind w:firstLine="720"/>
        <w:rPr>
          <w:kern w:val="22"/>
          <w:szCs w:val="22"/>
          <w:lang w:eastAsia="en-GB"/>
        </w:rPr>
      </w:pPr>
      <w:r w:rsidRPr="00DA5F92">
        <w:rPr>
          <w:i/>
          <w:kern w:val="22"/>
          <w:szCs w:val="22"/>
          <w:lang w:eastAsia="en-GB"/>
        </w:rPr>
        <w:t>Recalling</w:t>
      </w:r>
      <w:r w:rsidRPr="009D77D5">
        <w:rPr>
          <w:kern w:val="22"/>
          <w:szCs w:val="22"/>
          <w:lang w:eastAsia="en-GB"/>
        </w:rPr>
        <w:t xml:space="preserve"> Article 23, paragraph 4 of the Convention, which elaborates the measures that the Conference of the Parties </w:t>
      </w:r>
      <w:r w:rsidRPr="009D77D5">
        <w:rPr>
          <w:noProof/>
          <w:kern w:val="22"/>
          <w:szCs w:val="22"/>
          <w:lang w:eastAsia="en-GB"/>
        </w:rPr>
        <w:t>is</w:t>
      </w:r>
      <w:r w:rsidRPr="009D77D5">
        <w:rPr>
          <w:kern w:val="22"/>
          <w:szCs w:val="22"/>
          <w:lang w:eastAsia="en-GB"/>
        </w:rPr>
        <w:t xml:space="preserve"> expected to undertake for the purpose of keeping under review the implementation of the Convention,</w:t>
      </w:r>
    </w:p>
    <w:p w14:paraId="4DC7EA6D" w14:textId="77777777" w:rsidR="00E00F6D" w:rsidRPr="009D77D5" w:rsidRDefault="00E00F6D" w:rsidP="00E00F6D">
      <w:pPr>
        <w:shd w:val="clear" w:color="auto" w:fill="FFFFFF"/>
        <w:autoSpaceDE w:val="0"/>
        <w:autoSpaceDN w:val="0"/>
        <w:adjustRightInd w:val="0"/>
        <w:spacing w:before="120" w:after="120"/>
        <w:ind w:firstLine="720"/>
        <w:rPr>
          <w:kern w:val="22"/>
          <w:szCs w:val="22"/>
          <w:lang w:eastAsia="en-GB"/>
        </w:rPr>
      </w:pPr>
      <w:r w:rsidRPr="009D77D5">
        <w:rPr>
          <w:i/>
          <w:kern w:val="22"/>
          <w:szCs w:val="22"/>
          <w:lang w:eastAsia="en-GB"/>
        </w:rPr>
        <w:t>Also recalling</w:t>
      </w:r>
      <w:r w:rsidRPr="009D77D5">
        <w:rPr>
          <w:kern w:val="22"/>
          <w:szCs w:val="22"/>
          <w:lang w:eastAsia="en-GB"/>
        </w:rPr>
        <w:t xml:space="preserve"> Article 23, paragraph 4 (g) and rule 26, paragraph 1 of the rules of procedure for the meetings of the Conference of the Parties, which refer to </w:t>
      </w:r>
      <w:r w:rsidR="00E014B4" w:rsidRPr="009D77D5">
        <w:rPr>
          <w:kern w:val="22"/>
          <w:szCs w:val="22"/>
          <w:lang w:eastAsia="en-GB"/>
        </w:rPr>
        <w:t xml:space="preserve">the </w:t>
      </w:r>
      <w:r w:rsidRPr="009D77D5">
        <w:rPr>
          <w:kern w:val="22"/>
          <w:szCs w:val="22"/>
          <w:lang w:eastAsia="en-GB"/>
        </w:rPr>
        <w:t>possible establishment, by the Conference of the Parties, of other subsidiary bodies,</w:t>
      </w:r>
    </w:p>
    <w:p w14:paraId="097930EA" w14:textId="77777777" w:rsidR="00E00F6D" w:rsidRPr="009D77D5" w:rsidRDefault="00E00F6D" w:rsidP="00E00F6D">
      <w:pPr>
        <w:shd w:val="clear" w:color="auto" w:fill="FFFFFF"/>
        <w:autoSpaceDE w:val="0"/>
        <w:autoSpaceDN w:val="0"/>
        <w:adjustRightInd w:val="0"/>
        <w:spacing w:before="120" w:after="120"/>
        <w:ind w:firstLine="720"/>
        <w:rPr>
          <w:kern w:val="22"/>
          <w:szCs w:val="22"/>
          <w:lang w:eastAsia="en-GB"/>
        </w:rPr>
      </w:pPr>
      <w:r w:rsidRPr="009D77D5">
        <w:rPr>
          <w:i/>
          <w:kern w:val="22"/>
          <w:szCs w:val="22"/>
          <w:lang w:eastAsia="en-GB"/>
        </w:rPr>
        <w:t>Further</w:t>
      </w:r>
      <w:r w:rsidRPr="009D77D5">
        <w:rPr>
          <w:kern w:val="22"/>
          <w:szCs w:val="22"/>
          <w:lang w:eastAsia="en-GB"/>
        </w:rPr>
        <w:t xml:space="preserve"> </w:t>
      </w:r>
      <w:r w:rsidRPr="009D77D5">
        <w:rPr>
          <w:i/>
          <w:kern w:val="22"/>
          <w:szCs w:val="22"/>
          <w:lang w:eastAsia="en-GB"/>
        </w:rPr>
        <w:t>recalling</w:t>
      </w:r>
      <w:r w:rsidRPr="009D77D5">
        <w:rPr>
          <w:kern w:val="22"/>
          <w:szCs w:val="22"/>
          <w:lang w:eastAsia="en-GB"/>
        </w:rPr>
        <w:t xml:space="preserve"> Article 30 of the Cartagena Protocol, which provides that any subsidiary body established by or under the Convention may, upon a decision by the Conference of the Parties serving as the meeting of the Parties to the Cartagena Protocol, serve the Protocol, and </w:t>
      </w:r>
      <w:r w:rsidRPr="009D77D5">
        <w:rPr>
          <w:i/>
          <w:kern w:val="22"/>
          <w:szCs w:val="22"/>
          <w:lang w:eastAsia="en-GB"/>
        </w:rPr>
        <w:t xml:space="preserve">taking note </w:t>
      </w:r>
      <w:r w:rsidRPr="009D77D5">
        <w:rPr>
          <w:kern w:val="22"/>
          <w:szCs w:val="22"/>
          <w:lang w:eastAsia="en-GB"/>
        </w:rPr>
        <w:t>of decision BS</w:t>
      </w:r>
      <w:r w:rsidRPr="009D77D5">
        <w:rPr>
          <w:kern w:val="22"/>
          <w:szCs w:val="22"/>
          <w:lang w:eastAsia="en-GB"/>
        </w:rPr>
        <w:noBreakHyphen/>
        <w:t>VII/9 of the Conference of the Parties serving as the meeting of the Parties to the Cartagena Protocol,</w:t>
      </w:r>
    </w:p>
    <w:p w14:paraId="09564845" w14:textId="77777777" w:rsidR="00E00F6D" w:rsidRPr="009D77D5" w:rsidRDefault="00E00F6D" w:rsidP="00E00F6D">
      <w:pPr>
        <w:shd w:val="clear" w:color="auto" w:fill="FFFFFF"/>
        <w:autoSpaceDE w:val="0"/>
        <w:autoSpaceDN w:val="0"/>
        <w:adjustRightInd w:val="0"/>
        <w:spacing w:before="120" w:after="120"/>
        <w:ind w:firstLine="720"/>
        <w:rPr>
          <w:kern w:val="22"/>
          <w:szCs w:val="22"/>
          <w:lang w:eastAsia="en-GB"/>
        </w:rPr>
      </w:pPr>
      <w:r w:rsidRPr="009D77D5">
        <w:rPr>
          <w:i/>
          <w:kern w:val="22"/>
          <w:szCs w:val="22"/>
          <w:lang w:eastAsia="en-GB"/>
        </w:rPr>
        <w:t>Recalling</w:t>
      </w:r>
      <w:r w:rsidRPr="009D77D5">
        <w:rPr>
          <w:kern w:val="22"/>
          <w:szCs w:val="22"/>
          <w:lang w:eastAsia="en-GB"/>
        </w:rPr>
        <w:t xml:space="preserve"> Article 27 of the Nagoya Protocol</w:t>
      </w:r>
      <w:r w:rsidR="00E014B4" w:rsidRPr="009D77D5">
        <w:rPr>
          <w:kern w:val="22"/>
          <w:szCs w:val="22"/>
          <w:lang w:eastAsia="en-GB"/>
        </w:rPr>
        <w:t>,</w:t>
      </w:r>
      <w:r w:rsidRPr="009D77D5">
        <w:rPr>
          <w:kern w:val="22"/>
          <w:szCs w:val="22"/>
          <w:lang w:eastAsia="en-GB"/>
        </w:rPr>
        <w:t xml:space="preserve"> which provides that any subsidiary body established by or under the Convention may serve the Protocol, including upon a decision by the Conference of the Parties serving as the meeting of the Parties to the Nagoya Protocol, and </w:t>
      </w:r>
      <w:r w:rsidRPr="009D77D5">
        <w:rPr>
          <w:i/>
          <w:kern w:val="22"/>
          <w:szCs w:val="22"/>
          <w:lang w:eastAsia="en-GB"/>
        </w:rPr>
        <w:t xml:space="preserve">taking note </w:t>
      </w:r>
      <w:r w:rsidRPr="009D77D5">
        <w:rPr>
          <w:kern w:val="22"/>
          <w:szCs w:val="22"/>
          <w:lang w:eastAsia="en-GB"/>
        </w:rPr>
        <w:t>of decision NP-I</w:t>
      </w:r>
      <w:r w:rsidR="00F053D3" w:rsidRPr="005655CC">
        <w:rPr>
          <w:kern w:val="22"/>
          <w:szCs w:val="22"/>
          <w:lang w:eastAsia="en-GB"/>
        </w:rPr>
        <w:t>/</w:t>
      </w:r>
      <w:r w:rsidR="00F053D3" w:rsidRPr="009D77D5">
        <w:rPr>
          <w:kern w:val="22"/>
          <w:szCs w:val="22"/>
          <w:lang w:eastAsia="en-GB"/>
        </w:rPr>
        <w:t>11</w:t>
      </w:r>
      <w:r w:rsidR="00F053D3" w:rsidRPr="005655CC">
        <w:rPr>
          <w:kern w:val="22"/>
          <w:szCs w:val="22"/>
          <w:lang w:eastAsia="en-GB"/>
        </w:rPr>
        <w:t xml:space="preserve"> </w:t>
      </w:r>
      <w:r w:rsidRPr="00DA5F92">
        <w:rPr>
          <w:kern w:val="22"/>
          <w:szCs w:val="22"/>
          <w:lang w:eastAsia="en-GB"/>
        </w:rPr>
        <w:t xml:space="preserve">of the Conference </w:t>
      </w:r>
      <w:r w:rsidRPr="009D77D5">
        <w:rPr>
          <w:kern w:val="22"/>
          <w:szCs w:val="22"/>
          <w:lang w:eastAsia="en-GB"/>
        </w:rPr>
        <w:t>of the Parties serving as the meeting of the Parties to the Nagoya Protocol,</w:t>
      </w:r>
    </w:p>
    <w:p w14:paraId="4E1F2893" w14:textId="77777777" w:rsidR="00E00F6D" w:rsidRPr="009D77D5" w:rsidRDefault="00E00F6D" w:rsidP="00E00F6D">
      <w:pPr>
        <w:shd w:val="clear" w:color="auto" w:fill="FFFFFF"/>
        <w:autoSpaceDE w:val="0"/>
        <w:autoSpaceDN w:val="0"/>
        <w:adjustRightInd w:val="0"/>
        <w:spacing w:before="120" w:after="120"/>
        <w:ind w:firstLine="720"/>
        <w:rPr>
          <w:kern w:val="22"/>
          <w:szCs w:val="22"/>
          <w:lang w:eastAsia="en-GB"/>
        </w:rPr>
      </w:pPr>
      <w:r w:rsidRPr="009D77D5">
        <w:rPr>
          <w:i/>
          <w:kern w:val="22"/>
          <w:szCs w:val="22"/>
          <w:lang w:eastAsia="en-GB"/>
        </w:rPr>
        <w:t xml:space="preserve">Recognizing </w:t>
      </w:r>
      <w:r w:rsidRPr="009D77D5">
        <w:rPr>
          <w:kern w:val="22"/>
          <w:szCs w:val="22"/>
          <w:lang w:eastAsia="en-GB"/>
        </w:rPr>
        <w:t>the benefits of integrated approaches to the review and support of the implementation of the Convention and its Protocols,</w:t>
      </w:r>
    </w:p>
    <w:p w14:paraId="1C64815F" w14:textId="77777777" w:rsidR="00E00F6D" w:rsidRPr="009D77D5" w:rsidRDefault="00E00F6D" w:rsidP="00E00F6D">
      <w:pPr>
        <w:shd w:val="clear" w:color="auto" w:fill="FFFFFF"/>
        <w:autoSpaceDE w:val="0"/>
        <w:autoSpaceDN w:val="0"/>
        <w:adjustRightInd w:val="0"/>
        <w:spacing w:before="120" w:after="120"/>
        <w:ind w:firstLine="720"/>
        <w:rPr>
          <w:i/>
          <w:kern w:val="22"/>
          <w:szCs w:val="22"/>
          <w:lang w:eastAsia="en-GB"/>
        </w:rPr>
      </w:pPr>
      <w:r w:rsidRPr="009D77D5">
        <w:rPr>
          <w:i/>
          <w:kern w:val="22"/>
          <w:szCs w:val="22"/>
          <w:lang w:eastAsia="en-GB"/>
        </w:rPr>
        <w:t xml:space="preserve">Also recognizing </w:t>
      </w:r>
      <w:r w:rsidRPr="009D77D5">
        <w:rPr>
          <w:kern w:val="22"/>
          <w:szCs w:val="22"/>
          <w:lang w:eastAsia="en-GB"/>
        </w:rPr>
        <w:t>the importance of the full and effective participation of all Parties, especially developing country Parties, in particular least developed countries and small island developing States, as well as countries with economies in transition, in the meetings of a subsidiary body on implementation,</w:t>
      </w:r>
    </w:p>
    <w:p w14:paraId="56C3D78D" w14:textId="77777777" w:rsidR="00E00F6D" w:rsidRPr="009D77D5" w:rsidRDefault="00E00F6D" w:rsidP="00E00F6D">
      <w:pPr>
        <w:shd w:val="clear" w:color="auto" w:fill="FFFFFF"/>
        <w:autoSpaceDE w:val="0"/>
        <w:autoSpaceDN w:val="0"/>
        <w:adjustRightInd w:val="0"/>
        <w:spacing w:before="120" w:after="120"/>
        <w:ind w:firstLine="720"/>
        <w:rPr>
          <w:kern w:val="22"/>
          <w:szCs w:val="22"/>
          <w:lang w:eastAsia="en-GB"/>
        </w:rPr>
      </w:pPr>
      <w:r w:rsidRPr="009D77D5">
        <w:rPr>
          <w:i/>
          <w:kern w:val="22"/>
          <w:szCs w:val="22"/>
          <w:lang w:eastAsia="en-GB"/>
        </w:rPr>
        <w:t xml:space="preserve">Further recognizing </w:t>
      </w:r>
      <w:r w:rsidRPr="009D77D5">
        <w:rPr>
          <w:kern w:val="22"/>
          <w:szCs w:val="22"/>
          <w:lang w:eastAsia="en-GB"/>
        </w:rPr>
        <w:t>the importance of the full and effective participation of representatives of indigenous and local communities in the meetings of a subsidiary body on implementation,</w:t>
      </w:r>
    </w:p>
    <w:p w14:paraId="32312559"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1.</w:t>
      </w:r>
      <w:r w:rsidRPr="009D77D5">
        <w:rPr>
          <w:i/>
          <w:kern w:val="22"/>
          <w:szCs w:val="22"/>
          <w:lang w:eastAsia="en-GB"/>
        </w:rPr>
        <w:tab/>
      </w:r>
      <w:r w:rsidR="00E014B4" w:rsidRPr="009D77D5">
        <w:rPr>
          <w:i/>
          <w:kern w:val="22"/>
          <w:szCs w:val="22"/>
          <w:lang w:eastAsia="en-GB"/>
        </w:rPr>
        <w:t xml:space="preserve">Establishes </w:t>
      </w:r>
      <w:r w:rsidR="00E014B4" w:rsidRPr="009D77D5">
        <w:rPr>
          <w:kern w:val="22"/>
          <w:szCs w:val="22"/>
          <w:lang w:eastAsia="en-GB"/>
        </w:rPr>
        <w:t>the</w:t>
      </w:r>
      <w:r w:rsidRPr="009D77D5">
        <w:rPr>
          <w:kern w:val="22"/>
          <w:szCs w:val="22"/>
          <w:lang w:eastAsia="en-GB"/>
        </w:rPr>
        <w:t xml:space="preserve"> </w:t>
      </w:r>
      <w:r w:rsidR="00E014B4" w:rsidRPr="009D77D5">
        <w:rPr>
          <w:kern w:val="22"/>
          <w:szCs w:val="22"/>
          <w:lang w:eastAsia="en-GB"/>
        </w:rPr>
        <w:t>S</w:t>
      </w:r>
      <w:r w:rsidRPr="009D77D5">
        <w:rPr>
          <w:kern w:val="22"/>
          <w:szCs w:val="22"/>
          <w:lang w:eastAsia="en-GB"/>
        </w:rPr>
        <w:t xml:space="preserve">ubsidiary </w:t>
      </w:r>
      <w:r w:rsidR="00E014B4" w:rsidRPr="009D77D5">
        <w:rPr>
          <w:kern w:val="22"/>
          <w:szCs w:val="22"/>
          <w:lang w:eastAsia="en-GB"/>
        </w:rPr>
        <w:t>B</w:t>
      </w:r>
      <w:r w:rsidRPr="009D77D5">
        <w:rPr>
          <w:kern w:val="22"/>
          <w:szCs w:val="22"/>
          <w:lang w:eastAsia="en-GB"/>
        </w:rPr>
        <w:t xml:space="preserve">ody on </w:t>
      </w:r>
      <w:r w:rsidR="00E014B4" w:rsidRPr="009D77D5">
        <w:rPr>
          <w:kern w:val="22"/>
          <w:szCs w:val="22"/>
          <w:lang w:eastAsia="en-GB"/>
        </w:rPr>
        <w:t>I</w:t>
      </w:r>
      <w:r w:rsidRPr="009D77D5">
        <w:rPr>
          <w:kern w:val="22"/>
          <w:szCs w:val="22"/>
          <w:lang w:eastAsia="en-GB"/>
        </w:rPr>
        <w:t>mplementation to replace the Ad Hoc Open-ended Working Group on Review of Implementation of the Convention, with the terms of reference contained in the annex to the present decision;</w:t>
      </w:r>
    </w:p>
    <w:p w14:paraId="22729B1B"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2.</w:t>
      </w:r>
      <w:r w:rsidRPr="009D77D5">
        <w:rPr>
          <w:kern w:val="22"/>
          <w:szCs w:val="22"/>
          <w:lang w:eastAsia="en-GB"/>
        </w:rPr>
        <w:tab/>
      </w:r>
      <w:r w:rsidRPr="009D77D5">
        <w:rPr>
          <w:i/>
          <w:kern w:val="22"/>
          <w:szCs w:val="22"/>
          <w:lang w:eastAsia="en-GB"/>
        </w:rPr>
        <w:t>Decides</w:t>
      </w:r>
      <w:r w:rsidRPr="009D77D5">
        <w:rPr>
          <w:kern w:val="22"/>
          <w:szCs w:val="22"/>
          <w:lang w:eastAsia="en-GB"/>
        </w:rPr>
        <w:t xml:space="preserve"> that:</w:t>
      </w:r>
    </w:p>
    <w:p w14:paraId="21B51122"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lastRenderedPageBreak/>
        <w:t>(a)</w:t>
      </w:r>
      <w:r w:rsidRPr="009D77D5">
        <w:rPr>
          <w:kern w:val="22"/>
          <w:szCs w:val="22"/>
          <w:lang w:eastAsia="en-GB"/>
        </w:rPr>
        <w:tab/>
        <w:t>The Bureau of the Conference of the Parties will serve as the Bureau of the Subsidiary Body on Implementation;</w:t>
      </w:r>
    </w:p>
    <w:p w14:paraId="3A5F1347"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(b)</w:t>
      </w:r>
      <w:r w:rsidRPr="009D77D5">
        <w:rPr>
          <w:kern w:val="22"/>
          <w:szCs w:val="22"/>
          <w:lang w:eastAsia="en-GB"/>
        </w:rPr>
        <w:tab/>
        <w:t xml:space="preserve">In line with paragraph 5 of rule 26 of the rules of procedure for meetings of the Conference of the Parties, the rules of procedure for meetings of the Conference of the Parties apply, </w:t>
      </w:r>
      <w:r w:rsidRPr="009D77D5">
        <w:rPr>
          <w:i/>
          <w:kern w:val="22"/>
          <w:szCs w:val="22"/>
          <w:lang w:eastAsia="en-GB"/>
        </w:rPr>
        <w:t>mutatis mutandis</w:t>
      </w:r>
      <w:r w:rsidRPr="009D77D5">
        <w:rPr>
          <w:kern w:val="22"/>
          <w:szCs w:val="22"/>
          <w:lang w:eastAsia="en-GB"/>
        </w:rPr>
        <w:t>, to the meetings of the Subsidiary Body on Implementation with the exception of rule 18, which will not apply;</w:t>
      </w:r>
    </w:p>
    <w:p w14:paraId="6C736108"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(c)</w:t>
      </w:r>
      <w:r w:rsidRPr="009D77D5">
        <w:rPr>
          <w:kern w:val="22"/>
          <w:szCs w:val="22"/>
          <w:lang w:eastAsia="en-GB"/>
        </w:rPr>
        <w:tab/>
        <w:t xml:space="preserve">The Subsidiary Body on Implementation should meet in each </w:t>
      </w:r>
      <w:r w:rsidRPr="009D77D5">
        <w:rPr>
          <w:noProof/>
          <w:kern w:val="22"/>
          <w:szCs w:val="22"/>
          <w:lang w:eastAsia="en-GB"/>
        </w:rPr>
        <w:t>intersessional period,</w:t>
      </w:r>
    </w:p>
    <w:p w14:paraId="215E72BC"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3.</w:t>
      </w:r>
      <w:r w:rsidRPr="009D77D5">
        <w:rPr>
          <w:kern w:val="22"/>
          <w:szCs w:val="22"/>
          <w:lang w:eastAsia="en-GB"/>
        </w:rPr>
        <w:tab/>
      </w:r>
      <w:r w:rsidRPr="009D77D5">
        <w:rPr>
          <w:i/>
          <w:kern w:val="22"/>
          <w:szCs w:val="22"/>
          <w:lang w:eastAsia="en-GB"/>
        </w:rPr>
        <w:t>Acknowledges</w:t>
      </w:r>
      <w:r w:rsidRPr="009D77D5">
        <w:rPr>
          <w:kern w:val="22"/>
          <w:szCs w:val="22"/>
          <w:lang w:eastAsia="en-GB"/>
        </w:rPr>
        <w:t xml:space="preserve"> that when the Subsidiary Body on Implementation serves a Protocol of the Convention, decisions under the Protocol shall be taken only by the Parties to the Protocol;</w:t>
      </w:r>
    </w:p>
    <w:p w14:paraId="3F644F51"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4.</w:t>
      </w:r>
      <w:r w:rsidRPr="009D77D5">
        <w:rPr>
          <w:i/>
          <w:kern w:val="22"/>
          <w:szCs w:val="22"/>
          <w:lang w:eastAsia="en-GB"/>
        </w:rPr>
        <w:tab/>
        <w:t xml:space="preserve">Requests </w:t>
      </w:r>
      <w:r w:rsidRPr="009D77D5">
        <w:rPr>
          <w:kern w:val="22"/>
          <w:szCs w:val="22"/>
          <w:lang w:eastAsia="en-GB"/>
        </w:rPr>
        <w:t>the Subsidiary Body on Implementation to undertake any tasks that fall within the scope of its terms of reference as referred to it by the Conference of the Parties or the Conference of the Parties serving as the meetings of the Parties to the respective Protocols, and to report on its work to these bodies;</w:t>
      </w:r>
    </w:p>
    <w:p w14:paraId="0643B909"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5.</w:t>
      </w:r>
      <w:r w:rsidRPr="009D77D5">
        <w:rPr>
          <w:kern w:val="22"/>
          <w:szCs w:val="22"/>
          <w:lang w:eastAsia="en-GB"/>
        </w:rPr>
        <w:tab/>
        <w:t xml:space="preserve">For the period up to 2020, recalling paragraph 14 of decision X/2, </w:t>
      </w:r>
      <w:r w:rsidRPr="009D77D5">
        <w:rPr>
          <w:i/>
          <w:kern w:val="22"/>
          <w:szCs w:val="22"/>
          <w:lang w:eastAsia="en-GB"/>
        </w:rPr>
        <w:t>requests</w:t>
      </w:r>
      <w:r w:rsidRPr="009D77D5">
        <w:rPr>
          <w:kern w:val="22"/>
          <w:szCs w:val="22"/>
          <w:lang w:eastAsia="en-GB"/>
        </w:rPr>
        <w:t xml:space="preserve"> the Subsidiary Body on Implementation to support the Conference of the Parties in reviewing progress in the implementation of the Strategic Plan for Biodiversity 2011-2020 and achievement of the Aichi Biodiversity Targets, taking into account also the </w:t>
      </w:r>
      <w:r w:rsidRPr="009D77D5">
        <w:rPr>
          <w:kern w:val="22"/>
          <w:szCs w:val="22"/>
        </w:rPr>
        <w:t>multi-year programme of work of the Conference of the Parties to 2020;</w:t>
      </w:r>
      <w:r w:rsidRPr="009D77D5">
        <w:rPr>
          <w:rStyle w:val="FootnoteReference"/>
          <w:kern w:val="22"/>
          <w:sz w:val="22"/>
          <w:szCs w:val="22"/>
          <w:u w:val="none"/>
          <w:vertAlign w:val="superscript"/>
        </w:rPr>
        <w:footnoteReference w:id="1"/>
      </w:r>
    </w:p>
    <w:p w14:paraId="6F1E433E" w14:textId="77777777" w:rsidR="00E00F6D" w:rsidRPr="009D77D5" w:rsidRDefault="00E00F6D" w:rsidP="00E00F6D">
      <w:pPr>
        <w:shd w:val="clear" w:color="auto" w:fill="FFFFFF"/>
        <w:autoSpaceDE w:val="0"/>
        <w:autoSpaceDN w:val="0"/>
        <w:adjustRightInd w:val="0"/>
        <w:spacing w:before="120" w:after="120"/>
        <w:ind w:firstLine="709"/>
        <w:rPr>
          <w:i/>
          <w:kern w:val="22"/>
          <w:szCs w:val="22"/>
          <w:lang w:eastAsia="en-GB"/>
        </w:rPr>
      </w:pPr>
      <w:r w:rsidRPr="009D77D5">
        <w:rPr>
          <w:kern w:val="22"/>
          <w:szCs w:val="22"/>
          <w:lang w:eastAsia="en-GB"/>
        </w:rPr>
        <w:t>6.</w:t>
      </w:r>
      <w:r w:rsidRPr="009D77D5">
        <w:rPr>
          <w:i/>
          <w:kern w:val="22"/>
          <w:szCs w:val="22"/>
          <w:lang w:eastAsia="en-GB"/>
        </w:rPr>
        <w:tab/>
        <w:t>Requests</w:t>
      </w:r>
      <w:r w:rsidRPr="009D77D5">
        <w:rPr>
          <w:kern w:val="22"/>
          <w:szCs w:val="22"/>
          <w:lang w:eastAsia="en-GB"/>
        </w:rPr>
        <w:t xml:space="preserve"> the Executive Secretary:</w:t>
      </w:r>
    </w:p>
    <w:p w14:paraId="77068B78"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(a)</w:t>
      </w:r>
      <w:r w:rsidRPr="009D77D5">
        <w:rPr>
          <w:kern w:val="22"/>
          <w:szCs w:val="22"/>
          <w:lang w:eastAsia="en-GB"/>
        </w:rPr>
        <w:tab/>
        <w:t xml:space="preserve">To support the work of the Subsidiary Body on Implementation by, </w:t>
      </w:r>
      <w:r w:rsidRPr="009D77D5">
        <w:rPr>
          <w:i/>
          <w:kern w:val="22"/>
          <w:szCs w:val="22"/>
          <w:lang w:eastAsia="en-GB"/>
        </w:rPr>
        <w:t>inter alia</w:t>
      </w:r>
      <w:r w:rsidRPr="009D77D5">
        <w:rPr>
          <w:kern w:val="22"/>
          <w:szCs w:val="22"/>
          <w:lang w:eastAsia="en-GB"/>
        </w:rPr>
        <w:t>, organizing its meetings, and preparing documentation necessary for the meetings and reports of the Subsidiary Body;</w:t>
      </w:r>
    </w:p>
    <w:p w14:paraId="512174A7"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(b)</w:t>
      </w:r>
      <w:r w:rsidRPr="009D77D5">
        <w:rPr>
          <w:kern w:val="22"/>
          <w:szCs w:val="22"/>
          <w:lang w:eastAsia="en-GB"/>
        </w:rPr>
        <w:tab/>
        <w:t>To make arrangements for a meeting of the Subsidiary Body on Implementation to be held prior to the thirteenth meeting of the Conference of the Parties;</w:t>
      </w:r>
    </w:p>
    <w:p w14:paraId="0B850077" w14:textId="77777777" w:rsidR="00E00F6D" w:rsidRPr="009D77D5" w:rsidRDefault="00E00F6D" w:rsidP="00E00F6D">
      <w:pPr>
        <w:shd w:val="clear" w:color="auto" w:fill="FFFFFF"/>
        <w:autoSpaceDE w:val="0"/>
        <w:autoSpaceDN w:val="0"/>
        <w:adjustRightInd w:val="0"/>
        <w:spacing w:before="120" w:after="120"/>
        <w:ind w:firstLine="709"/>
        <w:rPr>
          <w:kern w:val="22"/>
          <w:szCs w:val="22"/>
          <w:lang w:eastAsia="en-GB"/>
        </w:rPr>
      </w:pPr>
      <w:r w:rsidRPr="009D77D5">
        <w:rPr>
          <w:kern w:val="22"/>
          <w:szCs w:val="22"/>
          <w:lang w:eastAsia="en-GB"/>
        </w:rPr>
        <w:t>(c)</w:t>
      </w:r>
      <w:r w:rsidRPr="009D77D5">
        <w:rPr>
          <w:kern w:val="22"/>
          <w:szCs w:val="22"/>
          <w:lang w:eastAsia="en-GB"/>
        </w:rPr>
        <w:tab/>
        <w:t xml:space="preserve">To prepare a draft </w:t>
      </w:r>
      <w:r w:rsidRPr="009D77D5">
        <w:rPr>
          <w:i/>
          <w:kern w:val="22"/>
          <w:szCs w:val="22"/>
          <w:lang w:eastAsia="en-GB"/>
        </w:rPr>
        <w:t>modus operandi</w:t>
      </w:r>
      <w:r w:rsidRPr="009D77D5">
        <w:rPr>
          <w:kern w:val="22"/>
          <w:szCs w:val="22"/>
          <w:lang w:eastAsia="en-GB"/>
        </w:rPr>
        <w:t xml:space="preserve"> on the organization and operation of the Subsidiary Body on Implementation for consideration by the Subsidiary Body on Implementation at its first meeting, in line with the terms of reference contained in the annex to this decision, and taking into account the consolidated </w:t>
      </w:r>
      <w:r w:rsidRPr="009D77D5">
        <w:rPr>
          <w:i/>
          <w:kern w:val="22"/>
          <w:szCs w:val="22"/>
          <w:lang w:eastAsia="en-GB"/>
        </w:rPr>
        <w:t>modus operandi</w:t>
      </w:r>
      <w:r w:rsidRPr="009D77D5">
        <w:rPr>
          <w:kern w:val="22"/>
          <w:szCs w:val="22"/>
          <w:lang w:eastAsia="en-GB"/>
        </w:rPr>
        <w:t xml:space="preserve"> of the Subsidiary Body on Scientific, Technical and Technological Advice</w:t>
      </w:r>
      <w:r w:rsidR="00690742" w:rsidRPr="009D77D5">
        <w:rPr>
          <w:kern w:val="22"/>
          <w:szCs w:val="22"/>
          <w:lang w:eastAsia="en-GB"/>
        </w:rPr>
        <w:t>,</w:t>
      </w:r>
      <w:r w:rsidRPr="009D77D5">
        <w:rPr>
          <w:rStyle w:val="FootnoteReference"/>
          <w:kern w:val="22"/>
          <w:sz w:val="22"/>
          <w:szCs w:val="22"/>
          <w:u w:val="none"/>
          <w:vertAlign w:val="superscript"/>
          <w:lang w:eastAsia="en-GB"/>
        </w:rPr>
        <w:footnoteReference w:id="2"/>
      </w:r>
      <w:r w:rsidRPr="009D77D5">
        <w:rPr>
          <w:kern w:val="22"/>
          <w:szCs w:val="22"/>
          <w:lang w:eastAsia="en-GB"/>
        </w:rPr>
        <w:t xml:space="preserve"> and any views expressed, in this regard, as reflected in the reports of twelfth meeting of the Conference of the Parties, the seventh meeting of the Parties to the Cartagena Protocol and the first meeting of the Parties to the Nagoya Protocol.</w:t>
      </w:r>
    </w:p>
    <w:p w14:paraId="086F87E3" w14:textId="77777777" w:rsidR="00E00F6D" w:rsidRPr="009D77D5" w:rsidRDefault="00E00F6D" w:rsidP="00E00F6D">
      <w:pPr>
        <w:shd w:val="clear" w:color="auto" w:fill="FFFFFF"/>
        <w:spacing w:before="240" w:after="120"/>
        <w:jc w:val="center"/>
        <w:rPr>
          <w:i/>
          <w:kern w:val="22"/>
          <w:szCs w:val="22"/>
        </w:rPr>
      </w:pPr>
      <w:r w:rsidRPr="009D77D5">
        <w:rPr>
          <w:i/>
          <w:kern w:val="22"/>
          <w:szCs w:val="22"/>
        </w:rPr>
        <w:t>Annex</w:t>
      </w:r>
    </w:p>
    <w:p w14:paraId="39BCBAD9" w14:textId="77777777" w:rsidR="00E00F6D" w:rsidRPr="009D77D5" w:rsidRDefault="00E00F6D" w:rsidP="00E00F6D">
      <w:pPr>
        <w:shd w:val="clear" w:color="auto" w:fill="FFFFFF"/>
        <w:jc w:val="center"/>
        <w:rPr>
          <w:b/>
          <w:kern w:val="22"/>
          <w:szCs w:val="22"/>
        </w:rPr>
      </w:pPr>
      <w:r w:rsidRPr="009D77D5">
        <w:rPr>
          <w:b/>
          <w:kern w:val="22"/>
          <w:szCs w:val="22"/>
        </w:rPr>
        <w:t>TERMS OF REFERENCE FOR THE SUBSIDIARY BODY ON IMPLEMENTATION</w:t>
      </w:r>
    </w:p>
    <w:p w14:paraId="1858F731" w14:textId="77777777" w:rsidR="00E00F6D" w:rsidRPr="009D77D5" w:rsidRDefault="00E00F6D" w:rsidP="00E00F6D">
      <w:pPr>
        <w:numPr>
          <w:ilvl w:val="3"/>
          <w:numId w:val="27"/>
        </w:numPr>
        <w:shd w:val="clear" w:color="auto" w:fill="FFFFFF"/>
        <w:spacing w:before="120" w:after="120"/>
        <w:ind w:left="0" w:firstLine="720"/>
        <w:rPr>
          <w:kern w:val="22"/>
          <w:szCs w:val="22"/>
        </w:rPr>
      </w:pPr>
      <w:r w:rsidRPr="009D77D5">
        <w:rPr>
          <w:kern w:val="22"/>
          <w:szCs w:val="22"/>
        </w:rPr>
        <w:t>Under the guidance of the Conference of the Parties, the Subsidiary Body on Implementation should perform the following functions in order to support the Conference of the Parties in keeping under review the implementation of the Convention pursuant to its Article 23, paragraph 4:</w:t>
      </w:r>
    </w:p>
    <w:p w14:paraId="280FDCE8" w14:textId="77777777" w:rsidR="00E00F6D" w:rsidRPr="009D77D5" w:rsidRDefault="00E00F6D" w:rsidP="00E00F6D">
      <w:pPr>
        <w:numPr>
          <w:ilvl w:val="0"/>
          <w:numId w:val="28"/>
        </w:numPr>
        <w:shd w:val="clear" w:color="auto" w:fill="FFFFFF"/>
        <w:spacing w:before="120"/>
        <w:ind w:left="0" w:firstLine="709"/>
        <w:rPr>
          <w:kern w:val="22"/>
          <w:szCs w:val="22"/>
        </w:rPr>
      </w:pPr>
      <w:r w:rsidRPr="009D77D5">
        <w:rPr>
          <w:kern w:val="22"/>
          <w:szCs w:val="22"/>
        </w:rPr>
        <w:t>Review relevant information on progress in the implementation of the Convention, including in the provision of support for the implementation of the Convention, as well as of any strategic plans and other relevant decisions adopted by the Conference of the Parties, and on progress in the achievement of targets established under the Convention;</w:t>
      </w:r>
    </w:p>
    <w:p w14:paraId="039A7C6A" w14:textId="77777777" w:rsidR="00E00F6D" w:rsidRPr="009D77D5" w:rsidRDefault="00E00F6D" w:rsidP="00E00F6D">
      <w:pPr>
        <w:numPr>
          <w:ilvl w:val="0"/>
          <w:numId w:val="28"/>
        </w:numPr>
        <w:shd w:val="clear" w:color="auto" w:fill="FFFFFF"/>
        <w:spacing w:before="120"/>
        <w:ind w:left="0" w:firstLine="709"/>
        <w:rPr>
          <w:kern w:val="22"/>
          <w:szCs w:val="22"/>
        </w:rPr>
      </w:pPr>
      <w:r w:rsidRPr="009D77D5">
        <w:rPr>
          <w:kern w:val="22"/>
          <w:szCs w:val="22"/>
        </w:rPr>
        <w:t>Assist the Conference of the Parties in preparing decisions on enhancing the implementation of the Convention, as appropriate;</w:t>
      </w:r>
    </w:p>
    <w:p w14:paraId="58A39099" w14:textId="77777777" w:rsidR="00E00F6D" w:rsidRPr="009D77D5" w:rsidRDefault="00E00F6D" w:rsidP="00E00F6D">
      <w:pPr>
        <w:numPr>
          <w:ilvl w:val="0"/>
          <w:numId w:val="28"/>
        </w:numPr>
        <w:shd w:val="clear" w:color="auto" w:fill="FFFFFF"/>
        <w:spacing w:before="120"/>
        <w:ind w:left="0" w:firstLine="709"/>
        <w:rPr>
          <w:kern w:val="22"/>
          <w:szCs w:val="22"/>
        </w:rPr>
      </w:pPr>
      <w:r w:rsidRPr="009D77D5">
        <w:rPr>
          <w:kern w:val="22"/>
          <w:szCs w:val="22"/>
        </w:rPr>
        <w:t>Identify, and develop recommendations to overcome, obstacles encountered in implementing the Convention and any strategic plans adopted under it;</w:t>
      </w:r>
    </w:p>
    <w:p w14:paraId="15EF303A" w14:textId="77777777" w:rsidR="00E00F6D" w:rsidRPr="009D77D5" w:rsidRDefault="00E00F6D" w:rsidP="00E00F6D">
      <w:pPr>
        <w:numPr>
          <w:ilvl w:val="0"/>
          <w:numId w:val="28"/>
        </w:numPr>
        <w:shd w:val="clear" w:color="auto" w:fill="FFFFFF"/>
        <w:spacing w:before="120"/>
        <w:ind w:left="0" w:firstLine="709"/>
        <w:rPr>
          <w:kern w:val="22"/>
          <w:szCs w:val="22"/>
        </w:rPr>
      </w:pPr>
      <w:r w:rsidRPr="009D77D5">
        <w:rPr>
          <w:kern w:val="22"/>
          <w:szCs w:val="22"/>
        </w:rPr>
        <w:lastRenderedPageBreak/>
        <w:t xml:space="preserve">Develop recommendations on how to strengthen mechanisms to support </w:t>
      </w:r>
      <w:r w:rsidRPr="009D77D5">
        <w:rPr>
          <w:kern w:val="22"/>
          <w:szCs w:val="22"/>
          <w:lang w:eastAsia="ko-KR"/>
        </w:rPr>
        <w:t>implementation</w:t>
      </w:r>
      <w:r w:rsidRPr="009D77D5" w:rsidDel="00DC1725">
        <w:rPr>
          <w:kern w:val="22"/>
          <w:szCs w:val="22"/>
        </w:rPr>
        <w:t xml:space="preserve"> </w:t>
      </w:r>
      <w:r w:rsidRPr="009D77D5">
        <w:rPr>
          <w:kern w:val="22"/>
          <w:szCs w:val="22"/>
        </w:rPr>
        <w:t>of the Convention, and any strategic plans adopted under it;</w:t>
      </w:r>
    </w:p>
    <w:p w14:paraId="1419D11A" w14:textId="77777777" w:rsidR="00E00F6D" w:rsidRPr="009D77D5" w:rsidRDefault="00E00F6D" w:rsidP="00E00F6D">
      <w:pPr>
        <w:numPr>
          <w:ilvl w:val="0"/>
          <w:numId w:val="28"/>
        </w:numPr>
        <w:shd w:val="clear" w:color="auto" w:fill="FFFFFF"/>
        <w:spacing w:before="120"/>
        <w:ind w:left="0" w:firstLine="709"/>
        <w:rPr>
          <w:kern w:val="22"/>
          <w:szCs w:val="22"/>
        </w:rPr>
      </w:pPr>
      <w:r w:rsidRPr="009D77D5">
        <w:rPr>
          <w:kern w:val="22"/>
          <w:szCs w:val="22"/>
        </w:rPr>
        <w:t>Review the impacts and effectiveness of existing processes under the Convention</w:t>
      </w:r>
      <w:r w:rsidR="00E014B4" w:rsidRPr="009D77D5">
        <w:rPr>
          <w:kern w:val="22"/>
          <w:szCs w:val="22"/>
        </w:rPr>
        <w:t xml:space="preserve"> and</w:t>
      </w:r>
      <w:r w:rsidRPr="009D77D5">
        <w:rPr>
          <w:kern w:val="22"/>
          <w:szCs w:val="22"/>
        </w:rPr>
        <w:t xml:space="preserve"> identify ways and means that increase efficiencies, including an integrated approach to the implementation of the Convention and its Protocols, including in areas such as resource mobilization, guidance to the financial mechanism, capacity-building, national </w:t>
      </w:r>
      <w:r w:rsidRPr="009D77D5">
        <w:rPr>
          <w:kern w:val="22"/>
          <w:szCs w:val="22"/>
          <w:lang w:eastAsia="ko-KR"/>
        </w:rPr>
        <w:t>reporting, technical and scientific cooperation and the c</w:t>
      </w:r>
      <w:r w:rsidRPr="009D77D5">
        <w:rPr>
          <w:kern w:val="22"/>
          <w:szCs w:val="22"/>
        </w:rPr>
        <w:t>learing-house mechanism, and communication, education and public awareness;</w:t>
      </w:r>
    </w:p>
    <w:p w14:paraId="3D77967B" w14:textId="77777777" w:rsidR="00E00F6D" w:rsidRPr="009D77D5" w:rsidRDefault="00E00F6D" w:rsidP="00E00F6D">
      <w:pPr>
        <w:numPr>
          <w:ilvl w:val="0"/>
          <w:numId w:val="28"/>
        </w:numPr>
        <w:shd w:val="clear" w:color="auto" w:fill="FFFFFF"/>
        <w:spacing w:before="120"/>
        <w:ind w:left="0" w:firstLine="709"/>
        <w:rPr>
          <w:kern w:val="22"/>
          <w:szCs w:val="22"/>
        </w:rPr>
      </w:pPr>
      <w:r w:rsidRPr="009D77D5">
        <w:rPr>
          <w:kern w:val="22"/>
          <w:szCs w:val="22"/>
        </w:rPr>
        <w:t>Perform such other functions as may be determined by the Conference of the Parties.</w:t>
      </w:r>
    </w:p>
    <w:p w14:paraId="2FD4C3D4" w14:textId="77777777" w:rsidR="00E00F6D" w:rsidRPr="009D77D5" w:rsidRDefault="00E00F6D" w:rsidP="00E00F6D">
      <w:pPr>
        <w:numPr>
          <w:ilvl w:val="3"/>
          <w:numId w:val="27"/>
        </w:numPr>
        <w:shd w:val="clear" w:color="auto" w:fill="FFFFFF"/>
        <w:spacing w:before="120" w:after="120"/>
        <w:ind w:left="0" w:firstLine="720"/>
        <w:rPr>
          <w:kern w:val="22"/>
          <w:szCs w:val="22"/>
        </w:rPr>
      </w:pPr>
      <w:r w:rsidRPr="009D77D5">
        <w:rPr>
          <w:kern w:val="22"/>
          <w:szCs w:val="22"/>
        </w:rPr>
        <w:t xml:space="preserve">In performing the functions in paragraph 1 above, the Subsidiary Body on Implementation should take into account, as appropriate, the multi-year programme of work for the Conference of the Parties for the period concerned, as well as, where </w:t>
      </w:r>
      <w:r w:rsidRPr="009D77D5">
        <w:rPr>
          <w:kern w:val="22"/>
          <w:szCs w:val="22"/>
          <w:lang w:eastAsia="ko-KR"/>
        </w:rPr>
        <w:t xml:space="preserve">appropriate, </w:t>
      </w:r>
      <w:r w:rsidRPr="009D77D5">
        <w:rPr>
          <w:kern w:val="22"/>
          <w:szCs w:val="22"/>
        </w:rPr>
        <w:t>input from the Subsidiary Body on Scientific, Technical and Technological Advice;</w:t>
      </w:r>
    </w:p>
    <w:p w14:paraId="10695903" w14:textId="77777777" w:rsidR="00E00F6D" w:rsidRPr="009D77D5" w:rsidRDefault="00E00F6D" w:rsidP="00E00F6D">
      <w:pPr>
        <w:numPr>
          <w:ilvl w:val="3"/>
          <w:numId w:val="27"/>
        </w:numPr>
        <w:spacing w:before="120" w:after="120"/>
        <w:ind w:left="0" w:firstLine="720"/>
        <w:rPr>
          <w:i/>
          <w:kern w:val="22"/>
          <w:szCs w:val="22"/>
        </w:rPr>
      </w:pPr>
      <w:r w:rsidRPr="009D77D5">
        <w:rPr>
          <w:kern w:val="22"/>
          <w:szCs w:val="22"/>
        </w:rPr>
        <w:t>The Subsidiary Body on Implementation and the Subsidiary Body on Scientific, Technical and Technological Advice should carry out their respective functions taking into account their role and functions</w:t>
      </w:r>
      <w:r w:rsidRPr="009D77D5" w:rsidDel="0055780E">
        <w:rPr>
          <w:kern w:val="22"/>
          <w:szCs w:val="22"/>
        </w:rPr>
        <w:t xml:space="preserve"> </w:t>
      </w:r>
      <w:r w:rsidRPr="009D77D5">
        <w:rPr>
          <w:kern w:val="22"/>
          <w:szCs w:val="22"/>
        </w:rPr>
        <w:t>with a view to ensuring complementarity in their work and avoiding overlap;</w:t>
      </w:r>
    </w:p>
    <w:p w14:paraId="34887606" w14:textId="77777777" w:rsidR="00E00F6D" w:rsidRPr="009D77D5" w:rsidRDefault="00E00F6D" w:rsidP="00E00F6D">
      <w:pPr>
        <w:numPr>
          <w:ilvl w:val="3"/>
          <w:numId w:val="27"/>
        </w:numPr>
        <w:shd w:val="clear" w:color="auto" w:fill="FFFFFF"/>
        <w:spacing w:before="120" w:after="120"/>
        <w:ind w:left="0" w:firstLine="720"/>
        <w:rPr>
          <w:kern w:val="22"/>
          <w:szCs w:val="22"/>
        </w:rPr>
      </w:pPr>
      <w:r w:rsidRPr="009D77D5">
        <w:rPr>
          <w:kern w:val="22"/>
          <w:szCs w:val="22"/>
        </w:rPr>
        <w:t xml:space="preserve">These terms of reference should apply, </w:t>
      </w:r>
      <w:r w:rsidRPr="009D77D5">
        <w:rPr>
          <w:i/>
          <w:kern w:val="22"/>
          <w:szCs w:val="22"/>
        </w:rPr>
        <w:t>mutatis mutandis</w:t>
      </w:r>
      <w:r w:rsidRPr="009D77D5">
        <w:rPr>
          <w:kern w:val="22"/>
          <w:szCs w:val="22"/>
        </w:rPr>
        <w:t>, to the Subsidiary Body on Implementation when serving the Cartagena and the Nagoya Protocols;</w:t>
      </w:r>
    </w:p>
    <w:p w14:paraId="722484EA" w14:textId="77777777" w:rsidR="00E00F6D" w:rsidRPr="00DA5F92" w:rsidRDefault="00E00F6D" w:rsidP="00E00F6D">
      <w:pPr>
        <w:numPr>
          <w:ilvl w:val="3"/>
          <w:numId w:val="27"/>
        </w:numPr>
        <w:shd w:val="clear" w:color="auto" w:fill="FFFFFF"/>
        <w:spacing w:before="120" w:after="120"/>
        <w:ind w:left="0" w:firstLine="720"/>
        <w:rPr>
          <w:kern w:val="22"/>
          <w:szCs w:val="22"/>
        </w:rPr>
      </w:pPr>
      <w:r w:rsidRPr="009D77D5">
        <w:rPr>
          <w:kern w:val="22"/>
          <w:szCs w:val="22"/>
        </w:rPr>
        <w:t xml:space="preserve">The Subsidiary Body on Implementation should undertake the functions detailed under paragraph 1 above, at the request of the </w:t>
      </w:r>
      <w:r w:rsidRPr="009D77D5">
        <w:rPr>
          <w:kern w:val="22"/>
          <w:szCs w:val="22"/>
          <w:lang w:eastAsia="en-GB"/>
        </w:rPr>
        <w:t xml:space="preserve">Conference of the Parties serving as the meetings of the Parties to the </w:t>
      </w:r>
      <w:r w:rsidR="00E014B4" w:rsidRPr="009D77D5">
        <w:rPr>
          <w:kern w:val="22"/>
          <w:szCs w:val="22"/>
          <w:lang w:eastAsia="en-GB"/>
        </w:rPr>
        <w:t xml:space="preserve">respective </w:t>
      </w:r>
      <w:r w:rsidRPr="009D77D5">
        <w:rPr>
          <w:kern w:val="22"/>
          <w:szCs w:val="22"/>
          <w:lang w:eastAsia="en-GB"/>
        </w:rPr>
        <w:t>Protocols</w:t>
      </w:r>
      <w:r w:rsidRPr="009D77D5">
        <w:rPr>
          <w:kern w:val="22"/>
          <w:szCs w:val="22"/>
        </w:rPr>
        <w:t xml:space="preserve"> in reviewing their respective implementation</w:t>
      </w:r>
      <w:r w:rsidR="005655CC">
        <w:rPr>
          <w:kern w:val="22"/>
          <w:szCs w:val="22"/>
        </w:rPr>
        <w:t>;</w:t>
      </w:r>
    </w:p>
    <w:p w14:paraId="7E0C02CF" w14:textId="77777777" w:rsidR="00E00F6D" w:rsidRPr="009D77D5" w:rsidRDefault="00845AF1" w:rsidP="007B12E2">
      <w:pPr>
        <w:shd w:val="clear" w:color="auto" w:fill="FFFFFF"/>
        <w:spacing w:before="120" w:after="120"/>
        <w:ind w:firstLine="709"/>
        <w:rPr>
          <w:kern w:val="22"/>
          <w:szCs w:val="22"/>
        </w:rPr>
      </w:pPr>
      <w:r w:rsidRPr="009D77D5">
        <w:rPr>
          <w:kern w:val="22"/>
          <w:szCs w:val="22"/>
        </w:rPr>
        <w:t>6.</w:t>
      </w:r>
      <w:r w:rsidRPr="009D77D5">
        <w:rPr>
          <w:kern w:val="22"/>
          <w:szCs w:val="22"/>
        </w:rPr>
        <w:tab/>
      </w:r>
      <w:r w:rsidR="00E00F6D" w:rsidRPr="009D77D5">
        <w:rPr>
          <w:kern w:val="22"/>
          <w:szCs w:val="22"/>
        </w:rPr>
        <w:t xml:space="preserve">When the Subsidiary Body on Implementation addresses matters referred to it by the Conference of the Parties serving as the meeting of the Parties to a Protocol, decisions on these matters will be taken only </w:t>
      </w:r>
      <w:r w:rsidR="003556BD" w:rsidRPr="009D77D5">
        <w:rPr>
          <w:kern w:val="22"/>
          <w:szCs w:val="22"/>
        </w:rPr>
        <w:t>by</w:t>
      </w:r>
      <w:r w:rsidR="00E00F6D" w:rsidRPr="009D77D5">
        <w:rPr>
          <w:kern w:val="22"/>
          <w:szCs w:val="22"/>
        </w:rPr>
        <w:t xml:space="preserve"> Parties to the Protocol. However, Parties to the Convention that are not Parties to the Protocols may participate as observers in the proceedings.</w:t>
      </w:r>
    </w:p>
    <w:p w14:paraId="2DD4BE81" w14:textId="77777777" w:rsidR="00E00F6D" w:rsidRPr="009D77D5" w:rsidRDefault="00E00F6D" w:rsidP="00E00F6D">
      <w:pPr>
        <w:shd w:val="clear" w:color="auto" w:fill="FFFFFF"/>
        <w:spacing w:before="120" w:after="120"/>
        <w:jc w:val="center"/>
        <w:rPr>
          <w:kern w:val="22"/>
          <w:szCs w:val="22"/>
        </w:rPr>
      </w:pPr>
      <w:r w:rsidRPr="009D77D5">
        <w:rPr>
          <w:kern w:val="22"/>
          <w:szCs w:val="22"/>
        </w:rPr>
        <w:t>__________</w:t>
      </w:r>
    </w:p>
    <w:p w14:paraId="559D25B7" w14:textId="77777777" w:rsidR="00E00F6D" w:rsidRPr="009D77D5" w:rsidRDefault="00E00F6D" w:rsidP="00E00F6D">
      <w:pPr>
        <w:shd w:val="clear" w:color="auto" w:fill="FFFFFF"/>
        <w:spacing w:before="120" w:after="120"/>
        <w:rPr>
          <w:rFonts w:eastAsia="MS Mincho"/>
          <w:bCs/>
          <w:iCs/>
          <w:kern w:val="22"/>
          <w:szCs w:val="22"/>
        </w:rPr>
      </w:pPr>
    </w:p>
    <w:sectPr w:rsidR="00E00F6D" w:rsidRPr="009D77D5" w:rsidSect="00E00F6D">
      <w:headerReference w:type="even" r:id="rId10"/>
      <w:headerReference w:type="default" r:id="rId11"/>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541A6" w14:textId="77777777" w:rsidR="004B65C4" w:rsidRDefault="004B65C4">
      <w:r>
        <w:separator/>
      </w:r>
    </w:p>
  </w:endnote>
  <w:endnote w:type="continuationSeparator" w:id="0">
    <w:p w14:paraId="03DA78B1" w14:textId="77777777" w:rsidR="004B65C4" w:rsidRDefault="004B6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F2961" w14:textId="77777777" w:rsidR="004B65C4" w:rsidRDefault="004B65C4">
      <w:r>
        <w:separator/>
      </w:r>
    </w:p>
  </w:footnote>
  <w:footnote w:type="continuationSeparator" w:id="0">
    <w:p w14:paraId="622DE767" w14:textId="77777777" w:rsidR="004B65C4" w:rsidRDefault="004B65C4">
      <w:r>
        <w:continuationSeparator/>
      </w:r>
    </w:p>
  </w:footnote>
  <w:footnote w:id="1">
    <w:p w14:paraId="440B95E9" w14:textId="77777777" w:rsidR="00E00F6D" w:rsidRPr="005655CC" w:rsidRDefault="00E00F6D" w:rsidP="005655CC">
      <w:pPr>
        <w:pStyle w:val="FootnoteText"/>
        <w:ind w:firstLine="0"/>
        <w:jc w:val="left"/>
        <w:rPr>
          <w:kern w:val="18"/>
          <w:szCs w:val="18"/>
        </w:rPr>
      </w:pPr>
      <w:r w:rsidRPr="005655CC">
        <w:rPr>
          <w:rStyle w:val="FootnoteReference"/>
          <w:kern w:val="18"/>
          <w:szCs w:val="18"/>
          <w:u w:val="none"/>
          <w:vertAlign w:val="superscript"/>
        </w:rPr>
        <w:footnoteRef/>
      </w:r>
      <w:r w:rsidRPr="005655CC">
        <w:rPr>
          <w:kern w:val="18"/>
          <w:szCs w:val="18"/>
          <w:vertAlign w:val="superscript"/>
        </w:rPr>
        <w:t xml:space="preserve"> </w:t>
      </w:r>
      <w:r w:rsidRPr="005655CC">
        <w:rPr>
          <w:noProof/>
          <w:kern w:val="18"/>
          <w:szCs w:val="18"/>
        </w:rPr>
        <w:t>Decision XII</w:t>
      </w:r>
      <w:r w:rsidR="00F053D3" w:rsidRPr="005655CC">
        <w:rPr>
          <w:noProof/>
          <w:kern w:val="18"/>
          <w:szCs w:val="18"/>
        </w:rPr>
        <w:t>/31</w:t>
      </w:r>
    </w:p>
  </w:footnote>
  <w:footnote w:id="2">
    <w:p w14:paraId="0B82E989" w14:textId="77777777" w:rsidR="00E00F6D" w:rsidRPr="005655CC" w:rsidRDefault="00E00F6D" w:rsidP="005655CC">
      <w:pPr>
        <w:pStyle w:val="FootnoteText"/>
        <w:ind w:firstLine="0"/>
        <w:jc w:val="left"/>
        <w:rPr>
          <w:kern w:val="18"/>
          <w:szCs w:val="18"/>
        </w:rPr>
      </w:pPr>
      <w:r w:rsidRPr="005655CC">
        <w:rPr>
          <w:rStyle w:val="FootnoteReference"/>
          <w:kern w:val="18"/>
          <w:szCs w:val="18"/>
          <w:u w:val="none"/>
          <w:vertAlign w:val="superscript"/>
        </w:rPr>
        <w:footnoteRef/>
      </w:r>
      <w:r w:rsidRPr="005655CC">
        <w:rPr>
          <w:kern w:val="18"/>
          <w:szCs w:val="18"/>
          <w:vertAlign w:val="superscript"/>
        </w:rPr>
        <w:t xml:space="preserve"> </w:t>
      </w:r>
      <w:r w:rsidRPr="005655CC">
        <w:rPr>
          <w:kern w:val="18"/>
          <w:szCs w:val="18"/>
          <w:lang w:eastAsia="en-GB"/>
        </w:rPr>
        <w:t>Annex III to decision VIII/10.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B72" w14:textId="77777777" w:rsidR="00E00F6D" w:rsidRPr="00442F50" w:rsidRDefault="00E00F6D" w:rsidP="00E00F6D">
    <w:pPr>
      <w:pStyle w:val="Header"/>
      <w:jc w:val="left"/>
      <w:rPr>
        <w:noProof/>
        <w:kern w:val="22"/>
      </w:rPr>
    </w:pPr>
    <w:r w:rsidRPr="00442F50">
      <w:rPr>
        <w:noProof/>
        <w:kern w:val="22"/>
      </w:rPr>
      <w:t>UNEP/CBD/COP/</w:t>
    </w:r>
    <w:r w:rsidR="00690742">
      <w:rPr>
        <w:noProof/>
        <w:kern w:val="22"/>
      </w:rPr>
      <w:t>DEC/XII/2</w:t>
    </w:r>
    <w:r w:rsidR="00E014B4">
      <w:rPr>
        <w:noProof/>
        <w:kern w:val="22"/>
      </w:rPr>
      <w:t>6</w:t>
    </w:r>
  </w:p>
  <w:p w14:paraId="777219F0" w14:textId="77777777" w:rsidR="00E00F6D" w:rsidRPr="00442F50" w:rsidRDefault="00E00F6D" w:rsidP="00E00F6D">
    <w:pPr>
      <w:pStyle w:val="Header"/>
      <w:jc w:val="left"/>
      <w:rPr>
        <w:noProof/>
        <w:kern w:val="22"/>
      </w:rPr>
    </w:pPr>
    <w:r w:rsidRPr="00442F50">
      <w:rPr>
        <w:noProof/>
        <w:kern w:val="22"/>
      </w:rPr>
      <w:t xml:space="preserve">Page </w:t>
    </w:r>
    <w:r w:rsidRPr="00442F50">
      <w:rPr>
        <w:noProof/>
        <w:kern w:val="22"/>
      </w:rPr>
      <w:fldChar w:fldCharType="begin"/>
    </w:r>
    <w:r w:rsidRPr="00442F50">
      <w:rPr>
        <w:noProof/>
        <w:kern w:val="22"/>
      </w:rPr>
      <w:instrText xml:space="preserve"> PAGE   \* MERGEFORMAT </w:instrText>
    </w:r>
    <w:r w:rsidRPr="00442F50">
      <w:rPr>
        <w:noProof/>
        <w:kern w:val="22"/>
      </w:rPr>
      <w:fldChar w:fldCharType="separate"/>
    </w:r>
    <w:r w:rsidR="00BE6A52">
      <w:rPr>
        <w:noProof/>
        <w:kern w:val="22"/>
      </w:rPr>
      <w:t>2</w:t>
    </w:r>
    <w:r w:rsidRPr="00442F50">
      <w:rPr>
        <w:noProof/>
        <w:kern w:val="22"/>
      </w:rPr>
      <w:fldChar w:fldCharType="end"/>
    </w:r>
  </w:p>
  <w:p w14:paraId="6F5A111C" w14:textId="77777777" w:rsidR="00E00F6D" w:rsidRPr="00442F50" w:rsidRDefault="00E00F6D" w:rsidP="00E00F6D">
    <w:pPr>
      <w:pStyle w:val="Header"/>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2A94" w14:textId="77777777" w:rsidR="00E00F6D" w:rsidRPr="00442F50" w:rsidRDefault="00E00F6D" w:rsidP="00E00F6D">
    <w:pPr>
      <w:pStyle w:val="Header"/>
      <w:jc w:val="right"/>
      <w:rPr>
        <w:noProof/>
        <w:kern w:val="22"/>
      </w:rPr>
    </w:pPr>
    <w:r w:rsidRPr="00442F50">
      <w:rPr>
        <w:noProof/>
        <w:kern w:val="22"/>
      </w:rPr>
      <w:t>UNEP/CBD/COP/</w:t>
    </w:r>
    <w:r w:rsidR="00690742">
      <w:rPr>
        <w:noProof/>
        <w:kern w:val="22"/>
      </w:rPr>
      <w:t>DEC/XII/2</w:t>
    </w:r>
    <w:r w:rsidR="00E014B4">
      <w:rPr>
        <w:noProof/>
        <w:kern w:val="22"/>
      </w:rPr>
      <w:t>6</w:t>
    </w:r>
  </w:p>
  <w:p w14:paraId="12D43647" w14:textId="77777777" w:rsidR="00E00F6D" w:rsidRPr="00442F50" w:rsidRDefault="00E00F6D" w:rsidP="00E00F6D">
    <w:pPr>
      <w:pStyle w:val="Header"/>
      <w:jc w:val="right"/>
      <w:rPr>
        <w:noProof/>
        <w:kern w:val="22"/>
      </w:rPr>
    </w:pPr>
    <w:r w:rsidRPr="00442F50">
      <w:rPr>
        <w:noProof/>
        <w:kern w:val="22"/>
      </w:rPr>
      <w:t xml:space="preserve">Page </w:t>
    </w:r>
    <w:r w:rsidRPr="00442F50">
      <w:rPr>
        <w:noProof/>
        <w:kern w:val="22"/>
      </w:rPr>
      <w:fldChar w:fldCharType="begin"/>
    </w:r>
    <w:r w:rsidRPr="00442F50">
      <w:rPr>
        <w:noProof/>
        <w:kern w:val="22"/>
      </w:rPr>
      <w:instrText xml:space="preserve"> PAGE   \* MERGEFORMAT </w:instrText>
    </w:r>
    <w:r w:rsidRPr="00442F50">
      <w:rPr>
        <w:noProof/>
        <w:kern w:val="22"/>
      </w:rPr>
      <w:fldChar w:fldCharType="separate"/>
    </w:r>
    <w:r w:rsidR="00BE6A52">
      <w:rPr>
        <w:noProof/>
        <w:kern w:val="22"/>
      </w:rPr>
      <w:t>3</w:t>
    </w:r>
    <w:r w:rsidRPr="00442F50">
      <w:rPr>
        <w:noProof/>
        <w:kern w:val="22"/>
      </w:rPr>
      <w:fldChar w:fldCharType="end"/>
    </w:r>
  </w:p>
  <w:p w14:paraId="7232F258" w14:textId="77777777" w:rsidR="00E00F6D" w:rsidRPr="00442F50" w:rsidRDefault="00E00F6D" w:rsidP="00E00F6D">
    <w:pPr>
      <w:pStyle w:val="Header"/>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4F5"/>
    <w:multiLevelType w:val="multilevel"/>
    <w:tmpl w:val="E37C9FE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69E6536"/>
    <w:multiLevelType w:val="hybridMultilevel"/>
    <w:tmpl w:val="C1847BEA"/>
    <w:lvl w:ilvl="0" w:tplc="18D893FE">
      <w:start w:val="1"/>
      <w:numFmt w:val="lowerLetter"/>
      <w:lvlText w:val="(%1)"/>
      <w:lvlJc w:val="left"/>
      <w:pPr>
        <w:ind w:left="180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D001D"/>
    <w:multiLevelType w:val="hybridMultilevel"/>
    <w:tmpl w:val="95C63236"/>
    <w:lvl w:ilvl="0" w:tplc="18D893FE">
      <w:start w:val="1"/>
      <w:numFmt w:val="lowerLetter"/>
      <w:lvlText w:val="(%1)"/>
      <w:lvlJc w:val="left"/>
      <w:pPr>
        <w:ind w:left="180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rPr>
        <w:rFonts w:hint="default"/>
      </w:rPr>
    </w:lvl>
    <w:lvl w:ilvl="3" w:tplc="C050751E">
      <w:start w:val="1"/>
      <w:numFmt w:val="decimal"/>
      <w:lvlText w:val="%4."/>
      <w:lvlJc w:val="left"/>
      <w:pPr>
        <w:ind w:left="2880" w:hanging="360"/>
      </w:pPr>
      <w:rPr>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E95716"/>
    <w:multiLevelType w:val="hybridMultilevel"/>
    <w:tmpl w:val="06AAE950"/>
    <w:lvl w:ilvl="0" w:tplc="5CC8BCEC">
      <w:start w:val="1"/>
      <w:numFmt w:val="upperLetter"/>
      <w:lvlText w:val="%1."/>
      <w:lvlJc w:val="left"/>
      <w:pPr>
        <w:ind w:left="916" w:hanging="360"/>
      </w:pPr>
      <w:rPr>
        <w:rFonts w:hint="default"/>
        <w:i/>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5" w15:restartNumberingAfterBreak="0">
    <w:nsid w:val="2DEC0292"/>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Wingdings"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Wingdings"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0DC1DF4"/>
    <w:multiLevelType w:val="hybridMultilevel"/>
    <w:tmpl w:val="0EEE0F62"/>
    <w:lvl w:ilvl="0" w:tplc="DBEEB7E2">
      <w:start w:val="1"/>
      <w:numFmt w:val="lowerLetter"/>
      <w:lvlText w:val="(%1)"/>
      <w:lvlJc w:val="left"/>
      <w:pPr>
        <w:ind w:left="2520" w:hanging="360"/>
      </w:pPr>
      <w:rPr>
        <w:rFonts w:ascii="Times New Roman" w:eastAsia="Times New Roman" w:hAnsi="Times New Roman" w:cs="Times New Roman"/>
      </w:rPr>
    </w:lvl>
    <w:lvl w:ilvl="1" w:tplc="04090003">
      <w:start w:val="1"/>
      <w:numFmt w:val="bullet"/>
      <w:lvlText w:val="o"/>
      <w:lvlJc w:val="left"/>
      <w:pPr>
        <w:ind w:left="3240" w:hanging="360"/>
      </w:pPr>
      <w:rPr>
        <w:rFonts w:ascii="Courier New" w:hAnsi="Courier New" w:cs="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Wingdings"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Wingdings"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0" w15:restartNumberingAfterBreak="0">
    <w:nsid w:val="3B63151D"/>
    <w:multiLevelType w:val="hybridMultilevel"/>
    <w:tmpl w:val="322AFA06"/>
    <w:lvl w:ilvl="0" w:tplc="7B1A0C24">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2"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B0D3942"/>
    <w:multiLevelType w:val="hybridMultilevel"/>
    <w:tmpl w:val="1DF001C0"/>
    <w:lvl w:ilvl="0" w:tplc="0409000F">
      <w:start w:val="1"/>
      <w:numFmt w:val="decimal"/>
      <w:lvlText w:val="%1."/>
      <w:lvlJc w:val="left"/>
      <w:pPr>
        <w:ind w:left="720" w:hanging="360"/>
      </w:pPr>
    </w:lvl>
    <w:lvl w:ilvl="1" w:tplc="C6C0490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22"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23" w15:restartNumberingAfterBreak="0">
    <w:nsid w:val="7E8A3A29"/>
    <w:multiLevelType w:val="hybridMultilevel"/>
    <w:tmpl w:val="58926CA6"/>
    <w:lvl w:ilvl="0" w:tplc="5FD6165E">
      <w:start w:val="9"/>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787625048">
    <w:abstractNumId w:val="11"/>
  </w:num>
  <w:num w:numId="2" w16cid:durableId="1153334137">
    <w:abstractNumId w:val="9"/>
  </w:num>
  <w:num w:numId="3" w16cid:durableId="816729671">
    <w:abstractNumId w:val="6"/>
  </w:num>
  <w:num w:numId="4" w16cid:durableId="964388414">
    <w:abstractNumId w:val="13"/>
  </w:num>
  <w:num w:numId="5" w16cid:durableId="660498513">
    <w:abstractNumId w:val="14"/>
  </w:num>
  <w:num w:numId="6" w16cid:durableId="1055154300">
    <w:abstractNumId w:val="16"/>
  </w:num>
  <w:num w:numId="7" w16cid:durableId="904872296">
    <w:abstractNumId w:val="21"/>
  </w:num>
  <w:num w:numId="8" w16cid:durableId="1674868079">
    <w:abstractNumId w:val="15"/>
  </w:num>
  <w:num w:numId="9" w16cid:durableId="52196071">
    <w:abstractNumId w:val="1"/>
  </w:num>
  <w:num w:numId="10" w16cid:durableId="1689520543">
    <w:abstractNumId w:val="6"/>
  </w:num>
  <w:num w:numId="11" w16cid:durableId="1052994990">
    <w:abstractNumId w:val="20"/>
  </w:num>
  <w:num w:numId="12" w16cid:durableId="2085293542">
    <w:abstractNumId w:val="16"/>
  </w:num>
  <w:num w:numId="13" w16cid:durableId="1914316088">
    <w:abstractNumId w:val="17"/>
  </w:num>
  <w:num w:numId="14" w16cid:durableId="566384088">
    <w:abstractNumId w:val="9"/>
  </w:num>
  <w:num w:numId="15" w16cid:durableId="21906048">
    <w:abstractNumId w:val="16"/>
  </w:num>
  <w:num w:numId="16" w16cid:durableId="1474642549">
    <w:abstractNumId w:val="14"/>
  </w:num>
  <w:num w:numId="17" w16cid:durableId="1306618741">
    <w:abstractNumId w:val="11"/>
  </w:num>
  <w:num w:numId="18" w16cid:durableId="863329079">
    <w:abstractNumId w:val="22"/>
  </w:num>
  <w:num w:numId="19" w16cid:durableId="121195771">
    <w:abstractNumId w:val="12"/>
  </w:num>
  <w:num w:numId="20" w16cid:durableId="2899790">
    <w:abstractNumId w:val="16"/>
  </w:num>
  <w:num w:numId="21" w16cid:durableId="1222593923">
    <w:abstractNumId w:val="16"/>
  </w:num>
  <w:num w:numId="22" w16cid:durableId="1788507085">
    <w:abstractNumId w:val="16"/>
  </w:num>
  <w:num w:numId="23" w16cid:durableId="1531065231">
    <w:abstractNumId w:val="16"/>
  </w:num>
  <w:num w:numId="24" w16cid:durableId="657660119">
    <w:abstractNumId w:val="1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9830603">
    <w:abstractNumId w:val="10"/>
  </w:num>
  <w:num w:numId="26" w16cid:durableId="296032241">
    <w:abstractNumId w:val="0"/>
  </w:num>
  <w:num w:numId="27" w16cid:durableId="630864456">
    <w:abstractNumId w:val="3"/>
  </w:num>
  <w:num w:numId="28" w16cid:durableId="443770802">
    <w:abstractNumId w:val="2"/>
  </w:num>
  <w:num w:numId="29" w16cid:durableId="1442453439">
    <w:abstractNumId w:val="8"/>
  </w:num>
  <w:num w:numId="30" w16cid:durableId="854543152">
    <w:abstractNumId w:val="5"/>
  </w:num>
  <w:num w:numId="31" w16cid:durableId="1060595763">
    <w:abstractNumId w:val="4"/>
  </w:num>
  <w:num w:numId="32" w16cid:durableId="687416488">
    <w:abstractNumId w:val="18"/>
  </w:num>
  <w:num w:numId="33" w16cid:durableId="1861889984">
    <w:abstractNumId w:val="23"/>
  </w:num>
  <w:num w:numId="34" w16cid:durableId="152066023">
    <w:abstractNumId w:val="7"/>
  </w:num>
  <w:num w:numId="35" w16cid:durableId="39134546">
    <w:abstractNumId w:val="6"/>
  </w:num>
  <w:num w:numId="36" w16cid:durableId="1859730709">
    <w:abstractNumId w:val="16"/>
  </w:num>
  <w:num w:numId="37" w16cid:durableId="22639169">
    <w:abstractNumId w:val="13"/>
  </w:num>
  <w:num w:numId="38" w16cid:durableId="2047213715">
    <w:abstractNumId w:val="16"/>
  </w:num>
  <w:num w:numId="39" w16cid:durableId="11004936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1B5098"/>
    <w:rsid w:val="003556BD"/>
    <w:rsid w:val="00493CE9"/>
    <w:rsid w:val="004B65C4"/>
    <w:rsid w:val="005655CC"/>
    <w:rsid w:val="00566CD8"/>
    <w:rsid w:val="005C6DC9"/>
    <w:rsid w:val="005D6DB3"/>
    <w:rsid w:val="00690742"/>
    <w:rsid w:val="007B12E2"/>
    <w:rsid w:val="00845AF1"/>
    <w:rsid w:val="00854624"/>
    <w:rsid w:val="008D2B83"/>
    <w:rsid w:val="008D37C4"/>
    <w:rsid w:val="00932610"/>
    <w:rsid w:val="009D77D5"/>
    <w:rsid w:val="009E320E"/>
    <w:rsid w:val="009E56B8"/>
    <w:rsid w:val="00BE6A52"/>
    <w:rsid w:val="00DA5F92"/>
    <w:rsid w:val="00DE5E74"/>
    <w:rsid w:val="00E00F6D"/>
    <w:rsid w:val="00E014B4"/>
    <w:rsid w:val="00F053D3"/>
    <w:rsid w:val="00F23D62"/>
    <w:rsid w:val="00F46515"/>
    <w:rsid w:val="00F72044"/>
    <w:rsid w:val="00FA1D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5181F8"/>
  <w15:chartTrackingRefBased/>
  <w15:docId w15:val="{925DFBF7-809E-C54C-9A4D-863BAEA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0742"/>
    <w:pPr>
      <w:jc w:val="both"/>
    </w:pPr>
    <w:rPr>
      <w:sz w:val="22"/>
      <w:szCs w:val="24"/>
      <w:lang w:val="en-GB"/>
    </w:rPr>
  </w:style>
  <w:style w:type="paragraph" w:styleId="Heading1">
    <w:name w:val="heading 1"/>
    <w:basedOn w:val="Normal"/>
    <w:next w:val="Heading2"/>
    <w:qFormat/>
    <w:rsid w:val="00690742"/>
    <w:pPr>
      <w:keepNext/>
      <w:tabs>
        <w:tab w:val="left" w:pos="720"/>
      </w:tabs>
      <w:spacing w:before="240" w:after="120"/>
      <w:jc w:val="center"/>
      <w:outlineLvl w:val="0"/>
    </w:pPr>
    <w:rPr>
      <w:b/>
      <w:caps/>
    </w:rPr>
  </w:style>
  <w:style w:type="paragraph" w:styleId="Heading2">
    <w:name w:val="heading 2"/>
    <w:basedOn w:val="Normal"/>
    <w:next w:val="Normal"/>
    <w:qFormat/>
    <w:rsid w:val="00690742"/>
    <w:pPr>
      <w:keepNext/>
      <w:tabs>
        <w:tab w:val="left" w:pos="720"/>
      </w:tabs>
      <w:spacing w:before="120" w:after="120"/>
      <w:jc w:val="center"/>
      <w:outlineLvl w:val="1"/>
    </w:pPr>
    <w:rPr>
      <w:b/>
      <w:bCs/>
      <w:i/>
      <w:iCs/>
    </w:rPr>
  </w:style>
  <w:style w:type="paragraph" w:styleId="Heading3">
    <w:name w:val="heading 3"/>
    <w:basedOn w:val="Normal"/>
    <w:next w:val="Normal"/>
    <w:qFormat/>
    <w:rsid w:val="00690742"/>
    <w:pPr>
      <w:keepNext/>
      <w:tabs>
        <w:tab w:val="left" w:pos="567"/>
      </w:tabs>
      <w:spacing w:before="120" w:after="120"/>
      <w:jc w:val="center"/>
      <w:outlineLvl w:val="2"/>
    </w:pPr>
    <w:rPr>
      <w:i/>
      <w:iCs/>
    </w:rPr>
  </w:style>
  <w:style w:type="paragraph" w:styleId="Heading4">
    <w:name w:val="heading 4"/>
    <w:basedOn w:val="Normal"/>
    <w:qFormat/>
    <w:rsid w:val="00690742"/>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690742"/>
    <w:pPr>
      <w:keepNext/>
      <w:numPr>
        <w:ilvl w:val="4"/>
        <w:numId w:val="35"/>
      </w:numPr>
      <w:spacing w:before="120" w:after="120"/>
      <w:jc w:val="left"/>
      <w:outlineLvl w:val="4"/>
    </w:pPr>
    <w:rPr>
      <w:bCs/>
      <w:i/>
      <w:szCs w:val="26"/>
      <w:lang w:val="en-CA"/>
    </w:rPr>
  </w:style>
  <w:style w:type="paragraph" w:styleId="Heading6">
    <w:name w:val="heading 6"/>
    <w:basedOn w:val="Normal"/>
    <w:next w:val="Normal"/>
    <w:qFormat/>
    <w:rsid w:val="00690742"/>
    <w:pPr>
      <w:keepNext/>
      <w:spacing w:after="240" w:line="240" w:lineRule="exact"/>
      <w:ind w:left="720"/>
      <w:outlineLvl w:val="5"/>
    </w:pPr>
    <w:rPr>
      <w:u w:val="single"/>
    </w:rPr>
  </w:style>
  <w:style w:type="paragraph" w:styleId="Heading7">
    <w:name w:val="heading 7"/>
    <w:basedOn w:val="Normal"/>
    <w:next w:val="Normal"/>
    <w:rsid w:val="00690742"/>
    <w:pPr>
      <w:keepNext/>
      <w:jc w:val="right"/>
      <w:outlineLvl w:val="6"/>
    </w:pPr>
    <w:rPr>
      <w:rFonts w:ascii="Univers" w:hAnsi="Univers"/>
      <w:b/>
      <w:sz w:val="28"/>
    </w:rPr>
  </w:style>
  <w:style w:type="paragraph" w:styleId="Heading8">
    <w:name w:val="heading 8"/>
    <w:basedOn w:val="Normal"/>
    <w:next w:val="Normal"/>
    <w:qFormat/>
    <w:rsid w:val="00690742"/>
    <w:pPr>
      <w:keepNext/>
      <w:jc w:val="right"/>
      <w:outlineLvl w:val="7"/>
    </w:pPr>
    <w:rPr>
      <w:rFonts w:ascii="Univers" w:hAnsi="Univers"/>
      <w:b/>
      <w:sz w:val="32"/>
    </w:rPr>
  </w:style>
  <w:style w:type="paragraph" w:styleId="Heading9">
    <w:name w:val="heading 9"/>
    <w:basedOn w:val="Normal"/>
    <w:next w:val="Normal"/>
    <w:rsid w:val="00690742"/>
    <w:pPr>
      <w:keepNext/>
      <w:spacing w:before="100" w:beforeAutospacing="1" w:after="120"/>
      <w:outlineLvl w:val="8"/>
    </w:pPr>
    <w:rPr>
      <w:i/>
      <w:iCs/>
    </w:rPr>
  </w:style>
  <w:style w:type="character" w:default="1" w:styleId="DefaultParagraphFont">
    <w:name w:val="Default Paragraph Font"/>
    <w:rsid w:val="00690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690742"/>
  </w:style>
  <w:style w:type="paragraph" w:styleId="BodyText">
    <w:name w:val="Body Text"/>
    <w:basedOn w:val="Normal"/>
    <w:rsid w:val="00690742"/>
    <w:pPr>
      <w:spacing w:before="120" w:after="120"/>
      <w:ind w:firstLine="720"/>
    </w:pPr>
    <w:rPr>
      <w:iCs/>
    </w:rPr>
  </w:style>
  <w:style w:type="paragraph" w:styleId="Footer">
    <w:name w:val="footer"/>
    <w:basedOn w:val="Normal"/>
    <w:link w:val="FooterChar"/>
    <w:rsid w:val="00690742"/>
    <w:pPr>
      <w:tabs>
        <w:tab w:val="center" w:pos="4320"/>
        <w:tab w:val="right" w:pos="8640"/>
      </w:tabs>
      <w:ind w:firstLine="720"/>
      <w:jc w:val="right"/>
    </w:pPr>
  </w:style>
  <w:style w:type="paragraph" w:customStyle="1" w:styleId="Para1">
    <w:name w:val="Para1"/>
    <w:basedOn w:val="Normal"/>
    <w:rsid w:val="00690742"/>
    <w:pPr>
      <w:numPr>
        <w:numId w:val="38"/>
      </w:numPr>
      <w:spacing w:before="120" w:after="120"/>
    </w:pPr>
    <w:rPr>
      <w:snapToGrid w:val="0"/>
      <w:szCs w:val="18"/>
    </w:rPr>
  </w:style>
  <w:style w:type="paragraph" w:customStyle="1" w:styleId="Para20">
    <w:name w:val="Para2"/>
    <w:basedOn w:val="Para1"/>
    <w:rsid w:val="00690742"/>
    <w:pPr>
      <w:numPr>
        <w:numId w:val="0"/>
      </w:numPr>
      <w:autoSpaceDE w:val="0"/>
      <w:autoSpaceDN w:val="0"/>
    </w:pPr>
  </w:style>
  <w:style w:type="paragraph" w:customStyle="1" w:styleId="Para3">
    <w:name w:val="Para3"/>
    <w:basedOn w:val="Normal"/>
    <w:rsid w:val="00690742"/>
    <w:pPr>
      <w:numPr>
        <w:ilvl w:val="3"/>
        <w:numId w:val="39"/>
      </w:numPr>
      <w:tabs>
        <w:tab w:val="left" w:pos="1980"/>
      </w:tabs>
      <w:spacing w:before="80" w:after="80"/>
    </w:pPr>
    <w:rPr>
      <w:szCs w:val="20"/>
    </w:rPr>
  </w:style>
  <w:style w:type="paragraph" w:styleId="FootnoteText">
    <w:name w:val="footnote text"/>
    <w:basedOn w:val="Normal"/>
    <w:link w:val="FootnoteTextChar"/>
    <w:rsid w:val="00690742"/>
    <w:pPr>
      <w:keepLines/>
      <w:spacing w:after="60"/>
      <w:ind w:firstLine="720"/>
    </w:pPr>
    <w:rPr>
      <w:sz w:val="18"/>
    </w:rPr>
  </w:style>
  <w:style w:type="character" w:styleId="FootnoteReference">
    <w:name w:val="footnote reference"/>
    <w:rsid w:val="00690742"/>
    <w:rPr>
      <w:sz w:val="18"/>
      <w:u w:val="single"/>
      <w:vertAlign w:val="baseline"/>
    </w:rPr>
  </w:style>
  <w:style w:type="paragraph" w:customStyle="1" w:styleId="Cornernotation">
    <w:name w:val="Corner notation"/>
    <w:basedOn w:val="Normal"/>
    <w:rsid w:val="00690742"/>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690742"/>
    <w:pPr>
      <w:widowControl w:val="0"/>
      <w:tabs>
        <w:tab w:val="left" w:pos="-720"/>
      </w:tabs>
      <w:suppressAutoHyphens/>
    </w:pPr>
    <w:rPr>
      <w:rFonts w:ascii="Courier New" w:hAnsi="Courier New"/>
    </w:rPr>
  </w:style>
  <w:style w:type="character" w:styleId="EndnoteReference">
    <w:name w:val="endnote reference"/>
    <w:semiHidden/>
    <w:rsid w:val="00690742"/>
    <w:rPr>
      <w:vertAlign w:val="superscript"/>
    </w:rPr>
  </w:style>
  <w:style w:type="character" w:styleId="PageNumber">
    <w:name w:val="page number"/>
    <w:rsid w:val="00690742"/>
    <w:rPr>
      <w:rFonts w:ascii="Times New Roman" w:hAnsi="Times New Roman"/>
      <w:sz w:val="22"/>
    </w:rPr>
  </w:style>
  <w:style w:type="paragraph" w:customStyle="1" w:styleId="para4">
    <w:name w:val="para4"/>
    <w:basedOn w:val="Normal"/>
    <w:rsid w:val="00690742"/>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690742"/>
    <w:pPr>
      <w:ind w:left="1843" w:right="996" w:hanging="567"/>
      <w:jc w:val="left"/>
    </w:pPr>
  </w:style>
  <w:style w:type="paragraph" w:customStyle="1" w:styleId="Heading2multiline">
    <w:name w:val="Heading 2 (multiline)"/>
    <w:basedOn w:val="Heading1"/>
    <w:next w:val="Para1"/>
    <w:rsid w:val="00690742"/>
    <w:pPr>
      <w:spacing w:before="120"/>
      <w:ind w:left="1843" w:right="998" w:hanging="567"/>
      <w:jc w:val="left"/>
    </w:pPr>
    <w:rPr>
      <w:i/>
      <w:iCs/>
      <w:caps w:val="0"/>
    </w:rPr>
  </w:style>
  <w:style w:type="paragraph" w:customStyle="1" w:styleId="Heading3multiline">
    <w:name w:val="Heading 3 (multiline)"/>
    <w:basedOn w:val="Heading3"/>
    <w:next w:val="Para1"/>
    <w:rsid w:val="00690742"/>
    <w:pPr>
      <w:ind w:left="1418" w:hanging="425"/>
      <w:jc w:val="left"/>
    </w:pPr>
  </w:style>
  <w:style w:type="paragraph" w:customStyle="1" w:styleId="Heading2longmultiline">
    <w:name w:val="Heading 2 (long multiline)"/>
    <w:basedOn w:val="Heading2multiline"/>
    <w:rsid w:val="00690742"/>
    <w:pPr>
      <w:ind w:left="2127" w:hanging="1276"/>
    </w:pPr>
  </w:style>
  <w:style w:type="paragraph" w:customStyle="1" w:styleId="Heading1longmultiline">
    <w:name w:val="Heading 1 (long multiline)"/>
    <w:basedOn w:val="Heading1"/>
    <w:rsid w:val="00690742"/>
    <w:pPr>
      <w:ind w:left="1843" w:hanging="1134"/>
      <w:jc w:val="left"/>
    </w:pPr>
  </w:style>
  <w:style w:type="paragraph" w:styleId="BodyTextIndent">
    <w:name w:val="Body Text Indent"/>
    <w:basedOn w:val="Normal"/>
    <w:rsid w:val="00690742"/>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690742"/>
    <w:pPr>
      <w:ind w:left="720" w:hanging="720"/>
    </w:pPr>
    <w:rPr>
      <w:caps/>
    </w:rPr>
  </w:style>
  <w:style w:type="paragraph" w:styleId="TOC2">
    <w:name w:val="toc 2"/>
    <w:basedOn w:val="Normal"/>
    <w:next w:val="Normal"/>
    <w:autoRedefine/>
    <w:semiHidden/>
    <w:rsid w:val="00690742"/>
    <w:pPr>
      <w:tabs>
        <w:tab w:val="right" w:leader="dot" w:pos="9356"/>
      </w:tabs>
      <w:ind w:left="1440" w:hanging="720"/>
    </w:pPr>
    <w:rPr>
      <w:noProof/>
      <w:szCs w:val="22"/>
    </w:rPr>
  </w:style>
  <w:style w:type="paragraph" w:styleId="TOC3">
    <w:name w:val="toc 3"/>
    <w:basedOn w:val="Normal"/>
    <w:next w:val="Normal"/>
    <w:autoRedefine/>
    <w:semiHidden/>
    <w:rsid w:val="00690742"/>
    <w:pPr>
      <w:ind w:left="2160" w:hanging="720"/>
    </w:pPr>
  </w:style>
  <w:style w:type="paragraph" w:styleId="Header">
    <w:name w:val="header"/>
    <w:basedOn w:val="Normal"/>
    <w:link w:val="HeaderChar"/>
    <w:rsid w:val="00690742"/>
    <w:pPr>
      <w:tabs>
        <w:tab w:val="center" w:pos="4320"/>
        <w:tab w:val="right" w:pos="8640"/>
      </w:tabs>
    </w:pPr>
  </w:style>
  <w:style w:type="paragraph" w:customStyle="1" w:styleId="HEADINGNOTFORTOC">
    <w:name w:val="HEADING (NOT FOR TOC)"/>
    <w:basedOn w:val="Heading1"/>
    <w:next w:val="Heading2"/>
    <w:rsid w:val="00690742"/>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690742"/>
    <w:rPr>
      <w:color w:val="800080"/>
      <w:u w:val="single"/>
    </w:rPr>
  </w:style>
  <w:style w:type="paragraph" w:customStyle="1" w:styleId="HEADING">
    <w:name w:val="HEADING"/>
    <w:basedOn w:val="Normal"/>
    <w:rsid w:val="00690742"/>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690742"/>
    <w:pPr>
      <w:spacing w:before="120" w:after="120"/>
      <w:ind w:left="880"/>
      <w:jc w:val="left"/>
    </w:pPr>
  </w:style>
  <w:style w:type="character" w:styleId="CommentReference">
    <w:name w:val="annotation reference"/>
    <w:rsid w:val="00690742"/>
    <w:rPr>
      <w:sz w:val="16"/>
    </w:rPr>
  </w:style>
  <w:style w:type="paragraph" w:styleId="CommentText">
    <w:name w:val="annotation text"/>
    <w:basedOn w:val="Normal"/>
    <w:link w:val="CommentTextChar"/>
    <w:rsid w:val="00690742"/>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BD060E"/>
    <w:rPr>
      <w:sz w:val="18"/>
      <w:szCs w:val="24"/>
      <w:lang w:val="en-GB"/>
    </w:rPr>
  </w:style>
  <w:style w:type="paragraph" w:styleId="LightGrid-Accent3">
    <w:name w:val="Light Grid Accent 3"/>
    <w:basedOn w:val="Normal"/>
    <w:uiPriority w:val="34"/>
    <w:qFormat/>
    <w:rsid w:val="00BD060E"/>
    <w:pPr>
      <w:ind w:left="720"/>
      <w:contextualSpacing/>
    </w:pPr>
  </w:style>
  <w:style w:type="character" w:customStyle="1" w:styleId="CommentTextChar1">
    <w:name w:val="Comment Text Char1"/>
    <w:semiHidden/>
    <w:locked/>
    <w:rsid w:val="005900BF"/>
    <w:rPr>
      <w:rFonts w:cs="Times New Roman"/>
      <w:lang w:val="fr-BE" w:eastAsia="fr-FR"/>
    </w:rPr>
  </w:style>
  <w:style w:type="paragraph" w:styleId="CommentSubject">
    <w:name w:val="annotation subject"/>
    <w:basedOn w:val="CommentText"/>
    <w:next w:val="CommentText"/>
    <w:link w:val="CommentSubjectChar"/>
    <w:rsid w:val="005900BF"/>
    <w:rPr>
      <w:b/>
      <w:bCs/>
    </w:rPr>
  </w:style>
  <w:style w:type="character" w:customStyle="1" w:styleId="CommentSubjectChar">
    <w:name w:val="Comment Subject Char"/>
    <w:link w:val="CommentSubject"/>
    <w:rsid w:val="005900BF"/>
    <w:rPr>
      <w:rFonts w:cs="Angsana New"/>
      <w:b/>
      <w:bCs/>
      <w:lang w:val="en-GB"/>
    </w:rPr>
  </w:style>
  <w:style w:type="paragraph" w:styleId="LightList-Accent3">
    <w:name w:val="Light List Accent 3"/>
    <w:hidden/>
    <w:uiPriority w:val="99"/>
    <w:semiHidden/>
    <w:rsid w:val="00267CDF"/>
    <w:rPr>
      <w:rFonts w:cs="Angsana New"/>
      <w:sz w:val="22"/>
      <w:szCs w:val="24"/>
      <w:lang w:val="en-GB"/>
    </w:rPr>
  </w:style>
  <w:style w:type="character" w:customStyle="1" w:styleId="FooterChar">
    <w:name w:val="Footer Char"/>
    <w:link w:val="Footer"/>
    <w:rsid w:val="003370BD"/>
    <w:rPr>
      <w:sz w:val="22"/>
      <w:szCs w:val="24"/>
      <w:lang w:val="en-GB"/>
    </w:rPr>
  </w:style>
  <w:style w:type="character" w:customStyle="1" w:styleId="HeaderChar">
    <w:name w:val="Header Char"/>
    <w:link w:val="Header"/>
    <w:rsid w:val="002C547D"/>
    <w:rPr>
      <w:sz w:val="22"/>
      <w:szCs w:val="24"/>
      <w:lang w:val="en-GB"/>
    </w:rPr>
  </w:style>
  <w:style w:type="paragraph" w:customStyle="1" w:styleId="heading2notforTOC">
    <w:name w:val="heading 2 not for TOC"/>
    <w:basedOn w:val="Heading3"/>
    <w:rsid w:val="00690742"/>
  </w:style>
  <w:style w:type="paragraph" w:customStyle="1" w:styleId="Heading4indent">
    <w:name w:val="Heading 4 indent"/>
    <w:basedOn w:val="Heading4"/>
    <w:rsid w:val="00690742"/>
    <w:pPr>
      <w:ind w:left="720"/>
      <w:outlineLvl w:val="9"/>
    </w:pPr>
    <w:rPr>
      <w:rFonts w:ascii="Times New Roman" w:hAnsi="Times New Roman"/>
    </w:rPr>
  </w:style>
  <w:style w:type="paragraph" w:customStyle="1" w:styleId="Para-decision">
    <w:name w:val="Para-decision"/>
    <w:basedOn w:val="Normal"/>
    <w:rsid w:val="0069074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690742"/>
    <w:pPr>
      <w:spacing w:before="120" w:after="120"/>
      <w:ind w:left="720" w:right="720"/>
    </w:pPr>
    <w:rPr>
      <w:bCs/>
    </w:rPr>
  </w:style>
  <w:style w:type="paragraph" w:customStyle="1" w:styleId="recommendationheader">
    <w:name w:val="recommendation header"/>
    <w:basedOn w:val="Heading2"/>
    <w:qFormat/>
    <w:rsid w:val="00690742"/>
  </w:style>
  <w:style w:type="paragraph" w:customStyle="1" w:styleId="recommendationheaderlong">
    <w:name w:val="recommendation header long"/>
    <w:basedOn w:val="Heading2longmultiline"/>
    <w:qFormat/>
    <w:rsid w:val="00690742"/>
  </w:style>
  <w:style w:type="paragraph" w:customStyle="1" w:styleId="reference">
    <w:name w:val="reference"/>
    <w:basedOn w:val="Heading9"/>
    <w:qFormat/>
    <w:rsid w:val="00690742"/>
    <w:rPr>
      <w:i w:val="0"/>
      <w:sz w:val="18"/>
    </w:rPr>
  </w:style>
  <w:style w:type="character" w:customStyle="1" w:styleId="StyleFootnoteReferenceNounderline">
    <w:name w:val="Style Footnote Reference + No underline"/>
    <w:rsid w:val="00690742"/>
    <w:rPr>
      <w:sz w:val="18"/>
      <w:u w:val="none"/>
      <w:vertAlign w:val="baseline"/>
    </w:rPr>
  </w:style>
  <w:style w:type="paragraph" w:customStyle="1" w:styleId="tabletitle">
    <w:name w:val="table title"/>
    <w:basedOn w:val="Heading2"/>
    <w:qFormat/>
    <w:rsid w:val="00690742"/>
    <w:pPr>
      <w:jc w:val="left"/>
      <w:outlineLvl w:val="9"/>
    </w:pPr>
  </w:style>
  <w:style w:type="paragraph" w:styleId="TOAHeading">
    <w:name w:val="toa heading"/>
    <w:basedOn w:val="Normal"/>
    <w:next w:val="Normal"/>
    <w:rsid w:val="00690742"/>
    <w:pPr>
      <w:spacing w:before="120"/>
    </w:pPr>
    <w:rPr>
      <w:rFonts w:cs="Arial"/>
      <w:b/>
      <w:bCs/>
      <w:sz w:val="24"/>
    </w:rPr>
  </w:style>
  <w:style w:type="paragraph" w:styleId="TOC4">
    <w:name w:val="toc 4"/>
    <w:basedOn w:val="Normal"/>
    <w:next w:val="Normal"/>
    <w:autoRedefine/>
    <w:rsid w:val="00690742"/>
    <w:pPr>
      <w:spacing w:before="120" w:after="120"/>
      <w:ind w:left="660"/>
      <w:jc w:val="left"/>
    </w:pPr>
  </w:style>
  <w:style w:type="paragraph" w:styleId="TOC6">
    <w:name w:val="toc 6"/>
    <w:basedOn w:val="Normal"/>
    <w:next w:val="Normal"/>
    <w:autoRedefine/>
    <w:rsid w:val="00690742"/>
    <w:pPr>
      <w:spacing w:before="120" w:after="120"/>
      <w:ind w:left="1100"/>
      <w:jc w:val="left"/>
    </w:pPr>
  </w:style>
  <w:style w:type="paragraph" w:styleId="TOC7">
    <w:name w:val="toc 7"/>
    <w:basedOn w:val="Normal"/>
    <w:next w:val="Normal"/>
    <w:autoRedefine/>
    <w:rsid w:val="00690742"/>
    <w:pPr>
      <w:spacing w:before="120" w:after="120"/>
      <w:ind w:left="1320"/>
      <w:jc w:val="left"/>
    </w:pPr>
  </w:style>
  <w:style w:type="paragraph" w:styleId="TOC8">
    <w:name w:val="toc 8"/>
    <w:basedOn w:val="Normal"/>
    <w:next w:val="Normal"/>
    <w:autoRedefine/>
    <w:rsid w:val="00690742"/>
    <w:pPr>
      <w:spacing w:before="120" w:after="120"/>
      <w:ind w:left="1540"/>
      <w:jc w:val="left"/>
    </w:pPr>
  </w:style>
  <w:style w:type="paragraph" w:styleId="TOC9">
    <w:name w:val="toc 9"/>
    <w:basedOn w:val="Normal"/>
    <w:next w:val="Normal"/>
    <w:autoRedefine/>
    <w:rsid w:val="00690742"/>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2014-10-11T19:26:00Z</cp:lastPrinted>
  <dcterms:created xsi:type="dcterms:W3CDTF">2025-11-13T14:40:00Z</dcterms:created>
  <dcterms:modified xsi:type="dcterms:W3CDTF">2025-11-13T14:40:00Z</dcterms:modified>
</cp:coreProperties>
</file>