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50746378" w14:textId="77777777">
        <w:tblPrEx>
          <w:tblCellMar>
            <w:top w:w="0" w:type="dxa"/>
            <w:bottom w:w="0" w:type="dxa"/>
          </w:tblCellMar>
        </w:tblPrEx>
        <w:trPr>
          <w:gridBefore w:val="1"/>
          <w:wBefore w:w="16" w:type="dxa"/>
        </w:trPr>
        <w:tc>
          <w:tcPr>
            <w:tcW w:w="1326" w:type="dxa"/>
            <w:tcBorders>
              <w:bottom w:val="single" w:sz="12" w:space="0" w:color="000000"/>
            </w:tcBorders>
          </w:tcPr>
          <w:p w14:paraId="75D6946D" w14:textId="77777777" w:rsidR="00897705" w:rsidRDefault="008944E0">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215468BC" wp14:editId="1FEAA394">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4408FE14" w14:textId="77777777" w:rsidR="00897705" w:rsidRDefault="008944E0">
            <w:r>
              <w:rPr>
                <w:noProof/>
                <w:sz w:val="20"/>
              </w:rPr>
              <w:drawing>
                <wp:anchor distT="0" distB="0" distL="114300" distR="114300" simplePos="0" relativeHeight="251657216" behindDoc="0" locked="1" layoutInCell="1" allowOverlap="0" wp14:anchorId="1E6D45A1" wp14:editId="0612F26B">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28080F12" w14:textId="77777777" w:rsidR="00897705" w:rsidRPr="00D56F36" w:rsidRDefault="00897705">
            <w:pPr>
              <w:jc w:val="right"/>
              <w:rPr>
                <w:rFonts w:ascii="Univers" w:hAnsi="Univers"/>
                <w:b/>
                <w:sz w:val="32"/>
              </w:rPr>
            </w:pPr>
            <w:r w:rsidRPr="00D56F36">
              <w:rPr>
                <w:rFonts w:ascii="Univers" w:hAnsi="Univers"/>
                <w:b/>
                <w:sz w:val="32"/>
              </w:rPr>
              <w:t>CBD</w:t>
            </w:r>
          </w:p>
          <w:p w14:paraId="5836FC28" w14:textId="77777777" w:rsidR="00897705" w:rsidRPr="00F849C4" w:rsidRDefault="00897705" w:rsidP="00F23A65">
            <w:pPr>
              <w:jc w:val="center"/>
              <w:rPr>
                <w:rFonts w:ascii="Univers" w:hAnsi="Univers"/>
                <w:b/>
                <w:i/>
                <w:sz w:val="32"/>
              </w:rPr>
            </w:pPr>
          </w:p>
        </w:tc>
      </w:tr>
      <w:tr w:rsidR="00897705" w14:paraId="18C1BFEB" w14:textId="77777777">
        <w:tblPrEx>
          <w:tblCellMar>
            <w:top w:w="0" w:type="dxa"/>
            <w:bottom w:w="0" w:type="dxa"/>
          </w:tblCellMar>
        </w:tblPrEx>
        <w:trPr>
          <w:cantSplit/>
          <w:trHeight w:val="1693"/>
        </w:trPr>
        <w:tc>
          <w:tcPr>
            <w:tcW w:w="6629" w:type="dxa"/>
            <w:gridSpan w:val="4"/>
            <w:tcBorders>
              <w:bottom w:val="single" w:sz="36" w:space="0" w:color="000000"/>
            </w:tcBorders>
          </w:tcPr>
          <w:p w14:paraId="1C18E3BD" w14:textId="77777777" w:rsidR="00897705" w:rsidRPr="00F849C4" w:rsidRDefault="008944E0">
            <w:pPr>
              <w:ind w:right="1422"/>
              <w:rPr>
                <w:i/>
              </w:rPr>
            </w:pPr>
            <w:r w:rsidRPr="00F849C4">
              <w:rPr>
                <w:i/>
                <w:noProof/>
              </w:rPr>
              <w:drawing>
                <wp:inline distT="0" distB="0" distL="0" distR="0" wp14:anchorId="7C9A6721" wp14:editId="4A734AD5">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01E587C8" w14:textId="77777777" w:rsidR="00897705" w:rsidRPr="00507938" w:rsidRDefault="00897705">
            <w:r w:rsidRPr="00507938">
              <w:t>Distr.</w:t>
            </w:r>
          </w:p>
          <w:p w14:paraId="5D96A705" w14:textId="77777777" w:rsidR="00897705" w:rsidRPr="00507938" w:rsidRDefault="00897705">
            <w:r w:rsidRPr="00507938">
              <w:t>GENERAL</w:t>
            </w:r>
          </w:p>
          <w:p w14:paraId="779260D4" w14:textId="77777777" w:rsidR="00897705" w:rsidRPr="00507938" w:rsidRDefault="00897705"/>
          <w:p w14:paraId="45999914" w14:textId="77777777" w:rsidR="00897705" w:rsidRPr="00507938" w:rsidRDefault="00897705">
            <w:r w:rsidRPr="00507938">
              <w:t>UNEP/CBD/COP/</w:t>
            </w:r>
            <w:r w:rsidR="008A0633">
              <w:t>DEC/VII</w:t>
            </w:r>
            <w:r w:rsidR="00754AC7">
              <w:t>/</w:t>
            </w:r>
            <w:r w:rsidR="006E71DD">
              <w:t>10</w:t>
            </w:r>
          </w:p>
          <w:p w14:paraId="30927C0B" w14:textId="77777777" w:rsidR="008A0633" w:rsidRDefault="008A0633" w:rsidP="008A0633">
            <w:r>
              <w:t>13 April 2004</w:t>
            </w:r>
          </w:p>
          <w:p w14:paraId="7EAD7B6C" w14:textId="77777777" w:rsidR="00920DEF" w:rsidRPr="00507938" w:rsidRDefault="00920DEF"/>
          <w:p w14:paraId="6064DEBC" w14:textId="77777777" w:rsidR="00897705" w:rsidRPr="00507938" w:rsidRDefault="00897705">
            <w:r w:rsidRPr="00507938">
              <w:t>ORIGINAL:  ENGLISH</w:t>
            </w:r>
          </w:p>
        </w:tc>
      </w:tr>
    </w:tbl>
    <w:p w14:paraId="5BEC6A3E" w14:textId="77777777" w:rsidR="008A0633" w:rsidRDefault="008A0633" w:rsidP="005E48D0">
      <w:pPr>
        <w:pStyle w:val="Cornernotation"/>
        <w:ind w:right="3970"/>
      </w:pPr>
      <w:r>
        <w:t>CONFERENCE OF THE PARTIES TO THE CONVENTION ON BIOLOGICAL DIVERSITY</w:t>
      </w:r>
    </w:p>
    <w:p w14:paraId="17B4BE7E" w14:textId="77777777" w:rsidR="008A0633" w:rsidRDefault="008A0633" w:rsidP="008A0633">
      <w:pPr>
        <w:pStyle w:val="Cornernotation"/>
      </w:pPr>
      <w:r>
        <w:t>Seventh meeting</w:t>
      </w:r>
    </w:p>
    <w:p w14:paraId="0BFCA5D1" w14:textId="77777777" w:rsidR="008A0633" w:rsidRDefault="008A0633" w:rsidP="008A0633">
      <w:pPr>
        <w:pStyle w:val="Cornernotation"/>
        <w:ind w:right="3973"/>
      </w:pPr>
      <w:r>
        <w:t>Kuala Lumpur, 9-20 and 27 February 2004</w:t>
      </w:r>
    </w:p>
    <w:p w14:paraId="767205AF" w14:textId="77777777" w:rsidR="00754AC7" w:rsidRDefault="00754AC7" w:rsidP="008A0633">
      <w:pPr>
        <w:pStyle w:val="Cornernotation"/>
        <w:ind w:right="3973"/>
      </w:pPr>
      <w:r>
        <w:t xml:space="preserve">Agenda item </w:t>
      </w:r>
      <w:r w:rsidR="006E71DD">
        <w:t>19.3</w:t>
      </w:r>
    </w:p>
    <w:p w14:paraId="0F5104B6"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322E7071"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3A9C6CFA" w14:textId="77777777" w:rsidR="006E71DD" w:rsidRDefault="006E71DD" w:rsidP="006E71DD">
      <w:pPr>
        <w:pStyle w:val="decision0"/>
        <w:tabs>
          <w:tab w:val="left" w:pos="900"/>
        </w:tabs>
      </w:pPr>
      <w:bookmarkStart w:id="4" w:name="_Toc66527103"/>
      <w:bookmarkStart w:id="5" w:name="_Toc69633855"/>
      <w:bookmarkEnd w:id="0"/>
      <w:bookmarkEnd w:id="1"/>
      <w:bookmarkEnd w:id="2"/>
      <w:bookmarkEnd w:id="3"/>
      <w:r>
        <w:t>VII/10.</w:t>
      </w:r>
      <w:r>
        <w:tab/>
        <w:t>Global Strategy for Plant Conservation</w:t>
      </w:r>
      <w:bookmarkEnd w:id="4"/>
      <w:bookmarkEnd w:id="5"/>
      <w:r>
        <w:t xml:space="preserve"> </w:t>
      </w:r>
    </w:p>
    <w:p w14:paraId="1E0D8911" w14:textId="77777777" w:rsidR="006E71DD" w:rsidRDefault="006E71DD" w:rsidP="006E71DD">
      <w:pPr>
        <w:pStyle w:val="Bodytextitalic"/>
        <w:keepNext/>
        <w:jc w:val="left"/>
      </w:pPr>
      <w:r>
        <w:t>The Conference of the Parties</w:t>
      </w:r>
    </w:p>
    <w:p w14:paraId="08500747" w14:textId="77777777" w:rsidR="006E71DD" w:rsidRDefault="006E71DD" w:rsidP="006E71DD">
      <w:pPr>
        <w:pStyle w:val="Bodytextitalic"/>
        <w:keepNext/>
      </w:pPr>
      <w:r w:rsidRPr="00077154">
        <w:rPr>
          <w:i w:val="0"/>
        </w:rPr>
        <w:t>1</w:t>
      </w:r>
      <w:r>
        <w:t>.</w:t>
      </w:r>
      <w:r>
        <w:tab/>
        <w:t xml:space="preserve">Notes with satisfaction </w:t>
      </w:r>
      <w:r>
        <w:rPr>
          <w:i w:val="0"/>
        </w:rPr>
        <w:t>the progress achieved in the further development and implementation of the Strategy in line with decision VI/9;</w:t>
      </w:r>
    </w:p>
    <w:p w14:paraId="0133E7D1" w14:textId="77777777" w:rsidR="006E71DD" w:rsidRDefault="006E71DD" w:rsidP="006E71DD">
      <w:pPr>
        <w:pStyle w:val="BodyText"/>
      </w:pPr>
      <w:r>
        <w:t>2.</w:t>
      </w:r>
      <w:r>
        <w:tab/>
      </w:r>
      <w:r>
        <w:rPr>
          <w:i/>
        </w:rPr>
        <w:t>Expresses appreciation</w:t>
      </w:r>
      <w:r>
        <w:t xml:space="preserve"> to the organizations that are facilitating stakeholder consultations in relation to the various targets of the Strategy, and to Botanic Gardens Conservation International for supporting the process of developing and implementing the Strategy, including through the secondment of a Programme Officer to the Secretariat of the Convention on Biological Diversity; </w:t>
      </w:r>
    </w:p>
    <w:p w14:paraId="3F50F92B" w14:textId="77777777" w:rsidR="006E71DD" w:rsidRDefault="006E71DD" w:rsidP="006E71DD">
      <w:pPr>
        <w:pStyle w:val="BodyText"/>
      </w:pPr>
      <w:r>
        <w:t>3.</w:t>
      </w:r>
      <w:r>
        <w:tab/>
      </w:r>
      <w:r>
        <w:rPr>
          <w:i/>
        </w:rPr>
        <w:t>Welcomes</w:t>
      </w:r>
      <w:r>
        <w:t xml:space="preserve"> the establishment of the global partnership for plant conservation and encourages the participating organizations to continue to contribute to the implementation of the Strategy, invites other organizations to join the partnership, and encourages Botanic Gardens Conservation International to continue its support for the partnership;</w:t>
      </w:r>
    </w:p>
    <w:p w14:paraId="2073C1F6" w14:textId="77777777" w:rsidR="006E71DD" w:rsidRDefault="006E71DD" w:rsidP="006E71DD">
      <w:pPr>
        <w:pStyle w:val="BodyText"/>
      </w:pPr>
      <w:r>
        <w:t>4.</w:t>
      </w:r>
      <w:r>
        <w:tab/>
      </w:r>
      <w:r>
        <w:rPr>
          <w:i/>
        </w:rPr>
        <w:t>Welcomes</w:t>
      </w:r>
      <w:r>
        <w:t xml:space="preserve"> the establishment, by the Executive Secretary, of a flexible coordination mechanism for the Strategy, comprising: liaison groups to be convened as necessary according to established procedures; national focal points, as determined by Parties; the Global Partnership for Plant Conservation; and the Secretariat, including the Programme Officer supported by Botanic Gardens Conservation International;</w:t>
      </w:r>
    </w:p>
    <w:p w14:paraId="13E4C96B" w14:textId="77777777" w:rsidR="006E71DD" w:rsidRDefault="006E71DD" w:rsidP="006E71DD">
      <w:pPr>
        <w:pStyle w:val="BodyText"/>
      </w:pPr>
      <w:r>
        <w:t>5.</w:t>
      </w:r>
      <w:r>
        <w:tab/>
      </w:r>
      <w:r>
        <w:rPr>
          <w:i/>
        </w:rPr>
        <w:t>Invites</w:t>
      </w:r>
      <w:r>
        <w:t xml:space="preserve"> the World Conservation Monitoring Centre of the United Nations Environment Programme to support the Executive Secretary in monitoring implementation of the Strategy, working in collaboration with the Global Partnership for Plant Conservation;</w:t>
      </w:r>
    </w:p>
    <w:p w14:paraId="4B0FD98C" w14:textId="77777777" w:rsidR="006E71DD" w:rsidRDefault="006E71DD" w:rsidP="006E71DD">
      <w:pPr>
        <w:pStyle w:val="BodyText"/>
      </w:pPr>
      <w:r>
        <w:t>6.</w:t>
      </w:r>
      <w:r>
        <w:tab/>
      </w:r>
      <w:r>
        <w:rPr>
          <w:i/>
        </w:rPr>
        <w:t>Encourages</w:t>
      </w:r>
      <w:r>
        <w:t xml:space="preserve"> Parties to nominate focal points for the Strategy, or designate from among existing focal points, in order to:</w:t>
      </w:r>
    </w:p>
    <w:p w14:paraId="3A19BB3B" w14:textId="77777777" w:rsidR="006E71DD" w:rsidRDefault="006E71DD" w:rsidP="006E71DD">
      <w:pPr>
        <w:pStyle w:val="BodyText"/>
      </w:pPr>
      <w:r>
        <w:t xml:space="preserve">(a) </w:t>
      </w:r>
      <w:r>
        <w:tab/>
        <w:t xml:space="preserve">Promote and facilitate implementation and monitoring of the Strategy at national level, including the identification of national targets and their integration in national biodiversity strategies and action plans and sectoral and cross-sectoral plans programmes and activities; </w:t>
      </w:r>
    </w:p>
    <w:p w14:paraId="0830AB71" w14:textId="77777777" w:rsidR="006E71DD" w:rsidRDefault="006E71DD" w:rsidP="006E71DD">
      <w:pPr>
        <w:pStyle w:val="BodyText"/>
      </w:pPr>
      <w:r>
        <w:lastRenderedPageBreak/>
        <w:t xml:space="preserve">(b) </w:t>
      </w:r>
      <w:r>
        <w:tab/>
        <w:t xml:space="preserve">Promote the participation of national stakeholders in the implementation and monitoring of the Strategy at national level; and </w:t>
      </w:r>
    </w:p>
    <w:p w14:paraId="4E2DBBD5" w14:textId="77777777" w:rsidR="006E71DD" w:rsidRDefault="006E71DD" w:rsidP="006E71DD">
      <w:pPr>
        <w:pStyle w:val="BodyText"/>
      </w:pPr>
      <w:r>
        <w:t xml:space="preserve">(c) </w:t>
      </w:r>
      <w:r>
        <w:tab/>
        <w:t>Facilitate communication between national stakeholders and the Secretariat and Global Partnership for Plant Conservation;</w:t>
      </w:r>
    </w:p>
    <w:p w14:paraId="4B8BB38B" w14:textId="77777777" w:rsidR="006E71DD" w:rsidRDefault="006E71DD" w:rsidP="006E71DD">
      <w:pPr>
        <w:pStyle w:val="BodyText"/>
      </w:pPr>
      <w:r>
        <w:t>7.</w:t>
      </w:r>
      <w:r>
        <w:tab/>
      </w:r>
      <w:r>
        <w:rPr>
          <w:i/>
        </w:rPr>
        <w:t>Requests</w:t>
      </w:r>
      <w:r>
        <w:t xml:space="preserve"> the Executive Secretary, with the support of members of the global partnership for plant conservation, to elaborate proposals for a toolkit, including a checklist to assist Parties in integrating the targets into their strategies, plans and programmes, for review by the Subsidiary Body on Scientific, Technical and Technological Advice prior to the ninth meeting of the Conference of the Parties;</w:t>
      </w:r>
    </w:p>
    <w:p w14:paraId="4973BB2E" w14:textId="77777777" w:rsidR="006E71DD" w:rsidRDefault="006E71DD" w:rsidP="006E71DD">
      <w:pPr>
        <w:pStyle w:val="BodyText"/>
      </w:pPr>
      <w:r>
        <w:t>8.</w:t>
      </w:r>
      <w:r>
        <w:tab/>
      </w:r>
      <w:r>
        <w:rPr>
          <w:i/>
        </w:rPr>
        <w:t>Decides</w:t>
      </w:r>
      <w:r>
        <w:t xml:space="preserve"> to integrate the targets of the Strategy into all the thematic and relevant cross-cutting programmes of work of the Convention and </w:t>
      </w:r>
      <w:r>
        <w:rPr>
          <w:i/>
        </w:rPr>
        <w:t>requests</w:t>
      </w:r>
      <w:r>
        <w:t xml:space="preserve"> the Subsidiary Body on Scientific, Technical and Technological Advice to prepare proposals for the respective programmes of work when they are due for review according to the multi year programme of work of the Conference of the Parties (decision VII/31). This process should be consistent with decision VII/30.  In particular, the following targets should be integrated:</w:t>
      </w:r>
    </w:p>
    <w:p w14:paraId="77E0ABD3" w14:textId="77777777" w:rsidR="006E71DD" w:rsidRDefault="006E71DD" w:rsidP="006E71DD">
      <w:pPr>
        <w:pStyle w:val="BodyText"/>
      </w:pPr>
      <w:r>
        <w:t>(a)</w:t>
      </w:r>
      <w:r>
        <w:tab/>
        <w:t xml:space="preserve">Target 1 into the Global Taxonomy Initiative; </w:t>
      </w:r>
    </w:p>
    <w:p w14:paraId="012CAEE0" w14:textId="77777777" w:rsidR="006E71DD" w:rsidRDefault="006E71DD" w:rsidP="006E71DD">
      <w:pPr>
        <w:pStyle w:val="BodyText"/>
      </w:pPr>
      <w:r>
        <w:t>(b)</w:t>
      </w:r>
      <w:r>
        <w:tab/>
        <w:t xml:space="preserve">Targets 4 and 5, 7 and 8 into the programme of work on protected areas; </w:t>
      </w:r>
    </w:p>
    <w:p w14:paraId="2A3D662C" w14:textId="77777777" w:rsidR="006E71DD" w:rsidRDefault="006E71DD" w:rsidP="006E71DD">
      <w:pPr>
        <w:pStyle w:val="BodyText"/>
      </w:pPr>
      <w:r>
        <w:t>(c)</w:t>
      </w:r>
      <w:r>
        <w:tab/>
        <w:t xml:space="preserve">Target 10 into work on invasive alien species; </w:t>
      </w:r>
    </w:p>
    <w:p w14:paraId="10857291" w14:textId="77777777" w:rsidR="006E71DD" w:rsidRDefault="006E71DD" w:rsidP="006E71DD">
      <w:pPr>
        <w:pStyle w:val="BodyText"/>
      </w:pPr>
      <w:r>
        <w:t>(d)</w:t>
      </w:r>
      <w:r>
        <w:tab/>
        <w:t xml:space="preserve">Targets 11, 12 and 13 in the work on sustainable use; </w:t>
      </w:r>
    </w:p>
    <w:p w14:paraId="6A88D5B7" w14:textId="77777777" w:rsidR="006E71DD" w:rsidRDefault="006E71DD" w:rsidP="006E71DD">
      <w:pPr>
        <w:pStyle w:val="BodyText"/>
      </w:pPr>
      <w:r>
        <w:t>(e)</w:t>
      </w:r>
      <w:r>
        <w:tab/>
        <w:t xml:space="preserve">Targets 9 and 13 into work on Article 8(j) and related provisions; </w:t>
      </w:r>
    </w:p>
    <w:p w14:paraId="1E7BB60C" w14:textId="77777777" w:rsidR="006E71DD" w:rsidRDefault="006E71DD" w:rsidP="006E71DD">
      <w:pPr>
        <w:pStyle w:val="BodyText"/>
      </w:pPr>
      <w:r>
        <w:t>(f)</w:t>
      </w:r>
      <w:r>
        <w:tab/>
        <w:t xml:space="preserve">Target 14 into the programme for communication, education and public awareness; and </w:t>
      </w:r>
    </w:p>
    <w:p w14:paraId="0B039D17" w14:textId="77777777" w:rsidR="006E71DD" w:rsidRDefault="006E71DD" w:rsidP="006E71DD">
      <w:pPr>
        <w:pStyle w:val="BodyText"/>
      </w:pPr>
      <w:r>
        <w:t>(g)</w:t>
      </w:r>
      <w:r>
        <w:tab/>
        <w:t>Targets 6, 9 and 12 into the thematic programmes for agricultural biodiversity and forest biodiversity;</w:t>
      </w:r>
    </w:p>
    <w:p w14:paraId="24AE2DB6" w14:textId="77777777" w:rsidR="006E71DD" w:rsidRDefault="006E71DD" w:rsidP="006E71DD">
      <w:pPr>
        <w:pStyle w:val="BodyText"/>
      </w:pPr>
      <w:r>
        <w:t>9.</w:t>
      </w:r>
      <w:r>
        <w:tab/>
      </w:r>
      <w:r>
        <w:rPr>
          <w:i/>
        </w:rPr>
        <w:t>Emphasizes</w:t>
      </w:r>
      <w:r>
        <w:t xml:space="preserve"> that, in line with paragraphs 3, 4, 6 and 7 of decision VI/9, the Strategy is to be implemented in a flexible way, and with due regard to the need for capacity building in identifying and achieving national targets, particularly in developing countries, especially the least developed and small island States among them, and countries with economies in transition; </w:t>
      </w:r>
    </w:p>
    <w:p w14:paraId="491C54FE" w14:textId="77777777" w:rsidR="006E71DD" w:rsidRDefault="006E71DD" w:rsidP="006E71DD">
      <w:pPr>
        <w:pStyle w:val="BodyText"/>
      </w:pPr>
      <w:r>
        <w:t>10.</w:t>
      </w:r>
      <w:r>
        <w:tab/>
      </w:r>
      <w:r>
        <w:rPr>
          <w:i/>
        </w:rPr>
        <w:t>Decides</w:t>
      </w:r>
      <w:r>
        <w:t xml:space="preserve"> to integrate the targets of the Strategy into the reporting framework for the third national reports; while reflecting the fact that the targets are a flexible framework within which national and/or regional targets may be developed, in line with paragraphs 3 and 4 of decision VI/9;</w:t>
      </w:r>
    </w:p>
    <w:p w14:paraId="5EF55EC0" w14:textId="77777777" w:rsidR="006E71DD" w:rsidRDefault="006E71DD" w:rsidP="006E71DD">
      <w:pPr>
        <w:pStyle w:val="BodyText"/>
      </w:pPr>
      <w:r>
        <w:t>11.</w:t>
      </w:r>
      <w:r>
        <w:tab/>
      </w:r>
      <w:r>
        <w:rPr>
          <w:i/>
        </w:rPr>
        <w:t>Welcomes</w:t>
      </w:r>
      <w:r>
        <w:t xml:space="preserve"> the decisions of the Conference of the Parties and Plants Committee of the Convention on Trade in Endangered Species of Wild Flora and Fauna (CITES) to consider how they can contribute to the implementation of the Strategy, especially regarding target 11 (“No species of wild flora endangered by international trade”);</w:t>
      </w:r>
    </w:p>
    <w:p w14:paraId="0640DAB9" w14:textId="77777777" w:rsidR="006E71DD" w:rsidRDefault="006E71DD" w:rsidP="006E71DD">
      <w:pPr>
        <w:pStyle w:val="BodyText"/>
        <w:sectPr w:rsidR="006E71DD" w:rsidSect="00DD3D2B">
          <w:footerReference w:type="even" r:id="rId15"/>
          <w:type w:val="continuous"/>
          <w:pgSz w:w="12240" w:h="15840" w:code="1"/>
          <w:pgMar w:top="1021" w:right="1440" w:bottom="1134" w:left="1440" w:header="454" w:footer="709" w:gutter="0"/>
          <w:cols w:space="708"/>
          <w:docGrid w:linePitch="360"/>
        </w:sectPr>
      </w:pPr>
    </w:p>
    <w:p w14:paraId="01139F10" w14:textId="77777777" w:rsidR="006E71DD" w:rsidRDefault="006E71DD" w:rsidP="006E71DD">
      <w:pPr>
        <w:pStyle w:val="BodyText"/>
      </w:pPr>
      <w:r>
        <w:t>12.</w:t>
      </w:r>
      <w:r>
        <w:tab/>
      </w:r>
      <w:r>
        <w:rPr>
          <w:i/>
        </w:rPr>
        <w:t>Invites</w:t>
      </w:r>
      <w:r>
        <w:t xml:space="preserve"> the Commission on Genetic Resources for Food and Agriculture of the Food and Agriculture Organization of the United Nations to consider how the Global Plan of Action for the Conservation and Sustainable Use of Plant Genetic Resources for Food and Agriculture contributes to the implementation of the Strategy, in particular target 9 (“70 per cent of the genetic diversity of crops and other major socio-economically valuable plant species conserved, and associated indigenous and local knowledge maintained”).</w:t>
      </w:r>
    </w:p>
    <w:p w14:paraId="68C9D099" w14:textId="77777777" w:rsidR="003600D1" w:rsidRDefault="003600D1" w:rsidP="00D945C9">
      <w:pPr>
        <w:jc w:val="center"/>
      </w:pPr>
      <w:r>
        <w:lastRenderedPageBreak/>
        <w:t>-----</w:t>
      </w:r>
    </w:p>
    <w:sectPr w:rsidR="003600D1" w:rsidSect="00DD3D2B">
      <w:footerReference w:type="default"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7E096" w14:textId="77777777" w:rsidR="00CD1A14" w:rsidRDefault="00CD1A14">
      <w:r>
        <w:separator/>
      </w:r>
    </w:p>
  </w:endnote>
  <w:endnote w:type="continuationSeparator" w:id="0">
    <w:p w14:paraId="74279332" w14:textId="77777777" w:rsidR="00CD1A14" w:rsidRDefault="00CD1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37A30"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21D3F"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FF5BB" w14:textId="77777777" w:rsidR="00D9782F" w:rsidRPr="00D9782F" w:rsidRDefault="00D9782F">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94000" w14:textId="77777777" w:rsidR="000F6BD3" w:rsidRPr="006E71DD" w:rsidRDefault="006E71DD" w:rsidP="000F6BD3">
    <w:pPr>
      <w:pStyle w:val="Footer"/>
      <w:rPr>
        <w:lang w:val="en-CA"/>
      </w:rPr>
    </w:pPr>
    <w:r>
      <w:rPr>
        <w:lang w:val="en-CA"/>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CF988" w14:textId="77777777" w:rsidR="006E71DD" w:rsidRPr="006E71DD" w:rsidRDefault="006E71DD" w:rsidP="006E7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BE9FF" w14:textId="77777777" w:rsidR="00CD1A14" w:rsidRDefault="00CD1A14">
      <w:r>
        <w:separator/>
      </w:r>
    </w:p>
  </w:footnote>
  <w:footnote w:type="continuationSeparator" w:id="0">
    <w:p w14:paraId="1C7F3C4E" w14:textId="77777777" w:rsidR="00CD1A14" w:rsidRDefault="00CD1A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321B4" w14:textId="77777777" w:rsidR="00622C68" w:rsidRDefault="007E5A45">
    <w:pPr>
      <w:pStyle w:val="Header"/>
    </w:pPr>
    <w:r>
      <w:t>UNEP/CBD/COP</w:t>
    </w:r>
    <w:r w:rsidR="008A0633">
      <w:t>/DEC/VII</w:t>
    </w:r>
    <w:r w:rsidR="00DD3D2B">
      <w:t>/</w:t>
    </w:r>
    <w:r w:rsidR="006E71DD">
      <w:t>10</w:t>
    </w:r>
  </w:p>
  <w:p w14:paraId="06E0BABB"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443AA5">
      <w:rPr>
        <w:noProof/>
      </w:rPr>
      <w:t>2</w:t>
    </w:r>
    <w:r w:rsidRPr="0067729E">
      <w:fldChar w:fldCharType="end"/>
    </w:r>
  </w:p>
  <w:p w14:paraId="76683E38"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27A8F" w14:textId="77777777" w:rsidR="003600D1" w:rsidRDefault="003600D1" w:rsidP="004137F6">
    <w:pPr>
      <w:pStyle w:val="Header"/>
      <w:ind w:left="6490"/>
    </w:pPr>
    <w:r>
      <w:t>UNEP/CBD/COP/DEC/</w:t>
    </w:r>
    <w:r w:rsidR="00DD3D2B">
      <w:t>VII/</w:t>
    </w:r>
    <w:r w:rsidR="006E71DD">
      <w:t>10</w:t>
    </w:r>
  </w:p>
  <w:p w14:paraId="703498F6"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443AA5">
      <w:rPr>
        <w:noProof/>
      </w:rPr>
      <w:t>3</w:t>
    </w:r>
    <w:r w:rsidRPr="0067729E">
      <w:fldChar w:fldCharType="end"/>
    </w:r>
  </w:p>
  <w:p w14:paraId="2CDD0D7B"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6"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8"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0"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1"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start w:val="1"/>
      <w:numFmt w:val="bullet"/>
      <w:pStyle w:val="Para3"/>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2"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15"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7"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9"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0"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171487688">
    <w:abstractNumId w:val="4"/>
  </w:num>
  <w:num w:numId="2" w16cid:durableId="16010876">
    <w:abstractNumId w:val="9"/>
  </w:num>
  <w:num w:numId="3" w16cid:durableId="1027099788">
    <w:abstractNumId w:val="5"/>
  </w:num>
  <w:num w:numId="4" w16cid:durableId="1729375238">
    <w:abstractNumId w:val="10"/>
  </w:num>
  <w:num w:numId="5" w16cid:durableId="178204031">
    <w:abstractNumId w:val="12"/>
  </w:num>
  <w:num w:numId="6" w16cid:durableId="167984845">
    <w:abstractNumId w:val="0"/>
  </w:num>
  <w:num w:numId="7" w16cid:durableId="98330404">
    <w:abstractNumId w:val="15"/>
  </w:num>
  <w:num w:numId="8" w16cid:durableId="726760663">
    <w:abstractNumId w:val="7"/>
  </w:num>
  <w:num w:numId="9" w16cid:durableId="508713318">
    <w:abstractNumId w:val="8"/>
  </w:num>
  <w:num w:numId="10" w16cid:durableId="1835686072">
    <w:abstractNumId w:val="16"/>
  </w:num>
  <w:num w:numId="11" w16cid:durableId="1091318471">
    <w:abstractNumId w:val="6"/>
  </w:num>
  <w:num w:numId="12" w16cid:durableId="799153754">
    <w:abstractNumId w:val="2"/>
  </w:num>
  <w:num w:numId="13" w16cid:durableId="450708465">
    <w:abstractNumId w:val="8"/>
  </w:num>
  <w:num w:numId="14" w16cid:durableId="864557461">
    <w:abstractNumId w:val="13"/>
  </w:num>
  <w:num w:numId="15" w16cid:durableId="496460765">
    <w:abstractNumId w:val="11"/>
  </w:num>
  <w:num w:numId="16" w16cid:durableId="15319922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85686565">
    <w:abstractNumId w:val="18"/>
  </w:num>
  <w:num w:numId="18" w16cid:durableId="1717970551">
    <w:abstractNumId w:val="20"/>
  </w:num>
  <w:num w:numId="19" w16cid:durableId="1332830843">
    <w:abstractNumId w:val="14"/>
  </w:num>
  <w:num w:numId="20" w16cid:durableId="1329090171">
    <w:abstractNumId w:val="19"/>
  </w:num>
  <w:num w:numId="21" w16cid:durableId="2133397435">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6BC5"/>
    <w:rsid w:val="000F6BD3"/>
    <w:rsid w:val="000F76F9"/>
    <w:rsid w:val="00101AEE"/>
    <w:rsid w:val="00104339"/>
    <w:rsid w:val="001044B9"/>
    <w:rsid w:val="00110556"/>
    <w:rsid w:val="0011637F"/>
    <w:rsid w:val="00127F17"/>
    <w:rsid w:val="0013529E"/>
    <w:rsid w:val="001359E5"/>
    <w:rsid w:val="00142E6E"/>
    <w:rsid w:val="00143A38"/>
    <w:rsid w:val="00147D40"/>
    <w:rsid w:val="001704BD"/>
    <w:rsid w:val="00183221"/>
    <w:rsid w:val="001955F9"/>
    <w:rsid w:val="00197A41"/>
    <w:rsid w:val="001C04A6"/>
    <w:rsid w:val="001C0D5C"/>
    <w:rsid w:val="001C5ADD"/>
    <w:rsid w:val="001D10BB"/>
    <w:rsid w:val="001D2B37"/>
    <w:rsid w:val="001D7D24"/>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67F"/>
    <w:rsid w:val="002E7AB6"/>
    <w:rsid w:val="002F0451"/>
    <w:rsid w:val="002F46AC"/>
    <w:rsid w:val="00302B57"/>
    <w:rsid w:val="003047DA"/>
    <w:rsid w:val="00326CD3"/>
    <w:rsid w:val="00331607"/>
    <w:rsid w:val="003351E7"/>
    <w:rsid w:val="00337809"/>
    <w:rsid w:val="00340E27"/>
    <w:rsid w:val="00342228"/>
    <w:rsid w:val="003600D1"/>
    <w:rsid w:val="0037069F"/>
    <w:rsid w:val="00374082"/>
    <w:rsid w:val="003845B3"/>
    <w:rsid w:val="003A0207"/>
    <w:rsid w:val="003B2638"/>
    <w:rsid w:val="003C134A"/>
    <w:rsid w:val="003D7FBF"/>
    <w:rsid w:val="003F4F86"/>
    <w:rsid w:val="003F710F"/>
    <w:rsid w:val="004051C5"/>
    <w:rsid w:val="00412045"/>
    <w:rsid w:val="004137F6"/>
    <w:rsid w:val="00434D32"/>
    <w:rsid w:val="004407EB"/>
    <w:rsid w:val="00441C8C"/>
    <w:rsid w:val="00443AA5"/>
    <w:rsid w:val="00447A1F"/>
    <w:rsid w:val="004508B7"/>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3082"/>
    <w:rsid w:val="005351B5"/>
    <w:rsid w:val="00540424"/>
    <w:rsid w:val="005446CA"/>
    <w:rsid w:val="005454C0"/>
    <w:rsid w:val="005466D4"/>
    <w:rsid w:val="005531D6"/>
    <w:rsid w:val="00560EF5"/>
    <w:rsid w:val="005646F2"/>
    <w:rsid w:val="005652F0"/>
    <w:rsid w:val="00566BD6"/>
    <w:rsid w:val="00566FF3"/>
    <w:rsid w:val="0057045C"/>
    <w:rsid w:val="005923D2"/>
    <w:rsid w:val="00593C71"/>
    <w:rsid w:val="005948D2"/>
    <w:rsid w:val="005B0866"/>
    <w:rsid w:val="005B1392"/>
    <w:rsid w:val="005B1BEA"/>
    <w:rsid w:val="005B5E30"/>
    <w:rsid w:val="005B7015"/>
    <w:rsid w:val="005C25A7"/>
    <w:rsid w:val="005C5533"/>
    <w:rsid w:val="005C5FE2"/>
    <w:rsid w:val="005D0601"/>
    <w:rsid w:val="005D65B5"/>
    <w:rsid w:val="005D65EC"/>
    <w:rsid w:val="005E48D0"/>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6E71DD"/>
    <w:rsid w:val="0070304B"/>
    <w:rsid w:val="007111A2"/>
    <w:rsid w:val="007153D2"/>
    <w:rsid w:val="0071556D"/>
    <w:rsid w:val="007231DA"/>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1EFB"/>
    <w:rsid w:val="007C3D15"/>
    <w:rsid w:val="007E5A45"/>
    <w:rsid w:val="007E6D52"/>
    <w:rsid w:val="007F2E14"/>
    <w:rsid w:val="008339AC"/>
    <w:rsid w:val="008375EA"/>
    <w:rsid w:val="00840A4C"/>
    <w:rsid w:val="00843130"/>
    <w:rsid w:val="00843B86"/>
    <w:rsid w:val="00844EE4"/>
    <w:rsid w:val="008472BD"/>
    <w:rsid w:val="008618CA"/>
    <w:rsid w:val="00865526"/>
    <w:rsid w:val="008757FD"/>
    <w:rsid w:val="00885FF8"/>
    <w:rsid w:val="00887CAD"/>
    <w:rsid w:val="008944E0"/>
    <w:rsid w:val="00894DB3"/>
    <w:rsid w:val="00897705"/>
    <w:rsid w:val="008A0569"/>
    <w:rsid w:val="008A0633"/>
    <w:rsid w:val="008B02DB"/>
    <w:rsid w:val="008B02F5"/>
    <w:rsid w:val="008B64F5"/>
    <w:rsid w:val="008C7872"/>
    <w:rsid w:val="008D2C32"/>
    <w:rsid w:val="008E00E2"/>
    <w:rsid w:val="008E3BCD"/>
    <w:rsid w:val="008F0A05"/>
    <w:rsid w:val="008F7741"/>
    <w:rsid w:val="0091201C"/>
    <w:rsid w:val="00915E8F"/>
    <w:rsid w:val="00920DEF"/>
    <w:rsid w:val="0093578E"/>
    <w:rsid w:val="00943591"/>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C477B"/>
    <w:rsid w:val="00AD01CF"/>
    <w:rsid w:val="00AE0C05"/>
    <w:rsid w:val="00AE18EC"/>
    <w:rsid w:val="00AE2410"/>
    <w:rsid w:val="00AE7E20"/>
    <w:rsid w:val="00AF456A"/>
    <w:rsid w:val="00B10CB0"/>
    <w:rsid w:val="00B163B7"/>
    <w:rsid w:val="00B177FA"/>
    <w:rsid w:val="00B179A8"/>
    <w:rsid w:val="00B17F78"/>
    <w:rsid w:val="00B22357"/>
    <w:rsid w:val="00B24DCD"/>
    <w:rsid w:val="00B261FE"/>
    <w:rsid w:val="00B30BA6"/>
    <w:rsid w:val="00B4418A"/>
    <w:rsid w:val="00B752BD"/>
    <w:rsid w:val="00B76B21"/>
    <w:rsid w:val="00B776BA"/>
    <w:rsid w:val="00B857D4"/>
    <w:rsid w:val="00B93618"/>
    <w:rsid w:val="00BA15A1"/>
    <w:rsid w:val="00BA3144"/>
    <w:rsid w:val="00BA406C"/>
    <w:rsid w:val="00BA561B"/>
    <w:rsid w:val="00BB66EA"/>
    <w:rsid w:val="00BC080B"/>
    <w:rsid w:val="00BC0D5D"/>
    <w:rsid w:val="00BC3A3C"/>
    <w:rsid w:val="00BC3E92"/>
    <w:rsid w:val="00BC7848"/>
    <w:rsid w:val="00BD0CAA"/>
    <w:rsid w:val="00BE141E"/>
    <w:rsid w:val="00BE47FC"/>
    <w:rsid w:val="00BE7FB7"/>
    <w:rsid w:val="00BF049E"/>
    <w:rsid w:val="00C00BC6"/>
    <w:rsid w:val="00C07D06"/>
    <w:rsid w:val="00C107AF"/>
    <w:rsid w:val="00C2009A"/>
    <w:rsid w:val="00C23E13"/>
    <w:rsid w:val="00C4056D"/>
    <w:rsid w:val="00C501BC"/>
    <w:rsid w:val="00C5069F"/>
    <w:rsid w:val="00C51417"/>
    <w:rsid w:val="00C619E5"/>
    <w:rsid w:val="00C64900"/>
    <w:rsid w:val="00C71999"/>
    <w:rsid w:val="00C77D2F"/>
    <w:rsid w:val="00C86016"/>
    <w:rsid w:val="00C9199F"/>
    <w:rsid w:val="00CA3B69"/>
    <w:rsid w:val="00CB726E"/>
    <w:rsid w:val="00CD1A14"/>
    <w:rsid w:val="00CF16F6"/>
    <w:rsid w:val="00CF3E06"/>
    <w:rsid w:val="00D02845"/>
    <w:rsid w:val="00D034FC"/>
    <w:rsid w:val="00D15C97"/>
    <w:rsid w:val="00D22093"/>
    <w:rsid w:val="00D226B5"/>
    <w:rsid w:val="00D27DFE"/>
    <w:rsid w:val="00D32A67"/>
    <w:rsid w:val="00D34558"/>
    <w:rsid w:val="00D37F29"/>
    <w:rsid w:val="00D447DA"/>
    <w:rsid w:val="00D5379E"/>
    <w:rsid w:val="00D54AAB"/>
    <w:rsid w:val="00D56F36"/>
    <w:rsid w:val="00D720C9"/>
    <w:rsid w:val="00D945C9"/>
    <w:rsid w:val="00D967CF"/>
    <w:rsid w:val="00D9782F"/>
    <w:rsid w:val="00DB429B"/>
    <w:rsid w:val="00DB44C4"/>
    <w:rsid w:val="00DB79FC"/>
    <w:rsid w:val="00DC38F8"/>
    <w:rsid w:val="00DC4473"/>
    <w:rsid w:val="00DC5EF2"/>
    <w:rsid w:val="00DC65E1"/>
    <w:rsid w:val="00DD3D2B"/>
    <w:rsid w:val="00DE3C71"/>
    <w:rsid w:val="00DE7D63"/>
    <w:rsid w:val="00E00A37"/>
    <w:rsid w:val="00E12969"/>
    <w:rsid w:val="00E23A5B"/>
    <w:rsid w:val="00E2655D"/>
    <w:rsid w:val="00E3757E"/>
    <w:rsid w:val="00E40EF0"/>
    <w:rsid w:val="00E4679A"/>
    <w:rsid w:val="00E5378C"/>
    <w:rsid w:val="00E55EE0"/>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B02CE"/>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0B2EE5"/>
  <w15:chartTrackingRefBased/>
  <w15:docId w15:val="{300C5D8F-253A-5244-A8FA-5C28723EC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3</Pages>
  <Words>837</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COP Decision VII/10</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VII/10</dc:title>
  <dc:subject>Global Strategy for Plant Conservation </dc:subject>
  <dc:creator>Secretariat of the Convention on Biological Diversity</dc:creator>
  <cp:keywords>CBD; Global Strategy for Plant Conservation</cp:keywords>
  <dc:description/>
  <cp:lastModifiedBy>Rodrigo Elias</cp:lastModifiedBy>
  <cp:revision>2</cp:revision>
  <cp:lastPrinted>2008-03-03T19:34:00Z</cp:lastPrinted>
  <dcterms:created xsi:type="dcterms:W3CDTF">2025-11-13T19:05:00Z</dcterms:created>
  <dcterms:modified xsi:type="dcterms:W3CDTF">2025-11-13T19:05:00Z</dcterms:modified>
  <cp:category>Decision</cp:category>
</cp:coreProperties>
</file>