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28442D36" w14:textId="77777777">
        <w:tblPrEx>
          <w:tblCellMar>
            <w:top w:w="0" w:type="dxa"/>
            <w:bottom w:w="0" w:type="dxa"/>
          </w:tblCellMar>
        </w:tblPrEx>
        <w:trPr>
          <w:gridBefore w:val="1"/>
          <w:wBefore w:w="16" w:type="dxa"/>
        </w:trPr>
        <w:tc>
          <w:tcPr>
            <w:tcW w:w="1326" w:type="dxa"/>
            <w:tcBorders>
              <w:bottom w:val="single" w:sz="12" w:space="0" w:color="000000"/>
            </w:tcBorders>
          </w:tcPr>
          <w:p w14:paraId="1D423C1F" w14:textId="77777777" w:rsidR="00897705" w:rsidRDefault="00E445B8">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209D7ABB" wp14:editId="242AD44C">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11094303" w14:textId="77777777" w:rsidR="00897705" w:rsidRDefault="00E445B8">
            <w:r>
              <w:rPr>
                <w:noProof/>
                <w:sz w:val="20"/>
              </w:rPr>
              <w:drawing>
                <wp:anchor distT="0" distB="0" distL="114300" distR="114300" simplePos="0" relativeHeight="251657216" behindDoc="0" locked="1" layoutInCell="1" allowOverlap="0" wp14:anchorId="6E449111" wp14:editId="53815871">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2B5C8416" w14:textId="77777777" w:rsidR="00897705" w:rsidRPr="00D56F36" w:rsidRDefault="00897705">
            <w:pPr>
              <w:jc w:val="right"/>
              <w:rPr>
                <w:rFonts w:ascii="Univers" w:hAnsi="Univers"/>
                <w:b/>
                <w:sz w:val="32"/>
              </w:rPr>
            </w:pPr>
            <w:r w:rsidRPr="00D56F36">
              <w:rPr>
                <w:rFonts w:ascii="Univers" w:hAnsi="Univers"/>
                <w:b/>
                <w:sz w:val="32"/>
              </w:rPr>
              <w:t>CBD</w:t>
            </w:r>
          </w:p>
          <w:p w14:paraId="17440A19" w14:textId="77777777" w:rsidR="00897705" w:rsidRPr="00F849C4" w:rsidRDefault="00897705" w:rsidP="00F23A65">
            <w:pPr>
              <w:jc w:val="center"/>
              <w:rPr>
                <w:rFonts w:ascii="Univers" w:hAnsi="Univers"/>
                <w:b/>
                <w:i/>
                <w:sz w:val="32"/>
              </w:rPr>
            </w:pPr>
          </w:p>
        </w:tc>
      </w:tr>
      <w:tr w:rsidR="00897705" w14:paraId="7D700EE8" w14:textId="77777777">
        <w:tblPrEx>
          <w:tblCellMar>
            <w:top w:w="0" w:type="dxa"/>
            <w:bottom w:w="0" w:type="dxa"/>
          </w:tblCellMar>
        </w:tblPrEx>
        <w:trPr>
          <w:cantSplit/>
          <w:trHeight w:val="1693"/>
        </w:trPr>
        <w:tc>
          <w:tcPr>
            <w:tcW w:w="6629" w:type="dxa"/>
            <w:gridSpan w:val="4"/>
            <w:tcBorders>
              <w:bottom w:val="single" w:sz="36" w:space="0" w:color="000000"/>
            </w:tcBorders>
          </w:tcPr>
          <w:p w14:paraId="5A873912" w14:textId="77777777" w:rsidR="00897705" w:rsidRPr="00F849C4" w:rsidRDefault="00E445B8">
            <w:pPr>
              <w:ind w:right="1422"/>
              <w:rPr>
                <w:i/>
              </w:rPr>
            </w:pPr>
            <w:r w:rsidRPr="00F849C4">
              <w:rPr>
                <w:i/>
                <w:noProof/>
              </w:rPr>
              <w:drawing>
                <wp:inline distT="0" distB="0" distL="0" distR="0" wp14:anchorId="1CBD3A68" wp14:editId="22766AC5">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10A55A2F" w14:textId="77777777" w:rsidR="00897705" w:rsidRPr="00507938" w:rsidRDefault="00897705">
            <w:r w:rsidRPr="00507938">
              <w:t>Distr.</w:t>
            </w:r>
          </w:p>
          <w:p w14:paraId="32816D1B" w14:textId="77777777" w:rsidR="00897705" w:rsidRPr="00507938" w:rsidRDefault="00897705">
            <w:r w:rsidRPr="00507938">
              <w:t>GENERAL</w:t>
            </w:r>
          </w:p>
          <w:p w14:paraId="2A4368D8" w14:textId="77777777" w:rsidR="00897705" w:rsidRPr="00507938" w:rsidRDefault="00897705"/>
          <w:p w14:paraId="7719FD9B" w14:textId="77777777" w:rsidR="00897705" w:rsidRPr="00507938" w:rsidRDefault="00897705">
            <w:r w:rsidRPr="00507938">
              <w:t>UNEP/CBD/COP/</w:t>
            </w:r>
            <w:r w:rsidR="008A0633">
              <w:t>DEC/VII</w:t>
            </w:r>
            <w:r w:rsidR="00754AC7">
              <w:t>/</w:t>
            </w:r>
            <w:r w:rsidR="00D13322">
              <w:t>22</w:t>
            </w:r>
          </w:p>
          <w:p w14:paraId="3B232D07" w14:textId="77777777" w:rsidR="008A0633" w:rsidRDefault="008A0633" w:rsidP="008A0633">
            <w:r>
              <w:t>13 April 2004</w:t>
            </w:r>
          </w:p>
          <w:p w14:paraId="4F8339D6" w14:textId="77777777" w:rsidR="00920DEF" w:rsidRPr="00507938" w:rsidRDefault="00920DEF"/>
          <w:p w14:paraId="784EADD7" w14:textId="77777777" w:rsidR="00897705" w:rsidRPr="00507938" w:rsidRDefault="00897705">
            <w:r w:rsidRPr="00507938">
              <w:t>ORIGINAL:  ENGLISH</w:t>
            </w:r>
          </w:p>
        </w:tc>
      </w:tr>
    </w:tbl>
    <w:p w14:paraId="4EF8D995" w14:textId="77777777" w:rsidR="008A0633" w:rsidRDefault="008A0633" w:rsidP="005E48D0">
      <w:pPr>
        <w:pStyle w:val="Cornernotation"/>
        <w:ind w:right="3970"/>
      </w:pPr>
      <w:r>
        <w:t>CONFERENCE OF THE PARTIES TO THE CONVENTION ON BIOLOGICAL DIVERSITY</w:t>
      </w:r>
    </w:p>
    <w:p w14:paraId="3BC01A59" w14:textId="77777777" w:rsidR="008A0633" w:rsidRDefault="008A0633" w:rsidP="008A0633">
      <w:pPr>
        <w:pStyle w:val="Cornernotation"/>
      </w:pPr>
      <w:r>
        <w:t>Seventh meeting</w:t>
      </w:r>
    </w:p>
    <w:p w14:paraId="53BF8D6A" w14:textId="77777777" w:rsidR="008A0633" w:rsidRDefault="008A0633" w:rsidP="008A0633">
      <w:pPr>
        <w:pStyle w:val="Cornernotation"/>
        <w:ind w:right="3973"/>
      </w:pPr>
      <w:r>
        <w:t>Kuala Lumpur, 9-20 and 27 February 2004</w:t>
      </w:r>
    </w:p>
    <w:p w14:paraId="76A1077A" w14:textId="77777777" w:rsidR="00754AC7" w:rsidRDefault="00754AC7" w:rsidP="008A0633">
      <w:pPr>
        <w:pStyle w:val="Cornernotation"/>
        <w:ind w:right="3973"/>
      </w:pPr>
      <w:r>
        <w:t xml:space="preserve">Agenda item </w:t>
      </w:r>
      <w:r w:rsidR="00CE1B2A">
        <w:t>20</w:t>
      </w:r>
      <w:r w:rsidR="00E0143B">
        <w:t>.1</w:t>
      </w:r>
    </w:p>
    <w:p w14:paraId="1AA8C9B6"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584EFE4B"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A0633">
        <w:rPr>
          <w:lang w:val="en-US"/>
        </w:rPr>
        <w:t>SEVENTH</w:t>
      </w:r>
      <w:r w:rsidR="00920DEF">
        <w:rPr>
          <w:lang w:val="en-US"/>
        </w:rPr>
        <w:t xml:space="preserve"> meeting</w:t>
      </w:r>
    </w:p>
    <w:p w14:paraId="697E5F68" w14:textId="77777777" w:rsidR="004A34CD" w:rsidRDefault="004A34CD" w:rsidP="004A34CD">
      <w:pPr>
        <w:pStyle w:val="decision0"/>
        <w:tabs>
          <w:tab w:val="left" w:pos="1080"/>
        </w:tabs>
      </w:pPr>
      <w:bookmarkStart w:id="4" w:name="_Toc66527115"/>
      <w:bookmarkStart w:id="5" w:name="_Toc69633882"/>
      <w:bookmarkEnd w:id="0"/>
      <w:bookmarkEnd w:id="1"/>
      <w:bookmarkEnd w:id="2"/>
      <w:bookmarkEnd w:id="3"/>
      <w:r>
        <w:t>VII/22.</w:t>
      </w:r>
      <w:r>
        <w:tab/>
        <w:t>Arrangements for the third review of the effectiveness of the financial mechanism</w:t>
      </w:r>
      <w:bookmarkEnd w:id="4"/>
      <w:bookmarkEnd w:id="5"/>
    </w:p>
    <w:p w14:paraId="301F02A8" w14:textId="77777777" w:rsidR="004A34CD" w:rsidRDefault="004A34CD" w:rsidP="004A34CD">
      <w:pPr>
        <w:pStyle w:val="BodyText"/>
      </w:pPr>
      <w:r>
        <w:rPr>
          <w:i/>
        </w:rPr>
        <w:t>The Conference of the Parties</w:t>
      </w:r>
      <w:r>
        <w:t>,</w:t>
      </w:r>
    </w:p>
    <w:p w14:paraId="30B5B3C2" w14:textId="77777777" w:rsidR="004A34CD" w:rsidRDefault="004A34CD" w:rsidP="004A34CD">
      <w:pPr>
        <w:pStyle w:val="BodyText"/>
      </w:pPr>
      <w:r>
        <w:rPr>
          <w:i/>
        </w:rPr>
        <w:t xml:space="preserve">Recalling </w:t>
      </w:r>
      <w:r>
        <w:t>Article 21 of the Convention on Biological Diversity and decisions III/8 and VI/17,</w:t>
      </w:r>
    </w:p>
    <w:p w14:paraId="45BDF351" w14:textId="77777777" w:rsidR="004A34CD" w:rsidRDefault="004A34CD" w:rsidP="004A34CD">
      <w:pPr>
        <w:pStyle w:val="BodyText"/>
      </w:pPr>
      <w:r>
        <w:rPr>
          <w:i/>
        </w:rPr>
        <w:t>Aware of</w:t>
      </w:r>
      <w:r>
        <w:t xml:space="preserve"> the preparation of the third Overall Performance Study of the Global Environment Facility to be completed by June 2005, and the need to ensure synergies between the Study and the third review of the financial mechanism,</w:t>
      </w:r>
    </w:p>
    <w:p w14:paraId="232C3C1A" w14:textId="77777777" w:rsidR="004A34CD" w:rsidRDefault="004A34CD" w:rsidP="004A34CD">
      <w:pPr>
        <w:pStyle w:val="BodyText"/>
      </w:pPr>
      <w:r>
        <w:t>1.</w:t>
      </w:r>
      <w:r>
        <w:tab/>
      </w:r>
      <w:r>
        <w:rPr>
          <w:i/>
        </w:rPr>
        <w:t xml:space="preserve">Decides </w:t>
      </w:r>
      <w:r>
        <w:t>to adopt the annex to the present decision, containing the objectives, methodology and criteria as well as procedures for the third review of the effectiveness of the financial mechanism to be conducted in time for the eighth meeting of the Conference of the Parties;</w:t>
      </w:r>
    </w:p>
    <w:p w14:paraId="730A6478" w14:textId="77777777" w:rsidR="004A34CD" w:rsidRDefault="004A34CD" w:rsidP="004A34CD">
      <w:pPr>
        <w:pStyle w:val="BodyText"/>
      </w:pPr>
      <w:r>
        <w:t>2.</w:t>
      </w:r>
      <w:r>
        <w:tab/>
      </w:r>
      <w:r>
        <w:rPr>
          <w:i/>
        </w:rPr>
        <w:t xml:space="preserve">Decides also </w:t>
      </w:r>
      <w:r>
        <w:t>that this third review should be conducted by an independent evaluator and under the authority of the Conference of the Parties and take fully into account reports of the Global Environment Facility with respect to operations of the financial mechanism;</w:t>
      </w:r>
    </w:p>
    <w:p w14:paraId="70BD442E" w14:textId="77777777" w:rsidR="004A34CD" w:rsidRDefault="004A34CD" w:rsidP="004A34CD">
      <w:pPr>
        <w:pStyle w:val="BodyText"/>
      </w:pPr>
      <w:r>
        <w:t>3.</w:t>
      </w:r>
      <w:r>
        <w:tab/>
      </w:r>
      <w:r>
        <w:rPr>
          <w:i/>
        </w:rPr>
        <w:t xml:space="preserve">Decides further </w:t>
      </w:r>
      <w:r>
        <w:t>that, based on the results of the review, the Conference of the Parties shall take appropriate action to improve the effectiveness of the mechanism if necessary.</w:t>
      </w:r>
    </w:p>
    <w:p w14:paraId="27ED8AD4" w14:textId="77777777" w:rsidR="004A34CD" w:rsidRDefault="004A34CD" w:rsidP="004A34CD">
      <w:pPr>
        <w:pStyle w:val="Heading2-oneline"/>
      </w:pPr>
      <w:r>
        <w:t>Annex</w:t>
      </w:r>
    </w:p>
    <w:p w14:paraId="5EF3B311" w14:textId="77777777" w:rsidR="004A34CD" w:rsidRDefault="004A34CD" w:rsidP="004A34CD">
      <w:pPr>
        <w:pStyle w:val="HEADINGNOTFORTOC"/>
      </w:pPr>
      <w:r>
        <w:t xml:space="preserve">GUIDELINES FOR THE THIRD REVIEW OF THE EFFECTIVENESS OF THE FINANCIAL MECHANISM </w:t>
      </w:r>
    </w:p>
    <w:p w14:paraId="46297B07" w14:textId="77777777" w:rsidR="004A34CD" w:rsidRDefault="004A34CD" w:rsidP="004A34CD">
      <w:pPr>
        <w:pStyle w:val="Heading2noletter"/>
      </w:pPr>
      <w:r>
        <w:t xml:space="preserve">A. </w:t>
      </w:r>
      <w:r>
        <w:tab/>
        <w:t xml:space="preserve">Objectives </w:t>
      </w:r>
    </w:p>
    <w:p w14:paraId="40618BF1" w14:textId="77777777" w:rsidR="004A34CD" w:rsidRDefault="004A34CD" w:rsidP="004A34CD">
      <w:pPr>
        <w:spacing w:before="120" w:after="120"/>
        <w:rPr>
          <w:szCs w:val="22"/>
        </w:rPr>
      </w:pPr>
      <w:r>
        <w:rPr>
          <w:szCs w:val="22"/>
        </w:rPr>
        <w:t>1.</w:t>
      </w:r>
      <w:r>
        <w:rPr>
          <w:szCs w:val="22"/>
        </w:rPr>
        <w:tab/>
        <w:t xml:space="preserve">In accordance with Article 21, paragraph 3, the Conference of the Parties will review the effectiveness of the mechanism, including the criteria and guidelines referred to in Article 21, paragraph 2, with a view to taking appropriate action to improve the effectiveness of the mechanism if necessary. For this purpose, effectiveness will include: </w:t>
      </w:r>
    </w:p>
    <w:p w14:paraId="79427291" w14:textId="77777777" w:rsidR="004A34CD" w:rsidRDefault="004A34CD" w:rsidP="004A34CD">
      <w:pPr>
        <w:spacing w:before="120" w:after="120"/>
        <w:ind w:firstLine="720"/>
        <w:rPr>
          <w:szCs w:val="22"/>
        </w:rPr>
      </w:pPr>
      <w:r>
        <w:rPr>
          <w:szCs w:val="22"/>
        </w:rPr>
        <w:lastRenderedPageBreak/>
        <w:t xml:space="preserve">(a) </w:t>
      </w:r>
      <w:r>
        <w:rPr>
          <w:szCs w:val="22"/>
        </w:rPr>
        <w:tab/>
        <w:t xml:space="preserve">The effectiveness of the financial mechanism in providing and delivering financial resources, as well as in overseeing, monitoring and evaluating the activities financed by its resources; </w:t>
      </w:r>
    </w:p>
    <w:p w14:paraId="05321299" w14:textId="77777777" w:rsidR="004A34CD" w:rsidRDefault="004A34CD" w:rsidP="004A34CD">
      <w:pPr>
        <w:spacing w:before="120" w:after="120"/>
        <w:ind w:firstLine="720"/>
        <w:rPr>
          <w:szCs w:val="22"/>
        </w:rPr>
      </w:pPr>
      <w:r>
        <w:rPr>
          <w:szCs w:val="22"/>
        </w:rPr>
        <w:t xml:space="preserve">(b) </w:t>
      </w:r>
      <w:r>
        <w:rPr>
          <w:szCs w:val="22"/>
        </w:rPr>
        <w:tab/>
        <w:t xml:space="preserve">The conformity of the activities of the Global Environment Facility (GEF), as the institutional structure operating the financial mechanism, with the guidance of the Conference of the Parties; </w:t>
      </w:r>
    </w:p>
    <w:p w14:paraId="6D003D0A" w14:textId="77777777" w:rsidR="004A34CD" w:rsidRDefault="004A34CD" w:rsidP="004A34CD">
      <w:pPr>
        <w:spacing w:before="120" w:after="120"/>
        <w:ind w:firstLine="720"/>
        <w:rPr>
          <w:szCs w:val="22"/>
        </w:rPr>
      </w:pPr>
      <w:r>
        <w:rPr>
          <w:szCs w:val="22"/>
        </w:rPr>
        <w:t xml:space="preserve">(c) </w:t>
      </w:r>
      <w:r>
        <w:rPr>
          <w:szCs w:val="22"/>
        </w:rPr>
        <w:tab/>
        <w:t>The efficiency and effectiveness of the process of providing guidance to the financial mechanism to promote the implementation of the Convention and the achievement of its three objectives;</w:t>
      </w:r>
    </w:p>
    <w:p w14:paraId="3D329115" w14:textId="77777777" w:rsidR="004A34CD" w:rsidRDefault="004A34CD" w:rsidP="004A34CD">
      <w:pPr>
        <w:spacing w:before="120" w:after="120"/>
        <w:ind w:firstLine="720"/>
        <w:rPr>
          <w:szCs w:val="22"/>
        </w:rPr>
      </w:pPr>
      <w:r>
        <w:rPr>
          <w:szCs w:val="22"/>
        </w:rPr>
        <w:t xml:space="preserve">(d) </w:t>
      </w:r>
      <w:r>
        <w:rPr>
          <w:szCs w:val="22"/>
        </w:rPr>
        <w:tab/>
        <w:t>The efficiency, effectiveness and sustainability of the GEF-funded activities on the implementation of the Convention and in the achievement of its three objectives, taking into account the guidance provided by the Conference of the Parties.</w:t>
      </w:r>
    </w:p>
    <w:p w14:paraId="57F4B469" w14:textId="77777777" w:rsidR="004A34CD" w:rsidRDefault="004A34CD" w:rsidP="004A34CD">
      <w:pPr>
        <w:pStyle w:val="Heading2noletter"/>
      </w:pPr>
      <w:r>
        <w:t xml:space="preserve">B. </w:t>
      </w:r>
      <w:r w:rsidR="00D13322">
        <w:tab/>
      </w:r>
      <w:r>
        <w:t xml:space="preserve">Methodology </w:t>
      </w:r>
    </w:p>
    <w:p w14:paraId="61B9FB8E" w14:textId="77777777" w:rsidR="004A34CD" w:rsidRDefault="004A34CD" w:rsidP="004A34CD">
      <w:pPr>
        <w:rPr>
          <w:szCs w:val="22"/>
        </w:rPr>
      </w:pPr>
      <w:r>
        <w:rPr>
          <w:szCs w:val="22"/>
        </w:rPr>
        <w:t>2.</w:t>
      </w:r>
      <w:r>
        <w:rPr>
          <w:szCs w:val="22"/>
        </w:rPr>
        <w:tab/>
        <w:t xml:space="preserve">The review will cover all the activities of the financial mechanism for the period from July 2001 to June 2005. </w:t>
      </w:r>
    </w:p>
    <w:p w14:paraId="36F46781" w14:textId="77777777" w:rsidR="004A34CD" w:rsidRDefault="004A34CD" w:rsidP="004A34CD">
      <w:pPr>
        <w:rPr>
          <w:strike/>
          <w:szCs w:val="22"/>
        </w:rPr>
      </w:pPr>
    </w:p>
    <w:p w14:paraId="59338F70" w14:textId="77777777" w:rsidR="004A34CD" w:rsidRDefault="004A34CD" w:rsidP="004A34CD">
      <w:pPr>
        <w:rPr>
          <w:szCs w:val="22"/>
        </w:rPr>
      </w:pPr>
      <w:r>
        <w:rPr>
          <w:szCs w:val="22"/>
        </w:rPr>
        <w:t>3.</w:t>
      </w:r>
      <w:r>
        <w:rPr>
          <w:szCs w:val="22"/>
        </w:rPr>
        <w:tab/>
        <w:t xml:space="preserve">The review shall draw upon, </w:t>
      </w:r>
      <w:r>
        <w:rPr>
          <w:i/>
          <w:szCs w:val="22"/>
        </w:rPr>
        <w:t>inter alia</w:t>
      </w:r>
      <w:r>
        <w:rPr>
          <w:szCs w:val="22"/>
        </w:rPr>
        <w:t xml:space="preserve">, the following sources of information: </w:t>
      </w:r>
    </w:p>
    <w:p w14:paraId="2A1291C8" w14:textId="77777777" w:rsidR="004A34CD" w:rsidRDefault="004A34CD" w:rsidP="004A34CD">
      <w:pPr>
        <w:pStyle w:val="BodyText"/>
        <w:rPr>
          <w:b/>
        </w:rPr>
      </w:pPr>
      <w:r>
        <w:t xml:space="preserve">(a) </w:t>
      </w:r>
      <w:r>
        <w:tab/>
        <w:t>Information provided by both developed and developing countries and Parties regarding the financial mechanism</w:t>
      </w:r>
      <w:r>
        <w:rPr>
          <w:b/>
        </w:rPr>
        <w:t xml:space="preserve">, </w:t>
      </w:r>
      <w:r>
        <w:t xml:space="preserve">including national reports with respect to the financial mechanism; </w:t>
      </w:r>
    </w:p>
    <w:p w14:paraId="256F742F" w14:textId="77777777" w:rsidR="004A34CD" w:rsidRDefault="004A34CD" w:rsidP="004A34CD">
      <w:pPr>
        <w:pStyle w:val="BodyText"/>
      </w:pPr>
      <w:r>
        <w:t xml:space="preserve">(b) </w:t>
      </w:r>
      <w:r>
        <w:tab/>
        <w:t>Reports prepared by the Global Environment Facility, including its reports to the Conference of the Parties;</w:t>
      </w:r>
    </w:p>
    <w:p w14:paraId="3FC8F056" w14:textId="77777777" w:rsidR="004A34CD" w:rsidRDefault="004A34CD" w:rsidP="004A34CD">
      <w:pPr>
        <w:pStyle w:val="BodyText"/>
      </w:pPr>
      <w:r>
        <w:t xml:space="preserve">(c) </w:t>
      </w:r>
      <w:r>
        <w:tab/>
        <w:t>Reports of the independent GEF Monitoring and Evaluation Unit that relate to GEF biodiversity activities within the framework of the financial mechanism;</w:t>
      </w:r>
    </w:p>
    <w:p w14:paraId="1AB8F51A" w14:textId="77777777" w:rsidR="004A34CD" w:rsidRDefault="004A34CD" w:rsidP="004A34CD">
      <w:pPr>
        <w:pStyle w:val="BodyText"/>
      </w:pPr>
      <w:r>
        <w:t xml:space="preserve">(d) </w:t>
      </w:r>
      <w:r>
        <w:tab/>
        <w:t>The Third Overall Performance Study of the Global Environment Facility;</w:t>
      </w:r>
    </w:p>
    <w:p w14:paraId="449FA277" w14:textId="77777777" w:rsidR="004A34CD" w:rsidRDefault="004A34CD" w:rsidP="004A34CD">
      <w:pPr>
        <w:pStyle w:val="BodyText"/>
      </w:pPr>
      <w:r>
        <w:t>(e)</w:t>
      </w:r>
      <w:r>
        <w:tab/>
        <w:t xml:space="preserve"> Information provided by other relevant stakeholders. </w:t>
      </w:r>
    </w:p>
    <w:p w14:paraId="3B2875AA" w14:textId="77777777" w:rsidR="004A34CD" w:rsidRDefault="004A34CD" w:rsidP="004A34CD">
      <w:pPr>
        <w:pStyle w:val="Heading2noletter"/>
      </w:pPr>
      <w:r>
        <w:t xml:space="preserve">C. </w:t>
      </w:r>
      <w:r>
        <w:tab/>
        <w:t xml:space="preserve">Criteria </w:t>
      </w:r>
    </w:p>
    <w:p w14:paraId="1A36CAB5" w14:textId="77777777" w:rsidR="004A34CD" w:rsidRDefault="004A34CD" w:rsidP="004A34CD">
      <w:pPr>
        <w:rPr>
          <w:szCs w:val="22"/>
        </w:rPr>
      </w:pPr>
      <w:r>
        <w:rPr>
          <w:szCs w:val="22"/>
        </w:rPr>
        <w:t xml:space="preserve">4. </w:t>
      </w:r>
      <w:r>
        <w:rPr>
          <w:szCs w:val="22"/>
        </w:rPr>
        <w:tab/>
        <w:t xml:space="preserve">The effectiveness of the financial mechanism shall be assessed taking into account, </w:t>
      </w:r>
      <w:r>
        <w:rPr>
          <w:i/>
          <w:szCs w:val="22"/>
        </w:rPr>
        <w:t>inter alia</w:t>
      </w:r>
      <w:r>
        <w:rPr>
          <w:szCs w:val="22"/>
        </w:rPr>
        <w:t xml:space="preserve">: </w:t>
      </w:r>
    </w:p>
    <w:p w14:paraId="430B5453" w14:textId="77777777" w:rsidR="004A34CD" w:rsidRDefault="004A34CD" w:rsidP="004A34CD">
      <w:pPr>
        <w:pStyle w:val="BodyText"/>
      </w:pPr>
      <w:r>
        <w:t xml:space="preserve">(a) </w:t>
      </w:r>
      <w:r>
        <w:tab/>
        <w:t xml:space="preserve">The steps and actions taken by the financial mechanism in response to the actions requested by the Conference of the Parties at its fourth meeting to improve the effectiveness of the financial mechanism, as set out in the annex to its decision IV/11 as well as in decision VI/17; </w:t>
      </w:r>
    </w:p>
    <w:p w14:paraId="24AED470" w14:textId="77777777" w:rsidR="004A34CD" w:rsidRDefault="004A34CD" w:rsidP="004A34CD">
      <w:pPr>
        <w:pStyle w:val="BodyText"/>
      </w:pPr>
      <w:r>
        <w:t xml:space="preserve">(b) </w:t>
      </w:r>
      <w:r>
        <w:tab/>
        <w:t xml:space="preserve">The actions taken by the financial mechanism in response to the guidance of the Conference of the Parties, as contained in decisions I/2, II/6, III/5, IV/13, V/13 and VI/17; </w:t>
      </w:r>
    </w:p>
    <w:p w14:paraId="62188FD2" w14:textId="77777777" w:rsidR="00D13322" w:rsidRDefault="004A34CD" w:rsidP="004A34CD">
      <w:pPr>
        <w:pStyle w:val="BodyText"/>
      </w:pPr>
      <w:r>
        <w:t xml:space="preserve">(c) </w:t>
      </w:r>
      <w:r>
        <w:tab/>
        <w:t xml:space="preserve">Any other significant issue raised by the Parties. </w:t>
      </w:r>
    </w:p>
    <w:p w14:paraId="635261E6" w14:textId="77777777" w:rsidR="00D13322" w:rsidRDefault="00D13322" w:rsidP="004A34CD">
      <w:pPr>
        <w:pStyle w:val="BodyText"/>
        <w:sectPr w:rsidR="00D13322" w:rsidSect="00DD3D2B">
          <w:footerReference w:type="even" r:id="rId15"/>
          <w:type w:val="continuous"/>
          <w:pgSz w:w="12240" w:h="15840" w:code="1"/>
          <w:pgMar w:top="1021" w:right="1440" w:bottom="1134" w:left="1440" w:header="454" w:footer="709" w:gutter="0"/>
          <w:cols w:space="708"/>
          <w:docGrid w:linePitch="360"/>
        </w:sectPr>
      </w:pPr>
    </w:p>
    <w:p w14:paraId="6A82A2FF" w14:textId="77777777" w:rsidR="004A34CD" w:rsidRDefault="004A34CD" w:rsidP="004A34CD">
      <w:pPr>
        <w:pStyle w:val="Heading2noletter"/>
      </w:pPr>
      <w:r>
        <w:t>D.</w:t>
      </w:r>
      <w:r>
        <w:tab/>
        <w:t xml:space="preserve">Procedures </w:t>
      </w:r>
    </w:p>
    <w:p w14:paraId="30B406CD" w14:textId="77777777" w:rsidR="004A34CD" w:rsidRDefault="004A34CD" w:rsidP="004A34CD">
      <w:pPr>
        <w:spacing w:before="120" w:after="120"/>
        <w:rPr>
          <w:szCs w:val="22"/>
        </w:rPr>
      </w:pPr>
      <w:r>
        <w:rPr>
          <w:szCs w:val="22"/>
        </w:rPr>
        <w:t>5.</w:t>
      </w:r>
      <w:r>
        <w:rPr>
          <w:szCs w:val="22"/>
        </w:rPr>
        <w:tab/>
        <w:t xml:space="preserve">Under the authority and with the support of the Conference of the Parties, the Executive Secretary shall contract an experienced independent evaluator to undertake the review, in accordance with the above objectives, methodology and criteria. </w:t>
      </w:r>
    </w:p>
    <w:p w14:paraId="0575AB1C" w14:textId="77777777" w:rsidR="004A34CD" w:rsidRDefault="004A34CD" w:rsidP="004A34CD">
      <w:pPr>
        <w:spacing w:before="120" w:after="120"/>
        <w:rPr>
          <w:szCs w:val="22"/>
        </w:rPr>
      </w:pPr>
      <w:r>
        <w:rPr>
          <w:szCs w:val="22"/>
        </w:rPr>
        <w:t>6.</w:t>
      </w:r>
      <w:r>
        <w:rPr>
          <w:szCs w:val="22"/>
        </w:rPr>
        <w:tab/>
        <w:t>The evaluator shall design a questionnaire using the criteria adopted in the present guidelines, to be sent to the Parties and other stakeholders as soon as practicable after the seventh meeting of the Conference of the Parties, and prepare a compilation and synthesis of the information received.</w:t>
      </w:r>
    </w:p>
    <w:p w14:paraId="0E321356" w14:textId="77777777" w:rsidR="004A34CD" w:rsidRDefault="004A34CD" w:rsidP="004A34CD">
      <w:pPr>
        <w:spacing w:before="120" w:after="120"/>
        <w:rPr>
          <w:szCs w:val="22"/>
        </w:rPr>
      </w:pPr>
      <w:r>
        <w:rPr>
          <w:szCs w:val="22"/>
        </w:rPr>
        <w:lastRenderedPageBreak/>
        <w:t>7.</w:t>
      </w:r>
      <w:r>
        <w:rPr>
          <w:szCs w:val="22"/>
        </w:rPr>
        <w:tab/>
        <w:t>The evaluator will undertake such desk studies, interviews, field visits and collaboration with the GEF Monitoring and Evaluation Unit, as may be required, for the preparation of the review, subject to the availability of resources.</w:t>
      </w:r>
    </w:p>
    <w:p w14:paraId="321C8CA1" w14:textId="77777777" w:rsidR="004A34CD" w:rsidRDefault="004A34CD" w:rsidP="004A34CD">
      <w:pPr>
        <w:spacing w:before="120" w:after="120"/>
        <w:rPr>
          <w:szCs w:val="22"/>
        </w:rPr>
      </w:pPr>
      <w:r>
        <w:rPr>
          <w:szCs w:val="22"/>
        </w:rPr>
        <w:t xml:space="preserve">8. </w:t>
      </w:r>
      <w:r>
        <w:rPr>
          <w:szCs w:val="22"/>
        </w:rPr>
        <w:tab/>
        <w:t xml:space="preserve">The draft compilation and synthesis, and the recommendations of the evaluator, will be made available to GEF for its review and comments.  Such comments shall be included in the documentation and identified by source. </w:t>
      </w:r>
    </w:p>
    <w:p w14:paraId="0C4BD3C9" w14:textId="77777777" w:rsidR="004A34CD" w:rsidRDefault="004A34CD" w:rsidP="004A34CD">
      <w:pPr>
        <w:spacing w:before="120" w:after="120"/>
        <w:rPr>
          <w:szCs w:val="22"/>
        </w:rPr>
      </w:pPr>
      <w:r>
        <w:rPr>
          <w:szCs w:val="22"/>
        </w:rPr>
        <w:t xml:space="preserve">9. </w:t>
      </w:r>
      <w:r>
        <w:rPr>
          <w:szCs w:val="22"/>
        </w:rPr>
        <w:tab/>
        <w:t>Based on the synthesis report and recommendations of the independent evaluator, the Executive Secretary shall prepare, in consultation with the GEF, a draft decision on the third review of the financial mechanism, including specific suggestions for action to improve the effectiveness of the mechanism if necessary, for consideration of the eighth meeting of the Conference of the Parties.</w:t>
      </w:r>
    </w:p>
    <w:p w14:paraId="54086A95" w14:textId="77777777" w:rsidR="004A34CD" w:rsidRDefault="004A34CD" w:rsidP="004A34CD">
      <w:pPr>
        <w:pStyle w:val="BodyText"/>
        <w:ind w:firstLine="0"/>
        <w:rPr>
          <w:szCs w:val="22"/>
        </w:rPr>
      </w:pPr>
      <w:r>
        <w:rPr>
          <w:szCs w:val="22"/>
        </w:rPr>
        <w:t xml:space="preserve">10. </w:t>
      </w:r>
      <w:r>
        <w:rPr>
          <w:szCs w:val="22"/>
        </w:rPr>
        <w:tab/>
        <w:t>The Executive Secretary shall submit all the relevant documents to Parties at least three months prior to the eighth meeting of the Conference of the Parties.</w:t>
      </w:r>
    </w:p>
    <w:p w14:paraId="61EDC88B" w14:textId="77777777" w:rsidR="00FB4C40" w:rsidRDefault="00FB4C40" w:rsidP="00CE6A90"/>
    <w:p w14:paraId="7A336458" w14:textId="77777777" w:rsidR="003600D1" w:rsidRDefault="003600D1" w:rsidP="00FB4C40">
      <w:pPr>
        <w:jc w:val="center"/>
      </w:pPr>
      <w:r>
        <w:t>-----</w:t>
      </w:r>
    </w:p>
    <w:sectPr w:rsidR="003600D1" w:rsidSect="00DD3D2B">
      <w:footerReference w:type="default"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976AE" w14:textId="77777777" w:rsidR="0045319D" w:rsidRDefault="0045319D">
      <w:r>
        <w:separator/>
      </w:r>
    </w:p>
  </w:endnote>
  <w:endnote w:type="continuationSeparator" w:id="0">
    <w:p w14:paraId="59BCFB85" w14:textId="77777777" w:rsidR="0045319D" w:rsidRDefault="004531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5E384"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B30B1"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86554" w14:textId="77777777" w:rsidR="008B5F66" w:rsidRPr="008B5F66" w:rsidRDefault="008B5F66">
    <w:pPr>
      <w:pStyle w:val="Footer"/>
      <w:rPr>
        <w:lang w:val="en-CA"/>
      </w:rPr>
    </w:pPr>
    <w:r>
      <w:rPr>
        <w:lang w:val="en-CA"/>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3DE89" w14:textId="77777777" w:rsidR="008B5F66" w:rsidRPr="00D13322" w:rsidRDefault="00D13322" w:rsidP="008B5F66">
    <w:pPr>
      <w:pStyle w:val="Footer"/>
      <w:rPr>
        <w:lang w:val="en-CA"/>
      </w:rPr>
    </w:pPr>
    <w:r>
      <w:rPr>
        <w:lang w:val="en-CA"/>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EF64E" w14:textId="77777777" w:rsidR="00D13322" w:rsidRPr="00D13322" w:rsidRDefault="00D13322" w:rsidP="00D133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5F50F" w14:textId="77777777" w:rsidR="0045319D" w:rsidRDefault="0045319D">
      <w:r>
        <w:separator/>
      </w:r>
    </w:p>
  </w:footnote>
  <w:footnote w:type="continuationSeparator" w:id="0">
    <w:p w14:paraId="19A93E83" w14:textId="77777777" w:rsidR="0045319D" w:rsidRDefault="004531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42E8B" w14:textId="77777777" w:rsidR="00622C68" w:rsidRDefault="007E5A45">
    <w:pPr>
      <w:pStyle w:val="Header"/>
    </w:pPr>
    <w:r>
      <w:t>UNEP/CBD/COP</w:t>
    </w:r>
    <w:r w:rsidR="008A0633">
      <w:t>/DEC/VII</w:t>
    </w:r>
    <w:r w:rsidR="00DD3D2B">
      <w:t>/</w:t>
    </w:r>
    <w:r w:rsidR="00E0143B">
      <w:t>2</w:t>
    </w:r>
    <w:r w:rsidR="00D13322">
      <w:t>2</w:t>
    </w:r>
  </w:p>
  <w:p w14:paraId="7D1A8D78"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2D0E20">
      <w:rPr>
        <w:noProof/>
      </w:rPr>
      <w:t>2</w:t>
    </w:r>
    <w:r w:rsidRPr="0067729E">
      <w:fldChar w:fldCharType="end"/>
    </w:r>
  </w:p>
  <w:p w14:paraId="7EB221E9"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1408C" w14:textId="77777777" w:rsidR="003600D1" w:rsidRDefault="003600D1" w:rsidP="004137F6">
    <w:pPr>
      <w:pStyle w:val="Header"/>
      <w:ind w:left="6490"/>
    </w:pPr>
    <w:r>
      <w:t>UNEP/CBD/COP/DEC/</w:t>
    </w:r>
    <w:r w:rsidR="00DD3D2B">
      <w:t>VII/</w:t>
    </w:r>
    <w:r w:rsidR="00D13322">
      <w:t>22</w:t>
    </w:r>
  </w:p>
  <w:p w14:paraId="4C35FA40" w14:textId="77777777" w:rsidR="003600D1" w:rsidRDefault="003600D1" w:rsidP="004137F6">
    <w:pPr>
      <w:pStyle w:val="Header"/>
      <w:ind w:left="6490"/>
    </w:pPr>
    <w:r>
      <w:t xml:space="preserve">Page </w:t>
    </w:r>
    <w:r w:rsidRPr="0067729E">
      <w:fldChar w:fldCharType="begin"/>
    </w:r>
    <w:r w:rsidRPr="0067729E">
      <w:instrText xml:space="preserve"> PAGE   \* MERGEFORMAT </w:instrText>
    </w:r>
    <w:r w:rsidRPr="0067729E">
      <w:fldChar w:fldCharType="separate"/>
    </w:r>
    <w:r w:rsidR="002D0E20">
      <w:rPr>
        <w:noProof/>
      </w:rPr>
      <w:t>3</w:t>
    </w:r>
    <w:r w:rsidRPr="0067729E">
      <w:fldChar w:fldCharType="end"/>
    </w:r>
  </w:p>
  <w:p w14:paraId="4DCE365A"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71E9B5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 w15:restartNumberingAfterBreak="0">
    <w:nsid w:val="0ABD167A"/>
    <w:multiLevelType w:val="hybridMultilevel"/>
    <w:tmpl w:val="E92618E8"/>
    <w:lvl w:ilvl="0" w:tplc="FFFFFFFF">
      <w:start w:val="1"/>
      <w:numFmt w:val="lowerLetter"/>
      <w:lvlRestart w:val="0"/>
      <w:lvlText w:val="(%1)"/>
      <w:lvlJc w:val="left"/>
      <w:pPr>
        <w:tabs>
          <w:tab w:val="num" w:pos="1797"/>
        </w:tabs>
        <w:ind w:left="72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0B950AC6"/>
    <w:multiLevelType w:val="multilevel"/>
    <w:tmpl w:val="FF5C19E0"/>
    <w:lvl w:ilvl="0">
      <w:start w:val="1"/>
      <w:numFmt w:val="decimal"/>
      <w:pStyle w:val="Heading-itemmultiline"/>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2160"/>
        </w:tabs>
        <w:ind w:left="720" w:firstLine="720"/>
      </w:pPr>
      <w:rPr>
        <w:rFonts w:hint="default"/>
        <w:b w:val="0"/>
        <w:i w:val="0"/>
      </w:rPr>
    </w:lvl>
    <w:lvl w:ilvl="2">
      <w:start w:val="1"/>
      <w:numFmt w:val="lowerRoman"/>
      <w:lvlText w:val="(%3)"/>
      <w:lvlJc w:val="right"/>
      <w:pPr>
        <w:tabs>
          <w:tab w:val="num" w:pos="2160"/>
        </w:tabs>
        <w:ind w:left="216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6" w15:restartNumberingAfterBreak="0">
    <w:nsid w:val="190C0FA2"/>
    <w:multiLevelType w:val="hybridMultilevel"/>
    <w:tmpl w:val="C88079DE"/>
    <w:lvl w:ilvl="0" w:tplc="FFFFFFFF">
      <w:start w:val="1"/>
      <w:numFmt w:val="lowerLetter"/>
      <w:lvlText w:val="(%1)"/>
      <w:lvlJc w:val="left"/>
      <w:pPr>
        <w:tabs>
          <w:tab w:val="num" w:pos="1440"/>
        </w:tabs>
        <w:ind w:left="539" w:firstLine="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2BCD1D2B"/>
    <w:multiLevelType w:val="hybridMultilevel"/>
    <w:tmpl w:val="62827F92"/>
    <w:lvl w:ilvl="0" w:tplc="FFFFFFFF">
      <w:start w:val="1"/>
      <w:numFmt w:val="lowerLetter"/>
      <w:lvlRestart w:val="0"/>
      <w:lvlText w:val="(%1)"/>
      <w:lvlJc w:val="left"/>
      <w:pPr>
        <w:tabs>
          <w:tab w:val="num" w:pos="1077"/>
        </w:tabs>
        <w:ind w:left="0" w:firstLine="720"/>
      </w:pPr>
      <w:rPr>
        <w:rFonts w:ascii="Times New Roman" w:hAnsi="Times New Roman" w:hint="default"/>
        <w:b w:val="0"/>
        <w:i w:val="0"/>
        <w:sz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2EDB318A"/>
    <w:multiLevelType w:val="hybridMultilevel"/>
    <w:tmpl w:val="632E4938"/>
    <w:lvl w:ilvl="0" w:tplc="FFFFFFFF">
      <w:start w:val="1"/>
      <w:numFmt w:val="lowerLetter"/>
      <w:pStyle w:val="Heading4"/>
      <w:lvlText w:val="(%1)"/>
      <w:lvlJc w:val="left"/>
      <w:pPr>
        <w:tabs>
          <w:tab w:val="num" w:pos="720"/>
        </w:tabs>
        <w:ind w:left="720" w:hanging="720"/>
      </w:pPr>
      <w:rPr>
        <w:rFonts w:ascii="Times New Roman" w:hAnsi="Times New Roman" w:hint="default"/>
        <w:b w:val="0"/>
        <w:i/>
        <w:sz w:val="22"/>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9"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15:restartNumberingAfterBreak="0">
    <w:nsid w:val="305731C4"/>
    <w:multiLevelType w:val="hybridMultilevel"/>
    <w:tmpl w:val="2B5CB44E"/>
    <w:lvl w:ilvl="0" w:tplc="611A9E6C">
      <w:start w:val="1"/>
      <w:numFmt w:val="bullet"/>
      <w:pStyle w:val="CBD-Bullet"/>
      <w:lvlText w:val=""/>
      <w:lvlJc w:val="left"/>
      <w:pPr>
        <w:tabs>
          <w:tab w:val="num" w:pos="720"/>
        </w:tabs>
        <w:ind w:left="720" w:hanging="306"/>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2" w15:restartNumberingAfterBreak="0">
    <w:nsid w:val="3CA410CD"/>
    <w:multiLevelType w:val="hybridMultilevel"/>
    <w:tmpl w:val="981C0292"/>
    <w:lvl w:ilvl="0" w:tplc="FFFFFFFF">
      <w:start w:val="1"/>
      <w:numFmt w:val="decimal"/>
      <w:pStyle w:val="CBD-Para"/>
      <w:lvlText w:val="%1."/>
      <w:lvlJc w:val="left"/>
      <w:pPr>
        <w:tabs>
          <w:tab w:val="num" w:pos="720"/>
        </w:tabs>
        <w:ind w:left="0" w:firstLine="0"/>
      </w:pPr>
      <w:rPr>
        <w:rFonts w:hint="default"/>
      </w:rPr>
    </w:lvl>
    <w:lvl w:ilvl="1" w:tplc="FFFFFFFF">
      <w:start w:val="1"/>
      <w:numFmt w:val="lowerLetter"/>
      <w:pStyle w:val="CBD-Para-a"/>
      <w:lvlText w:val="(%2)"/>
      <w:lvlJc w:val="left"/>
      <w:pPr>
        <w:tabs>
          <w:tab w:val="num" w:pos="1080"/>
        </w:tabs>
        <w:ind w:left="1080" w:hanging="360"/>
      </w:pPr>
      <w:rPr>
        <w:rFonts w:hint="default"/>
      </w:rPr>
    </w:lvl>
    <w:lvl w:ilvl="2" w:tplc="FFFFFFFF">
      <w:start w:val="1"/>
      <w:numFmt w:val="lowerLetter"/>
      <w:lvlText w:val="(%3)"/>
      <w:lvlJc w:val="left"/>
      <w:pPr>
        <w:tabs>
          <w:tab w:val="num" w:pos="1980"/>
        </w:tabs>
        <w:ind w:left="1980" w:hanging="360"/>
      </w:pPr>
      <w:rPr>
        <w:rFonts w:hint="default"/>
      </w:r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3"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4"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5" w15:restartNumberingAfterBreak="0">
    <w:nsid w:val="47000D78"/>
    <w:multiLevelType w:val="hybridMultilevel"/>
    <w:tmpl w:val="BAB09966"/>
    <w:lvl w:ilvl="0" w:tplc="FFFFFFFF">
      <w:start w:val="1"/>
      <w:numFmt w:val="bullet"/>
      <w:lvlText w:val=""/>
      <w:lvlJc w:val="left"/>
      <w:pPr>
        <w:tabs>
          <w:tab w:val="num" w:pos="360"/>
        </w:tabs>
        <w:ind w:left="360" w:hanging="360"/>
      </w:pPr>
      <w:rPr>
        <w:rFonts w:ascii="Symbol" w:hAnsi="Symbol" w:hint="default"/>
        <w:vertAlign w:val="baseline"/>
      </w:rPr>
    </w:lvl>
    <w:lvl w:ilvl="1" w:tplc="FFFFFFFF" w:tentative="1">
      <w:start w:val="1"/>
      <w:numFmt w:val="bullet"/>
      <w:lvlText w:val="o"/>
      <w:lvlJc w:val="left"/>
      <w:pPr>
        <w:tabs>
          <w:tab w:val="num" w:pos="1224"/>
        </w:tabs>
        <w:ind w:left="1224" w:hanging="360"/>
      </w:pPr>
      <w:rPr>
        <w:rFonts w:ascii="Courier New" w:hAnsi="Courier New" w:cs="Symbol" w:hint="default"/>
      </w:rPr>
    </w:lvl>
    <w:lvl w:ilvl="2" w:tplc="FFFFFFFF">
      <w:start w:val="1"/>
      <w:numFmt w:val="bullet"/>
      <w:pStyle w:val="Para3"/>
      <w:lvlText w:val=""/>
      <w:lvlJc w:val="left"/>
      <w:pPr>
        <w:tabs>
          <w:tab w:val="num" w:pos="1944"/>
        </w:tabs>
        <w:ind w:left="1944" w:hanging="360"/>
      </w:pPr>
      <w:rPr>
        <w:rFonts w:ascii="Wingdings" w:hAnsi="Wingdings" w:hint="default"/>
      </w:rPr>
    </w:lvl>
    <w:lvl w:ilvl="3" w:tplc="FFFFFFFF" w:tentative="1">
      <w:start w:val="1"/>
      <w:numFmt w:val="bullet"/>
      <w:lvlText w:val=""/>
      <w:lvlJc w:val="left"/>
      <w:pPr>
        <w:tabs>
          <w:tab w:val="num" w:pos="2664"/>
        </w:tabs>
        <w:ind w:left="2664" w:hanging="360"/>
      </w:pPr>
      <w:rPr>
        <w:rFonts w:ascii="Symbol" w:hAnsi="Symbol" w:hint="default"/>
      </w:rPr>
    </w:lvl>
    <w:lvl w:ilvl="4" w:tplc="FFFFFFFF" w:tentative="1">
      <w:start w:val="1"/>
      <w:numFmt w:val="bullet"/>
      <w:lvlText w:val="o"/>
      <w:lvlJc w:val="left"/>
      <w:pPr>
        <w:tabs>
          <w:tab w:val="num" w:pos="3384"/>
        </w:tabs>
        <w:ind w:left="3384" w:hanging="360"/>
      </w:pPr>
      <w:rPr>
        <w:rFonts w:ascii="Courier New" w:hAnsi="Courier New" w:cs="Symbol" w:hint="default"/>
      </w:rPr>
    </w:lvl>
    <w:lvl w:ilvl="5" w:tplc="FFFFFFFF" w:tentative="1">
      <w:start w:val="1"/>
      <w:numFmt w:val="bullet"/>
      <w:lvlText w:val=""/>
      <w:lvlJc w:val="left"/>
      <w:pPr>
        <w:tabs>
          <w:tab w:val="num" w:pos="4104"/>
        </w:tabs>
        <w:ind w:left="4104" w:hanging="360"/>
      </w:pPr>
      <w:rPr>
        <w:rFonts w:ascii="Wingdings" w:hAnsi="Wingdings" w:hint="default"/>
      </w:rPr>
    </w:lvl>
    <w:lvl w:ilvl="6" w:tplc="FFFFFFFF" w:tentative="1">
      <w:start w:val="1"/>
      <w:numFmt w:val="bullet"/>
      <w:lvlText w:val=""/>
      <w:lvlJc w:val="left"/>
      <w:pPr>
        <w:tabs>
          <w:tab w:val="num" w:pos="4824"/>
        </w:tabs>
        <w:ind w:left="4824" w:hanging="360"/>
      </w:pPr>
      <w:rPr>
        <w:rFonts w:ascii="Symbol" w:hAnsi="Symbol" w:hint="default"/>
      </w:rPr>
    </w:lvl>
    <w:lvl w:ilvl="7" w:tplc="FFFFFFFF" w:tentative="1">
      <w:start w:val="1"/>
      <w:numFmt w:val="bullet"/>
      <w:lvlText w:val="o"/>
      <w:lvlJc w:val="left"/>
      <w:pPr>
        <w:tabs>
          <w:tab w:val="num" w:pos="5544"/>
        </w:tabs>
        <w:ind w:left="5544" w:hanging="360"/>
      </w:pPr>
      <w:rPr>
        <w:rFonts w:ascii="Courier New" w:hAnsi="Courier New" w:cs="Symbol" w:hint="default"/>
      </w:rPr>
    </w:lvl>
    <w:lvl w:ilvl="8" w:tplc="FFFFFFFF" w:tentative="1">
      <w:start w:val="1"/>
      <w:numFmt w:val="bullet"/>
      <w:lvlText w:val=""/>
      <w:lvlJc w:val="left"/>
      <w:pPr>
        <w:tabs>
          <w:tab w:val="num" w:pos="6264"/>
        </w:tabs>
        <w:ind w:left="6264" w:hanging="360"/>
      </w:pPr>
      <w:rPr>
        <w:rFonts w:ascii="Wingdings" w:hAnsi="Wingdings" w:hint="default"/>
      </w:rPr>
    </w:lvl>
  </w:abstractNum>
  <w:abstractNum w:abstractNumId="16"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B6A668C"/>
    <w:multiLevelType w:val="hybridMultilevel"/>
    <w:tmpl w:val="7DA6BAE6"/>
    <w:lvl w:ilvl="0" w:tplc="FFFFFFFF">
      <w:start w:val="1"/>
      <w:numFmt w:val="decimal"/>
      <w:pStyle w:val="Paraofficial"/>
      <w:lvlText w:val="%1."/>
      <w:lvlJc w:val="left"/>
      <w:pPr>
        <w:tabs>
          <w:tab w:val="num" w:pos="720"/>
        </w:tabs>
        <w:ind w:left="0" w:firstLine="0"/>
      </w:pPr>
      <w:rPr>
        <w:rFonts w:hint="default"/>
      </w:rPr>
    </w:lvl>
    <w:lvl w:ilvl="1" w:tplc="FFFFFFFF">
      <w:start w:val="2"/>
      <w:numFmt w:val="upperRoman"/>
      <w:lvlText w:val="%2."/>
      <w:lvlJc w:val="left"/>
      <w:pPr>
        <w:tabs>
          <w:tab w:val="num" w:pos="1860"/>
        </w:tabs>
        <w:ind w:left="1860" w:hanging="78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1"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3"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4"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2116748000">
    <w:abstractNumId w:val="8"/>
  </w:num>
  <w:num w:numId="2" w16cid:durableId="112789290">
    <w:abstractNumId w:val="13"/>
  </w:num>
  <w:num w:numId="3" w16cid:durableId="1973558708">
    <w:abstractNumId w:val="9"/>
  </w:num>
  <w:num w:numId="4" w16cid:durableId="851838717">
    <w:abstractNumId w:val="14"/>
  </w:num>
  <w:num w:numId="5" w16cid:durableId="1152479111">
    <w:abstractNumId w:val="16"/>
  </w:num>
  <w:num w:numId="6" w16cid:durableId="1585454390">
    <w:abstractNumId w:val="1"/>
  </w:num>
  <w:num w:numId="7" w16cid:durableId="1484204000">
    <w:abstractNumId w:val="19"/>
  </w:num>
  <w:num w:numId="8" w16cid:durableId="2006780809">
    <w:abstractNumId w:val="11"/>
  </w:num>
  <w:num w:numId="9" w16cid:durableId="693961117">
    <w:abstractNumId w:val="12"/>
  </w:num>
  <w:num w:numId="10" w16cid:durableId="252402428">
    <w:abstractNumId w:val="20"/>
  </w:num>
  <w:num w:numId="11" w16cid:durableId="1192306284">
    <w:abstractNumId w:val="10"/>
  </w:num>
  <w:num w:numId="12" w16cid:durableId="1243024406">
    <w:abstractNumId w:val="4"/>
  </w:num>
  <w:num w:numId="13" w16cid:durableId="1209876998">
    <w:abstractNumId w:val="12"/>
  </w:num>
  <w:num w:numId="14" w16cid:durableId="268510451">
    <w:abstractNumId w:val="17"/>
  </w:num>
  <w:num w:numId="15" w16cid:durableId="837310866">
    <w:abstractNumId w:val="15"/>
  </w:num>
  <w:num w:numId="16" w16cid:durableId="20779674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19928106">
    <w:abstractNumId w:val="22"/>
  </w:num>
  <w:num w:numId="18" w16cid:durableId="303438204">
    <w:abstractNumId w:val="24"/>
  </w:num>
  <w:num w:numId="19" w16cid:durableId="1745714805">
    <w:abstractNumId w:val="18"/>
  </w:num>
  <w:num w:numId="20" w16cid:durableId="557401092">
    <w:abstractNumId w:val="23"/>
  </w:num>
  <w:num w:numId="21" w16cid:durableId="2127962656">
    <w:abstractNumId w:val="21"/>
  </w:num>
  <w:num w:numId="22" w16cid:durableId="1305886254">
    <w:abstractNumId w:val="3"/>
  </w:num>
  <w:num w:numId="23" w16cid:durableId="506869094">
    <w:abstractNumId w:val="7"/>
  </w:num>
  <w:num w:numId="24" w16cid:durableId="1308171332">
    <w:abstractNumId w:val="0"/>
  </w:num>
  <w:num w:numId="25" w16cid:durableId="16930454">
    <w:abstractNumId w:val="4"/>
  </w:num>
  <w:num w:numId="26" w16cid:durableId="12656577">
    <w:abstractNumId w:val="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21E88"/>
    <w:rsid w:val="000304B8"/>
    <w:rsid w:val="00031FB5"/>
    <w:rsid w:val="000322B9"/>
    <w:rsid w:val="00036FB8"/>
    <w:rsid w:val="0003735D"/>
    <w:rsid w:val="0004033E"/>
    <w:rsid w:val="0004191F"/>
    <w:rsid w:val="00042EAE"/>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6BC5"/>
    <w:rsid w:val="000F6BD3"/>
    <w:rsid w:val="000F76F9"/>
    <w:rsid w:val="00101AEE"/>
    <w:rsid w:val="00104339"/>
    <w:rsid w:val="001044B9"/>
    <w:rsid w:val="00110556"/>
    <w:rsid w:val="0011637F"/>
    <w:rsid w:val="00127F17"/>
    <w:rsid w:val="00132171"/>
    <w:rsid w:val="0013529E"/>
    <w:rsid w:val="001359E5"/>
    <w:rsid w:val="00142E6E"/>
    <w:rsid w:val="00143A38"/>
    <w:rsid w:val="0015767A"/>
    <w:rsid w:val="001704BD"/>
    <w:rsid w:val="00170DD4"/>
    <w:rsid w:val="00183221"/>
    <w:rsid w:val="001955F9"/>
    <w:rsid w:val="001979EB"/>
    <w:rsid w:val="00197A41"/>
    <w:rsid w:val="001C04A6"/>
    <w:rsid w:val="001C0D5C"/>
    <w:rsid w:val="001C5ADD"/>
    <w:rsid w:val="001D10BB"/>
    <w:rsid w:val="001D2B37"/>
    <w:rsid w:val="001D7D24"/>
    <w:rsid w:val="001E4D9E"/>
    <w:rsid w:val="001E7437"/>
    <w:rsid w:val="0020409F"/>
    <w:rsid w:val="00204BD1"/>
    <w:rsid w:val="00207872"/>
    <w:rsid w:val="002176DF"/>
    <w:rsid w:val="00217F9F"/>
    <w:rsid w:val="00225EC4"/>
    <w:rsid w:val="00231B95"/>
    <w:rsid w:val="00240193"/>
    <w:rsid w:val="002606D0"/>
    <w:rsid w:val="002608A6"/>
    <w:rsid w:val="00265C4A"/>
    <w:rsid w:val="002864C0"/>
    <w:rsid w:val="00293F3A"/>
    <w:rsid w:val="00295D07"/>
    <w:rsid w:val="00296468"/>
    <w:rsid w:val="002B6868"/>
    <w:rsid w:val="002D0E20"/>
    <w:rsid w:val="002D616C"/>
    <w:rsid w:val="002D6621"/>
    <w:rsid w:val="002E767F"/>
    <w:rsid w:val="002E7AB6"/>
    <w:rsid w:val="002F0451"/>
    <w:rsid w:val="002F46AC"/>
    <w:rsid w:val="00302B57"/>
    <w:rsid w:val="003047DA"/>
    <w:rsid w:val="00326CD3"/>
    <w:rsid w:val="00331607"/>
    <w:rsid w:val="003351E7"/>
    <w:rsid w:val="00337809"/>
    <w:rsid w:val="00340E27"/>
    <w:rsid w:val="00342228"/>
    <w:rsid w:val="00353174"/>
    <w:rsid w:val="003600D1"/>
    <w:rsid w:val="0037069F"/>
    <w:rsid w:val="003845B3"/>
    <w:rsid w:val="003A0207"/>
    <w:rsid w:val="003B2638"/>
    <w:rsid w:val="003C0E7C"/>
    <w:rsid w:val="003C134A"/>
    <w:rsid w:val="003D7FBF"/>
    <w:rsid w:val="003E0290"/>
    <w:rsid w:val="003F4F86"/>
    <w:rsid w:val="003F710F"/>
    <w:rsid w:val="004051C5"/>
    <w:rsid w:val="004074CA"/>
    <w:rsid w:val="00412045"/>
    <w:rsid w:val="004137F6"/>
    <w:rsid w:val="00434D32"/>
    <w:rsid w:val="004407EB"/>
    <w:rsid w:val="00441C8C"/>
    <w:rsid w:val="00447A1F"/>
    <w:rsid w:val="004508B7"/>
    <w:rsid w:val="0045206A"/>
    <w:rsid w:val="0045319D"/>
    <w:rsid w:val="00454C44"/>
    <w:rsid w:val="004617C3"/>
    <w:rsid w:val="00462569"/>
    <w:rsid w:val="00473B69"/>
    <w:rsid w:val="00474A3D"/>
    <w:rsid w:val="00481D82"/>
    <w:rsid w:val="00496CC1"/>
    <w:rsid w:val="00497413"/>
    <w:rsid w:val="00497BC8"/>
    <w:rsid w:val="004A151B"/>
    <w:rsid w:val="004A34CD"/>
    <w:rsid w:val="004A6C2C"/>
    <w:rsid w:val="004A73BE"/>
    <w:rsid w:val="004A7C38"/>
    <w:rsid w:val="004C0119"/>
    <w:rsid w:val="004C5502"/>
    <w:rsid w:val="004C6DFD"/>
    <w:rsid w:val="004E2E0A"/>
    <w:rsid w:val="004E3C09"/>
    <w:rsid w:val="004E5227"/>
    <w:rsid w:val="004F12C7"/>
    <w:rsid w:val="004F2226"/>
    <w:rsid w:val="00506063"/>
    <w:rsid w:val="00507938"/>
    <w:rsid w:val="0051300F"/>
    <w:rsid w:val="00513335"/>
    <w:rsid w:val="00517D76"/>
    <w:rsid w:val="005200C3"/>
    <w:rsid w:val="00520D15"/>
    <w:rsid w:val="00522F1C"/>
    <w:rsid w:val="00533082"/>
    <w:rsid w:val="005351B5"/>
    <w:rsid w:val="00540424"/>
    <w:rsid w:val="005446CA"/>
    <w:rsid w:val="005454C0"/>
    <w:rsid w:val="005466D4"/>
    <w:rsid w:val="005531D6"/>
    <w:rsid w:val="005574A7"/>
    <w:rsid w:val="00560EF5"/>
    <w:rsid w:val="005646F2"/>
    <w:rsid w:val="005652F0"/>
    <w:rsid w:val="00566BD6"/>
    <w:rsid w:val="00566FF3"/>
    <w:rsid w:val="0057045C"/>
    <w:rsid w:val="00573E14"/>
    <w:rsid w:val="005923D2"/>
    <w:rsid w:val="00593C71"/>
    <w:rsid w:val="005948D2"/>
    <w:rsid w:val="005B0866"/>
    <w:rsid w:val="005B1392"/>
    <w:rsid w:val="005B1BEA"/>
    <w:rsid w:val="005B5E30"/>
    <w:rsid w:val="005B7015"/>
    <w:rsid w:val="005C25A7"/>
    <w:rsid w:val="005C5533"/>
    <w:rsid w:val="005C5FE2"/>
    <w:rsid w:val="005C6A6B"/>
    <w:rsid w:val="005D0601"/>
    <w:rsid w:val="005D65B5"/>
    <w:rsid w:val="005D65EC"/>
    <w:rsid w:val="005E48D0"/>
    <w:rsid w:val="005E733A"/>
    <w:rsid w:val="005F57FA"/>
    <w:rsid w:val="00607122"/>
    <w:rsid w:val="0061104D"/>
    <w:rsid w:val="0061324F"/>
    <w:rsid w:val="00613254"/>
    <w:rsid w:val="00613C88"/>
    <w:rsid w:val="00616499"/>
    <w:rsid w:val="00616B57"/>
    <w:rsid w:val="00622C68"/>
    <w:rsid w:val="00626B94"/>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D667E"/>
    <w:rsid w:val="006E5817"/>
    <w:rsid w:val="006E71DD"/>
    <w:rsid w:val="0070304B"/>
    <w:rsid w:val="007111A2"/>
    <w:rsid w:val="007153D2"/>
    <w:rsid w:val="0071556D"/>
    <w:rsid w:val="007231DA"/>
    <w:rsid w:val="00723CB4"/>
    <w:rsid w:val="007257CF"/>
    <w:rsid w:val="007318EE"/>
    <w:rsid w:val="00740D88"/>
    <w:rsid w:val="00745129"/>
    <w:rsid w:val="00746C80"/>
    <w:rsid w:val="00752B93"/>
    <w:rsid w:val="00752BB4"/>
    <w:rsid w:val="0075312E"/>
    <w:rsid w:val="00754AC7"/>
    <w:rsid w:val="00760D3E"/>
    <w:rsid w:val="007668C8"/>
    <w:rsid w:val="00771854"/>
    <w:rsid w:val="00785933"/>
    <w:rsid w:val="007864AA"/>
    <w:rsid w:val="007868AF"/>
    <w:rsid w:val="00790961"/>
    <w:rsid w:val="007933CE"/>
    <w:rsid w:val="00793B1F"/>
    <w:rsid w:val="00795277"/>
    <w:rsid w:val="00796427"/>
    <w:rsid w:val="007A0A61"/>
    <w:rsid w:val="007A2514"/>
    <w:rsid w:val="007C1EFB"/>
    <w:rsid w:val="007C3D15"/>
    <w:rsid w:val="007E5A45"/>
    <w:rsid w:val="007E6D52"/>
    <w:rsid w:val="007F2E14"/>
    <w:rsid w:val="008375EA"/>
    <w:rsid w:val="00840A4C"/>
    <w:rsid w:val="00843130"/>
    <w:rsid w:val="00843B86"/>
    <w:rsid w:val="00844EE4"/>
    <w:rsid w:val="008472BD"/>
    <w:rsid w:val="008618CA"/>
    <w:rsid w:val="00865526"/>
    <w:rsid w:val="008745C3"/>
    <w:rsid w:val="008757FD"/>
    <w:rsid w:val="00885FF8"/>
    <w:rsid w:val="00887CAD"/>
    <w:rsid w:val="00894DB3"/>
    <w:rsid w:val="00897705"/>
    <w:rsid w:val="008A0569"/>
    <w:rsid w:val="008A0633"/>
    <w:rsid w:val="008B02DB"/>
    <w:rsid w:val="008B02F5"/>
    <w:rsid w:val="008B5F66"/>
    <w:rsid w:val="008B64F5"/>
    <w:rsid w:val="008C7872"/>
    <w:rsid w:val="008D2C32"/>
    <w:rsid w:val="008E00E2"/>
    <w:rsid w:val="008E3BCD"/>
    <w:rsid w:val="008F0A05"/>
    <w:rsid w:val="008F7741"/>
    <w:rsid w:val="0091201C"/>
    <w:rsid w:val="00915E8F"/>
    <w:rsid w:val="00920DEF"/>
    <w:rsid w:val="0093578E"/>
    <w:rsid w:val="00943591"/>
    <w:rsid w:val="009454C2"/>
    <w:rsid w:val="009538B4"/>
    <w:rsid w:val="009552E9"/>
    <w:rsid w:val="0097273D"/>
    <w:rsid w:val="009815FC"/>
    <w:rsid w:val="00982CF4"/>
    <w:rsid w:val="00986F40"/>
    <w:rsid w:val="00987DAB"/>
    <w:rsid w:val="0099403B"/>
    <w:rsid w:val="0099434A"/>
    <w:rsid w:val="009956F3"/>
    <w:rsid w:val="00996D25"/>
    <w:rsid w:val="009A5B7C"/>
    <w:rsid w:val="009A6792"/>
    <w:rsid w:val="009B3A9B"/>
    <w:rsid w:val="009B5EA6"/>
    <w:rsid w:val="009C79C3"/>
    <w:rsid w:val="009D0896"/>
    <w:rsid w:val="009D7922"/>
    <w:rsid w:val="009E1702"/>
    <w:rsid w:val="009F4420"/>
    <w:rsid w:val="00A21DFE"/>
    <w:rsid w:val="00A2252D"/>
    <w:rsid w:val="00A3233A"/>
    <w:rsid w:val="00A34BC8"/>
    <w:rsid w:val="00A452E9"/>
    <w:rsid w:val="00A4681F"/>
    <w:rsid w:val="00A51618"/>
    <w:rsid w:val="00A5162F"/>
    <w:rsid w:val="00A6592D"/>
    <w:rsid w:val="00A73220"/>
    <w:rsid w:val="00A732C8"/>
    <w:rsid w:val="00A7419F"/>
    <w:rsid w:val="00A81E1B"/>
    <w:rsid w:val="00A83073"/>
    <w:rsid w:val="00A85715"/>
    <w:rsid w:val="00A9466C"/>
    <w:rsid w:val="00AB186C"/>
    <w:rsid w:val="00AB2825"/>
    <w:rsid w:val="00AC477B"/>
    <w:rsid w:val="00AD01CF"/>
    <w:rsid w:val="00AE0C05"/>
    <w:rsid w:val="00AE18EC"/>
    <w:rsid w:val="00AE2410"/>
    <w:rsid w:val="00AE7E20"/>
    <w:rsid w:val="00AF04F5"/>
    <w:rsid w:val="00AF456A"/>
    <w:rsid w:val="00B034B6"/>
    <w:rsid w:val="00B10CB0"/>
    <w:rsid w:val="00B163B7"/>
    <w:rsid w:val="00B177FA"/>
    <w:rsid w:val="00B179A8"/>
    <w:rsid w:val="00B17F78"/>
    <w:rsid w:val="00B22357"/>
    <w:rsid w:val="00B24DCD"/>
    <w:rsid w:val="00B261FE"/>
    <w:rsid w:val="00B30BA6"/>
    <w:rsid w:val="00B4418A"/>
    <w:rsid w:val="00B61ACF"/>
    <w:rsid w:val="00B752BD"/>
    <w:rsid w:val="00B76B21"/>
    <w:rsid w:val="00B776BA"/>
    <w:rsid w:val="00B857D4"/>
    <w:rsid w:val="00B93618"/>
    <w:rsid w:val="00BA15A1"/>
    <w:rsid w:val="00BA3144"/>
    <w:rsid w:val="00BA406C"/>
    <w:rsid w:val="00BA561B"/>
    <w:rsid w:val="00BB637C"/>
    <w:rsid w:val="00BB66EA"/>
    <w:rsid w:val="00BC080B"/>
    <w:rsid w:val="00BC0D5D"/>
    <w:rsid w:val="00BC3A3C"/>
    <w:rsid w:val="00BC3E92"/>
    <w:rsid w:val="00BC7848"/>
    <w:rsid w:val="00BD0CAA"/>
    <w:rsid w:val="00BE141E"/>
    <w:rsid w:val="00BE47FC"/>
    <w:rsid w:val="00BF049E"/>
    <w:rsid w:val="00C00BC6"/>
    <w:rsid w:val="00C07D06"/>
    <w:rsid w:val="00C107AF"/>
    <w:rsid w:val="00C2009A"/>
    <w:rsid w:val="00C23E13"/>
    <w:rsid w:val="00C4056D"/>
    <w:rsid w:val="00C501BC"/>
    <w:rsid w:val="00C5069F"/>
    <w:rsid w:val="00C51417"/>
    <w:rsid w:val="00C619E5"/>
    <w:rsid w:val="00C64900"/>
    <w:rsid w:val="00C71999"/>
    <w:rsid w:val="00C71E31"/>
    <w:rsid w:val="00C77D2F"/>
    <w:rsid w:val="00C86016"/>
    <w:rsid w:val="00C9199F"/>
    <w:rsid w:val="00CA3B69"/>
    <w:rsid w:val="00CB726E"/>
    <w:rsid w:val="00CE05BF"/>
    <w:rsid w:val="00CE1B2A"/>
    <w:rsid w:val="00CE6A90"/>
    <w:rsid w:val="00CF16F6"/>
    <w:rsid w:val="00CF3E06"/>
    <w:rsid w:val="00D02845"/>
    <w:rsid w:val="00D034FC"/>
    <w:rsid w:val="00D13322"/>
    <w:rsid w:val="00D15C97"/>
    <w:rsid w:val="00D22093"/>
    <w:rsid w:val="00D27DFE"/>
    <w:rsid w:val="00D32A67"/>
    <w:rsid w:val="00D34558"/>
    <w:rsid w:val="00D37F29"/>
    <w:rsid w:val="00D447DA"/>
    <w:rsid w:val="00D5379E"/>
    <w:rsid w:val="00D54AAB"/>
    <w:rsid w:val="00D56F36"/>
    <w:rsid w:val="00D720C9"/>
    <w:rsid w:val="00D945C9"/>
    <w:rsid w:val="00D967CF"/>
    <w:rsid w:val="00D9782F"/>
    <w:rsid w:val="00DB429B"/>
    <w:rsid w:val="00DB44C4"/>
    <w:rsid w:val="00DB79FC"/>
    <w:rsid w:val="00DC38F8"/>
    <w:rsid w:val="00DC4473"/>
    <w:rsid w:val="00DC5EF2"/>
    <w:rsid w:val="00DC65E1"/>
    <w:rsid w:val="00DD3D2B"/>
    <w:rsid w:val="00DE3C71"/>
    <w:rsid w:val="00DE7D63"/>
    <w:rsid w:val="00E00A37"/>
    <w:rsid w:val="00E0143B"/>
    <w:rsid w:val="00E12969"/>
    <w:rsid w:val="00E23A5B"/>
    <w:rsid w:val="00E2655D"/>
    <w:rsid w:val="00E3757E"/>
    <w:rsid w:val="00E40EF0"/>
    <w:rsid w:val="00E445B8"/>
    <w:rsid w:val="00E4679A"/>
    <w:rsid w:val="00E5378C"/>
    <w:rsid w:val="00E55EE0"/>
    <w:rsid w:val="00E66401"/>
    <w:rsid w:val="00E757F2"/>
    <w:rsid w:val="00E765E9"/>
    <w:rsid w:val="00E80DE3"/>
    <w:rsid w:val="00E85547"/>
    <w:rsid w:val="00E91874"/>
    <w:rsid w:val="00E927BF"/>
    <w:rsid w:val="00E9359D"/>
    <w:rsid w:val="00E9799F"/>
    <w:rsid w:val="00EA104C"/>
    <w:rsid w:val="00EA4FCF"/>
    <w:rsid w:val="00ED3DCD"/>
    <w:rsid w:val="00ED474E"/>
    <w:rsid w:val="00ED6A5A"/>
    <w:rsid w:val="00ED6FA3"/>
    <w:rsid w:val="00EF0B6E"/>
    <w:rsid w:val="00EF1BA2"/>
    <w:rsid w:val="00EF5397"/>
    <w:rsid w:val="00EF57A3"/>
    <w:rsid w:val="00EF7753"/>
    <w:rsid w:val="00F04593"/>
    <w:rsid w:val="00F07E77"/>
    <w:rsid w:val="00F17A0E"/>
    <w:rsid w:val="00F23A65"/>
    <w:rsid w:val="00F23BE0"/>
    <w:rsid w:val="00F2557B"/>
    <w:rsid w:val="00F33C1A"/>
    <w:rsid w:val="00F33F2E"/>
    <w:rsid w:val="00F438BD"/>
    <w:rsid w:val="00F474A3"/>
    <w:rsid w:val="00F47E6E"/>
    <w:rsid w:val="00F51F19"/>
    <w:rsid w:val="00F569BB"/>
    <w:rsid w:val="00F63D49"/>
    <w:rsid w:val="00F666BE"/>
    <w:rsid w:val="00F723EF"/>
    <w:rsid w:val="00F7696F"/>
    <w:rsid w:val="00F849C4"/>
    <w:rsid w:val="00F84E70"/>
    <w:rsid w:val="00F87492"/>
    <w:rsid w:val="00FA2262"/>
    <w:rsid w:val="00FB02CE"/>
    <w:rsid w:val="00FB4C40"/>
    <w:rsid w:val="00FC1526"/>
    <w:rsid w:val="00FC4B84"/>
    <w:rsid w:val="00FC60C7"/>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6C72EA"/>
  <w15:chartTrackingRefBased/>
  <w15:docId w15:val="{78BD8B6C-A5E1-7345-BD81-34B97C9C1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decision0">
    <w:name w:val="decision"/>
    <w:basedOn w:val="Normal"/>
    <w:rsid w:val="008A0633"/>
    <w:pPr>
      <w:keepNext/>
      <w:tabs>
        <w:tab w:val="center" w:pos="397"/>
      </w:tabs>
      <w:spacing w:before="120" w:after="240"/>
      <w:jc w:val="center"/>
      <w:outlineLvl w:val="1"/>
    </w:pPr>
    <w:rPr>
      <w:b/>
      <w:bCs/>
      <w:i/>
      <w:iCs/>
    </w:rPr>
  </w:style>
  <w:style w:type="character" w:customStyle="1" w:styleId="Heading2CharChar">
    <w:name w:val="Heading 2 Char Char"/>
    <w:basedOn w:val="DefaultParagraphFont"/>
    <w:rsid w:val="00B17F78"/>
    <w:rPr>
      <w:rFonts w:ascii="Arial" w:hAnsi="Arial" w:cs="Arial"/>
      <w:b/>
      <w:bCs/>
      <w:i/>
      <w:iCs/>
      <w:sz w:val="28"/>
      <w:szCs w:val="28"/>
      <w:lang w:val="en-US" w:eastAsia="en-US" w:bidi="ar-SA"/>
    </w:rPr>
  </w:style>
  <w:style w:type="paragraph" w:customStyle="1" w:styleId="FBD-goal">
    <w:name w:val="FBD-goal"/>
    <w:basedOn w:val="Normal"/>
    <w:rsid w:val="005E48D0"/>
    <w:pPr>
      <w:keepNext/>
      <w:spacing w:before="120" w:after="120"/>
    </w:pPr>
    <w:rPr>
      <w:b/>
      <w:i/>
      <w:iCs/>
    </w:rPr>
  </w:style>
  <w:style w:type="paragraph" w:customStyle="1" w:styleId="List-sbstta">
    <w:name w:val="List-sbstta"/>
    <w:basedOn w:val="Normal"/>
    <w:rsid w:val="005E48D0"/>
    <w:pPr>
      <w:spacing w:before="120" w:after="120"/>
      <w:ind w:left="1701" w:hanging="850"/>
    </w:pPr>
    <w:rPr>
      <w:szCs w:val="22"/>
    </w:rPr>
  </w:style>
  <w:style w:type="paragraph" w:customStyle="1" w:styleId="Listsbsttasubpara">
    <w:name w:val="List sbstta subpara"/>
    <w:basedOn w:val="BodyTextIndent"/>
    <w:rsid w:val="005E48D0"/>
    <w:pPr>
      <w:ind w:left="2410"/>
      <w:jc w:val="both"/>
    </w:pPr>
  </w:style>
  <w:style w:type="paragraph" w:customStyle="1" w:styleId="Progelement">
    <w:name w:val="Progelement"/>
    <w:basedOn w:val="Heading3"/>
    <w:rsid w:val="005E48D0"/>
    <w:pPr>
      <w:jc w:val="left"/>
    </w:pPr>
    <w:rPr>
      <w:b/>
      <w:bCs/>
      <w:i w:val="0"/>
      <w:iCs w:val="0"/>
      <w:szCs w:val="22"/>
    </w:rPr>
  </w:style>
  <w:style w:type="character" w:customStyle="1" w:styleId="StylePara3ItalicChar">
    <w:name w:val="Style Para3 + Italic Char"/>
    <w:basedOn w:val="DefaultParagraphFont"/>
    <w:rsid w:val="005E48D0"/>
    <w:rPr>
      <w:i/>
      <w:iCs/>
      <w:sz w:val="22"/>
      <w:lang w:val="en-GB" w:eastAsia="en-US" w:bidi="ar-SA"/>
    </w:rPr>
  </w:style>
  <w:style w:type="paragraph" w:customStyle="1" w:styleId="headingoneline">
    <w:name w:val="headingoneline"/>
    <w:basedOn w:val="Normal"/>
    <w:next w:val="Para1"/>
    <w:rsid w:val="00D945C9"/>
    <w:pPr>
      <w:keepNext/>
      <w:spacing w:before="120" w:after="120"/>
      <w:jc w:val="center"/>
    </w:pPr>
    <w:rPr>
      <w:i/>
    </w:rPr>
  </w:style>
  <w:style w:type="paragraph" w:customStyle="1" w:styleId="Para3nonumber">
    <w:name w:val="Para  3 (no number)"/>
    <w:basedOn w:val="Para3"/>
    <w:rsid w:val="00D945C9"/>
    <w:pPr>
      <w:numPr>
        <w:ilvl w:val="0"/>
        <w:numId w:val="0"/>
      </w:numPr>
      <w:tabs>
        <w:tab w:val="clear" w:pos="1980"/>
        <w:tab w:val="left" w:pos="2160"/>
      </w:tabs>
      <w:spacing w:before="120" w:after="120"/>
      <w:ind w:left="2160" w:hanging="720"/>
    </w:pPr>
    <w:rPr>
      <w:szCs w:val="22"/>
    </w:rPr>
  </w:style>
  <w:style w:type="paragraph" w:customStyle="1" w:styleId="StyleHeader11ptJustified">
    <w:name w:val="Style Header + 11 pt Justified"/>
    <w:basedOn w:val="Header"/>
    <w:rsid w:val="00D945C9"/>
    <w:pPr>
      <w:tabs>
        <w:tab w:val="clear" w:pos="4153"/>
        <w:tab w:val="clear" w:pos="8306"/>
      </w:tabs>
      <w:spacing w:after="120"/>
    </w:pPr>
    <w:rPr>
      <w:szCs w:val="22"/>
      <w:lang w:val="en-US"/>
    </w:rPr>
  </w:style>
  <w:style w:type="paragraph" w:customStyle="1" w:styleId="decision2long">
    <w:name w:val="decision 2 long"/>
    <w:basedOn w:val="Normal"/>
    <w:rsid w:val="00D945C9"/>
    <w:pPr>
      <w:keepNext/>
      <w:tabs>
        <w:tab w:val="left" w:pos="720"/>
      </w:tabs>
      <w:spacing w:before="120" w:after="120"/>
      <w:ind w:left="1843" w:right="998" w:hanging="567"/>
      <w:jc w:val="left"/>
      <w:outlineLvl w:val="0"/>
    </w:pPr>
    <w:rPr>
      <w:b/>
      <w:i/>
      <w:iCs/>
    </w:rPr>
  </w:style>
  <w:style w:type="character" w:customStyle="1" w:styleId="decision2longChar">
    <w:name w:val="decision 2 long Char"/>
    <w:basedOn w:val="DefaultParagraphFont"/>
    <w:rsid w:val="00D945C9"/>
    <w:rPr>
      <w:b/>
      <w:i/>
      <w:iCs/>
      <w:sz w:val="22"/>
      <w:szCs w:val="24"/>
      <w:lang w:val="en-GB" w:eastAsia="en-US" w:bidi="ar-SA"/>
    </w:rPr>
  </w:style>
  <w:style w:type="paragraph" w:customStyle="1" w:styleId="Heading2longmultilinedecision">
    <w:name w:val="Heading 2 (long multiline decision)"/>
    <w:basedOn w:val="Normal"/>
    <w:rsid w:val="00447A1F"/>
    <w:pPr>
      <w:keepNext/>
      <w:tabs>
        <w:tab w:val="left" w:pos="720"/>
      </w:tabs>
      <w:spacing w:before="120" w:after="120"/>
      <w:ind w:left="2127" w:right="998" w:hanging="1276"/>
      <w:jc w:val="left"/>
      <w:outlineLvl w:val="0"/>
    </w:pPr>
    <w:rPr>
      <w:b/>
      <w:i/>
      <w:iCs/>
    </w:rPr>
  </w:style>
  <w:style w:type="character" w:customStyle="1" w:styleId="decisionChar0">
    <w:name w:val="decision Char"/>
    <w:basedOn w:val="DefaultParagraphFont"/>
    <w:rsid w:val="000F6BD3"/>
    <w:rPr>
      <w:b/>
      <w:bCs/>
      <w:i/>
      <w:iCs/>
      <w:sz w:val="22"/>
      <w:szCs w:val="24"/>
      <w:lang w:val="en-GB" w:eastAsia="en-US" w:bidi="ar-SA"/>
    </w:rPr>
  </w:style>
  <w:style w:type="paragraph" w:styleId="Caption">
    <w:name w:val="caption"/>
    <w:basedOn w:val="Normal"/>
    <w:next w:val="Normal"/>
    <w:qFormat/>
    <w:rsid w:val="00036FB8"/>
    <w:rPr>
      <w:u w:val="single"/>
    </w:rPr>
  </w:style>
  <w:style w:type="paragraph" w:customStyle="1" w:styleId="Heading4doubleindent">
    <w:name w:val="Heading 4 double indent"/>
    <w:basedOn w:val="Normal"/>
    <w:rsid w:val="00036FB8"/>
    <w:pPr>
      <w:keepNext/>
      <w:widowControl w:val="0"/>
      <w:overflowPunct w:val="0"/>
      <w:autoSpaceDE w:val="0"/>
      <w:autoSpaceDN w:val="0"/>
      <w:adjustRightInd w:val="0"/>
      <w:spacing w:before="120" w:after="120" w:line="240" w:lineRule="exact"/>
      <w:ind w:left="2404" w:hanging="964"/>
      <w:jc w:val="left"/>
      <w:textAlignment w:val="baseline"/>
    </w:pPr>
    <w:rPr>
      <w:rFonts w:ascii="Courier" w:hAnsi="Courier"/>
      <w:sz w:val="20"/>
      <w:szCs w:val="20"/>
      <w:u w:val="single"/>
    </w:rPr>
  </w:style>
  <w:style w:type="character" w:customStyle="1" w:styleId="StyleHeader11ptChar">
    <w:name w:val="Style Header + 11 pt Char"/>
    <w:basedOn w:val="DefaultParagraphFont"/>
    <w:rsid w:val="00036FB8"/>
    <w:rPr>
      <w:sz w:val="22"/>
      <w:szCs w:val="22"/>
      <w:lang w:val="en-US" w:eastAsia="en-US" w:bidi="ar-SA"/>
    </w:rPr>
  </w:style>
  <w:style w:type="paragraph" w:customStyle="1" w:styleId="Operationalguideline">
    <w:name w:val="Operational guideline"/>
    <w:basedOn w:val="Normal"/>
    <w:rsid w:val="009B5EA6"/>
    <w:pPr>
      <w:numPr>
        <w:numId w:val="23"/>
      </w:numPr>
      <w:spacing w:before="120" w:after="120"/>
      <w:ind w:left="720" w:hanging="496"/>
    </w:pPr>
    <w:rPr>
      <w:snapToGrid w:val="0"/>
      <w:szCs w:val="22"/>
      <w:lang w:val="en-US"/>
    </w:rPr>
  </w:style>
  <w:style w:type="paragraph" w:customStyle="1" w:styleId="Practicalprinciplesub">
    <w:name w:val="Practical principle sub"/>
    <w:basedOn w:val="Heading40"/>
    <w:rsid w:val="009B5EA6"/>
    <w:pPr>
      <w:widowControl w:val="0"/>
      <w:numPr>
        <w:ilvl w:val="1"/>
        <w:numId w:val="22"/>
      </w:numPr>
      <w:spacing w:before="240"/>
      <w:jc w:val="left"/>
    </w:pPr>
    <w:rPr>
      <w:bCs w:val="0"/>
      <w:szCs w:val="22"/>
    </w:rPr>
  </w:style>
  <w:style w:type="paragraph" w:customStyle="1" w:styleId="Practicalprinciple">
    <w:name w:val="Practical principle"/>
    <w:basedOn w:val="Heading40"/>
    <w:rsid w:val="009B5EA6"/>
    <w:pPr>
      <w:spacing w:before="240"/>
      <w:ind w:left="2421" w:hanging="2421"/>
      <w:jc w:val="left"/>
    </w:pPr>
    <w:rPr>
      <w:bCs w:val="0"/>
      <w:iCs w:val="0"/>
      <w:snapToGrid w:val="0"/>
      <w:szCs w:val="22"/>
    </w:rPr>
  </w:style>
  <w:style w:type="paragraph" w:customStyle="1" w:styleId="Rationale">
    <w:name w:val="Rationale"/>
    <w:basedOn w:val="Practicalprinciple"/>
    <w:rsid w:val="009B5EA6"/>
    <w:rPr>
      <w:b w:val="0"/>
      <w:bCs/>
      <w:i w:val="0"/>
      <w:iCs/>
    </w:rPr>
  </w:style>
  <w:style w:type="paragraph" w:customStyle="1" w:styleId="Heading-itemmultiline">
    <w:name w:val="Heading-item (multiline)"/>
    <w:basedOn w:val="Normal"/>
    <w:rsid w:val="00626B94"/>
    <w:pPr>
      <w:keepNext/>
      <w:numPr>
        <w:numId w:val="26"/>
      </w:numPr>
      <w:tabs>
        <w:tab w:val="clear" w:pos="360"/>
      </w:tabs>
      <w:spacing w:before="240" w:after="120"/>
      <w:ind w:left="1560" w:hanging="851"/>
      <w:jc w:val="left"/>
    </w:pPr>
    <w:rPr>
      <w:b/>
      <w:i/>
      <w:iCs/>
    </w:rPr>
  </w:style>
  <w:style w:type="paragraph" w:customStyle="1" w:styleId="decisonlevel2">
    <w:name w:val="decison level 2"/>
    <w:basedOn w:val="decision0"/>
    <w:rsid w:val="00626B94"/>
    <w:pPr>
      <w:spacing w:before="240"/>
    </w:pPr>
  </w:style>
  <w:style w:type="paragraph" w:customStyle="1" w:styleId="Heading2multilinerecommendation">
    <w:name w:val="Heading 2 (multiline recommendation)"/>
    <w:basedOn w:val="Normal"/>
    <w:rsid w:val="008B5F66"/>
    <w:pPr>
      <w:keepNext/>
      <w:tabs>
        <w:tab w:val="left" w:pos="1843"/>
      </w:tabs>
      <w:spacing w:before="120" w:after="120"/>
      <w:ind w:left="1843" w:right="998" w:hanging="941"/>
      <w:jc w:val="left"/>
      <w:outlineLvl w:val="0"/>
    </w:pPr>
    <w:rPr>
      <w:b/>
      <w:i/>
      <w:iCs/>
    </w:rPr>
  </w:style>
  <w:style w:type="paragraph" w:styleId="ListBullet2">
    <w:name w:val="List Bullet 2"/>
    <w:basedOn w:val="Normal"/>
    <w:rsid w:val="00240193"/>
    <w:pPr>
      <w:numPr>
        <w:numId w:val="24"/>
      </w:numPr>
    </w:pPr>
  </w:style>
  <w:style w:type="paragraph" w:customStyle="1" w:styleId="list3">
    <w:name w:val="list3"/>
    <w:basedOn w:val="Normal"/>
    <w:autoRedefine/>
    <w:rsid w:val="00240193"/>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3</Pages>
  <Words>872</Words>
  <Characters>4971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COP Decision VII/22</vt:lpstr>
    </vt:vector>
  </TitlesOfParts>
  <Company/>
  <LinksUpToDate>false</LinksUpToDate>
  <CharactersWithSpaces>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VII/22</dc:title>
  <dc:subject>Arrangements for the third review of the effectiveness of the financial mechanism</dc:subject>
  <dc:creator>Secretariat of the Convention on Biological Diversity</dc:creator>
  <cp:keywords>CBD</cp:keywords>
  <dc:description/>
  <cp:lastModifiedBy>Rodrigo Elias</cp:lastModifiedBy>
  <cp:revision>2</cp:revision>
  <cp:lastPrinted>2009-10-08T14:37:00Z</cp:lastPrinted>
  <dcterms:created xsi:type="dcterms:W3CDTF">2025-11-13T19:04:00Z</dcterms:created>
  <dcterms:modified xsi:type="dcterms:W3CDTF">2025-11-13T19:04:00Z</dcterms:modified>
  <cp:category>Decision</cp:category>
</cp:coreProperties>
</file>