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5756922" w14:textId="77777777">
        <w:tblPrEx>
          <w:tblCellMar>
            <w:top w:w="0" w:type="dxa"/>
            <w:bottom w:w="0" w:type="dxa"/>
          </w:tblCellMar>
        </w:tblPrEx>
        <w:trPr>
          <w:gridBefore w:val="1"/>
          <w:wBefore w:w="16" w:type="dxa"/>
        </w:trPr>
        <w:tc>
          <w:tcPr>
            <w:tcW w:w="1326" w:type="dxa"/>
            <w:tcBorders>
              <w:bottom w:val="single" w:sz="12" w:space="0" w:color="000000"/>
            </w:tcBorders>
          </w:tcPr>
          <w:p w14:paraId="77B68354" w14:textId="77777777" w:rsidR="00897705" w:rsidRDefault="001474B4">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C7D6C06" wp14:editId="4232DC29">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FD936EF" w14:textId="77777777" w:rsidR="00897705" w:rsidRDefault="001474B4">
            <w:r>
              <w:rPr>
                <w:noProof/>
                <w:sz w:val="20"/>
              </w:rPr>
              <w:drawing>
                <wp:anchor distT="0" distB="0" distL="114300" distR="114300" simplePos="0" relativeHeight="251657216" behindDoc="0" locked="1" layoutInCell="1" allowOverlap="0" wp14:anchorId="018642BD" wp14:editId="57FDE47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B1D4D9C" w14:textId="77777777" w:rsidR="00897705" w:rsidRPr="00D56F36" w:rsidRDefault="00897705">
            <w:pPr>
              <w:jc w:val="right"/>
              <w:rPr>
                <w:rFonts w:ascii="Univers" w:hAnsi="Univers"/>
                <w:b/>
                <w:sz w:val="32"/>
              </w:rPr>
            </w:pPr>
            <w:r w:rsidRPr="00D56F36">
              <w:rPr>
                <w:rFonts w:ascii="Univers" w:hAnsi="Univers"/>
                <w:b/>
                <w:sz w:val="32"/>
              </w:rPr>
              <w:t>CBD</w:t>
            </w:r>
          </w:p>
          <w:p w14:paraId="6E372AE4" w14:textId="77777777" w:rsidR="00897705" w:rsidRPr="00F849C4" w:rsidRDefault="00897705" w:rsidP="00F23A65">
            <w:pPr>
              <w:jc w:val="center"/>
              <w:rPr>
                <w:rFonts w:ascii="Univers" w:hAnsi="Univers"/>
                <w:b/>
                <w:i/>
                <w:sz w:val="32"/>
              </w:rPr>
            </w:pPr>
          </w:p>
        </w:tc>
      </w:tr>
      <w:tr w:rsidR="00897705" w14:paraId="2E40AEA9" w14:textId="77777777">
        <w:tblPrEx>
          <w:tblCellMar>
            <w:top w:w="0" w:type="dxa"/>
            <w:bottom w:w="0" w:type="dxa"/>
          </w:tblCellMar>
        </w:tblPrEx>
        <w:trPr>
          <w:cantSplit/>
          <w:trHeight w:val="1693"/>
        </w:trPr>
        <w:tc>
          <w:tcPr>
            <w:tcW w:w="6629" w:type="dxa"/>
            <w:gridSpan w:val="4"/>
            <w:tcBorders>
              <w:bottom w:val="single" w:sz="36" w:space="0" w:color="000000"/>
            </w:tcBorders>
          </w:tcPr>
          <w:p w14:paraId="144F2462" w14:textId="77777777" w:rsidR="00897705" w:rsidRPr="00F849C4" w:rsidRDefault="001474B4">
            <w:pPr>
              <w:ind w:right="1422"/>
              <w:rPr>
                <w:i/>
              </w:rPr>
            </w:pPr>
            <w:r w:rsidRPr="00F849C4">
              <w:rPr>
                <w:i/>
                <w:noProof/>
              </w:rPr>
              <w:drawing>
                <wp:inline distT="0" distB="0" distL="0" distR="0" wp14:anchorId="1E93D54E" wp14:editId="286AD30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B336DB6" w14:textId="77777777" w:rsidR="00897705" w:rsidRPr="00507938" w:rsidRDefault="00897705">
            <w:r w:rsidRPr="00507938">
              <w:t>Distr.</w:t>
            </w:r>
          </w:p>
          <w:p w14:paraId="3F04BC1B" w14:textId="77777777" w:rsidR="00897705" w:rsidRPr="00507938" w:rsidRDefault="00897705">
            <w:r w:rsidRPr="00507938">
              <w:t>GENERAL</w:t>
            </w:r>
          </w:p>
          <w:p w14:paraId="33B11B3F" w14:textId="77777777" w:rsidR="00897705" w:rsidRPr="00507938" w:rsidRDefault="00897705"/>
          <w:p w14:paraId="2C6F05A5" w14:textId="77777777" w:rsidR="00897705" w:rsidRPr="00507938" w:rsidRDefault="00897705">
            <w:r w:rsidRPr="00507938">
              <w:t>UNEP/CBD/COP/</w:t>
            </w:r>
            <w:r w:rsidR="007E5A45">
              <w:t>DEC/VIII</w:t>
            </w:r>
            <w:r w:rsidR="00754AC7">
              <w:t>/</w:t>
            </w:r>
            <w:r w:rsidR="00B81DA9">
              <w:t>2</w:t>
            </w:r>
            <w:r w:rsidR="007E1342">
              <w:t>9</w:t>
            </w:r>
          </w:p>
          <w:p w14:paraId="3A3868E7" w14:textId="77777777" w:rsidR="00897705" w:rsidRDefault="00B81DA9">
            <w:r>
              <w:t>15</w:t>
            </w:r>
            <w:r w:rsidR="00920DEF">
              <w:t xml:space="preserve"> </w:t>
            </w:r>
            <w:r>
              <w:t>June 2006</w:t>
            </w:r>
          </w:p>
          <w:p w14:paraId="211D3738" w14:textId="77777777" w:rsidR="00920DEF" w:rsidRPr="00507938" w:rsidRDefault="00920DEF"/>
          <w:p w14:paraId="78DC15E3" w14:textId="77777777" w:rsidR="00897705" w:rsidRPr="00507938" w:rsidRDefault="00897705">
            <w:r w:rsidRPr="00507938">
              <w:t>ORIGINAL:  ENGLISH</w:t>
            </w:r>
          </w:p>
        </w:tc>
      </w:tr>
    </w:tbl>
    <w:p w14:paraId="0279535A" w14:textId="77777777" w:rsidR="00897705" w:rsidRDefault="00897705">
      <w:pPr>
        <w:pStyle w:val="Cornernotation"/>
      </w:pPr>
      <w:r>
        <w:t>CONFERENCE OF THE PARTIES TO THE CONVENTION ON BIOLOGICAL DIVERSITY</w:t>
      </w:r>
    </w:p>
    <w:p w14:paraId="037F61E4" w14:textId="77777777" w:rsidR="007E5A45" w:rsidRDefault="007E5A45" w:rsidP="007E5A45">
      <w:pPr>
        <w:pStyle w:val="Cornernotation"/>
      </w:pPr>
      <w:r>
        <w:t>Eighth meeting</w:t>
      </w:r>
    </w:p>
    <w:p w14:paraId="48DB122A" w14:textId="77777777" w:rsidR="007E5A45" w:rsidRDefault="007E5A45" w:rsidP="007E5A45">
      <w:pPr>
        <w:pStyle w:val="Cornernotation"/>
        <w:ind w:right="3973"/>
      </w:pPr>
      <w:r>
        <w:t>Curitiba, Brazil, 20-31 March 2006</w:t>
      </w:r>
    </w:p>
    <w:p w14:paraId="1754B7C9" w14:textId="77777777" w:rsidR="00754AC7" w:rsidRDefault="00754AC7">
      <w:pPr>
        <w:pStyle w:val="Cornernotation"/>
        <w:ind w:right="3973"/>
      </w:pPr>
      <w:r>
        <w:t xml:space="preserve">Agenda item </w:t>
      </w:r>
      <w:r w:rsidR="007E1342">
        <w:t>27.5</w:t>
      </w:r>
    </w:p>
    <w:p w14:paraId="281B66B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type w:val="continuous"/>
          <w:pgSz w:w="12240" w:h="15840" w:code="1"/>
          <w:pgMar w:top="567" w:right="1440" w:bottom="1134" w:left="1440" w:header="454" w:footer="720" w:gutter="0"/>
          <w:cols w:space="720"/>
          <w:noEndnote/>
          <w:titlePg/>
          <w:docGrid w:linePitch="299"/>
        </w:sectPr>
      </w:pPr>
    </w:p>
    <w:p w14:paraId="3E41873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72ED8DBD" w14:textId="77777777" w:rsidR="007E1342" w:rsidRDefault="007E1342" w:rsidP="007E1342">
      <w:pPr>
        <w:pStyle w:val="Headingrec"/>
      </w:pPr>
      <w:bookmarkStart w:id="4" w:name="_Toc131912911"/>
      <w:bookmarkEnd w:id="0"/>
      <w:bookmarkEnd w:id="1"/>
      <w:bookmarkEnd w:id="2"/>
      <w:bookmarkEnd w:id="3"/>
      <w:r>
        <w:t>VIII/29.</w:t>
      </w:r>
      <w:r>
        <w:tab/>
        <w:t>Liability and redress</w:t>
      </w:r>
      <w:bookmarkEnd w:id="4"/>
    </w:p>
    <w:p w14:paraId="1E638B6A" w14:textId="77777777" w:rsidR="007E1342" w:rsidRDefault="007E1342" w:rsidP="007E1342">
      <w:pPr>
        <w:pStyle w:val="Bodytextitalic"/>
      </w:pPr>
      <w:r>
        <w:t xml:space="preserve">The Conference of the Parties </w:t>
      </w:r>
      <w:r>
        <w:rPr>
          <w:iCs/>
        </w:rPr>
        <w:t>to the Convention on Biological Diversity</w:t>
      </w:r>
      <w:r>
        <w:t>,</w:t>
      </w:r>
    </w:p>
    <w:p w14:paraId="6BE82FCE" w14:textId="77777777" w:rsidR="007E1342" w:rsidRDefault="007E1342" w:rsidP="007E1342">
      <w:pPr>
        <w:pStyle w:val="Bodytextitalic"/>
      </w:pPr>
      <w:r>
        <w:t xml:space="preserve">Recalling </w:t>
      </w:r>
      <w:r>
        <w:rPr>
          <w:i w:val="0"/>
        </w:rPr>
        <w:t>its decisions VI/11 and VII/17,</w:t>
      </w:r>
    </w:p>
    <w:p w14:paraId="457EEAEC" w14:textId="77777777" w:rsidR="007E1342" w:rsidRDefault="007E1342" w:rsidP="007E1342">
      <w:pPr>
        <w:pStyle w:val="BodyText"/>
      </w:pPr>
      <w:r>
        <w:t>1.</w:t>
      </w:r>
      <w:r>
        <w:tab/>
      </w:r>
      <w:r>
        <w:rPr>
          <w:i/>
        </w:rPr>
        <w:t>Welcomes</w:t>
      </w:r>
      <w:r>
        <w:t xml:space="preserve"> the report of the Group of Legal and Technical Experts on Liability and Redress in the Context of Paragraph 2 of Article 14 of the Convention (UNEP/CBD/COP/8/27/Add.3); </w:t>
      </w:r>
    </w:p>
    <w:p w14:paraId="31072798" w14:textId="77777777" w:rsidR="007E1342" w:rsidRDefault="007E1342" w:rsidP="007E1342">
      <w:pPr>
        <w:pStyle w:val="BodyText"/>
      </w:pPr>
      <w:r>
        <w:t>2.</w:t>
      </w:r>
      <w:r>
        <w:tab/>
      </w:r>
      <w:r>
        <w:rPr>
          <w:i/>
        </w:rPr>
        <w:t xml:space="preserve">Invites </w:t>
      </w:r>
      <w:r>
        <w:t xml:space="preserve">Parties and other Governments to submit to the Executive Secretary examples of national/domestic legislation and case-studies relating to liability and redress for damage to biological diversity, including approaches to valuation and restoration, and </w:t>
      </w:r>
      <w:r>
        <w:rPr>
          <w:i/>
        </w:rPr>
        <w:t>requests</w:t>
      </w:r>
      <w:r>
        <w:t xml:space="preserve"> the Executive Secretary to compile this information and disseminate it through the clearing-house mechanism; </w:t>
      </w:r>
    </w:p>
    <w:p w14:paraId="7A86AD1C" w14:textId="77777777" w:rsidR="007E1342" w:rsidRDefault="007E1342" w:rsidP="007E1342">
      <w:pPr>
        <w:pStyle w:val="BodyText"/>
      </w:pPr>
      <w:r>
        <w:t>3</w:t>
      </w:r>
      <w:r>
        <w:tab/>
      </w:r>
      <w:r>
        <w:rPr>
          <w:i/>
        </w:rPr>
        <w:t>Requests</w:t>
      </w:r>
      <w:r>
        <w:t xml:space="preserve"> the Executive Secretary to gather and compile technical information relating to damage to biological diversity and approaches to valuation and restoration of damage to biological diversity as well as information on national/domestic measures and experiences, focusing in particular on the issues identified in the conclusions of the Group of Legal and Technical Experts on Liability and Redress and to prepare a synthesis report for examination by the ninth meeting of the Conference of the Parties in accordance with paragraph 2 of article 14 of the Convention; </w:t>
      </w:r>
    </w:p>
    <w:p w14:paraId="1BAC0289" w14:textId="77777777" w:rsidR="003600D1" w:rsidRPr="00FE1483" w:rsidRDefault="007E1342" w:rsidP="007E1342">
      <w:r>
        <w:t>4.</w:t>
      </w:r>
      <w:r>
        <w:tab/>
      </w:r>
      <w:r>
        <w:rPr>
          <w:i/>
        </w:rPr>
        <w:t xml:space="preserve">Reiterates </w:t>
      </w:r>
      <w:r>
        <w:t>its call to Parties, Governments and relevant international organizations in paragraph 3 of decision VI/11 to cooperate with a view to strengthening capacities at the national level with regard to measures for the prevention of damage to biological diversity, establishment and implementation of national legislative regimes, and policy and administrative measures on liability and redress, and to provide financial resources for this purpose.</w:t>
      </w:r>
    </w:p>
    <w:p w14:paraId="30EA02E2" w14:textId="77777777" w:rsidR="003600D1" w:rsidRDefault="003600D1" w:rsidP="003600D1">
      <w:pPr>
        <w:jc w:val="center"/>
      </w:pPr>
      <w:r>
        <w:t>-----</w:t>
      </w:r>
    </w:p>
    <w:sectPr w:rsidR="003600D1" w:rsidSect="003600D1">
      <w:footerReference w:type="default" r:id="rId14"/>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C227B" w14:textId="77777777" w:rsidR="007328F0" w:rsidRDefault="007328F0">
      <w:r>
        <w:separator/>
      </w:r>
    </w:p>
  </w:endnote>
  <w:endnote w:type="continuationSeparator" w:id="0">
    <w:p w14:paraId="083AA769" w14:textId="77777777" w:rsidR="007328F0" w:rsidRDefault="00732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FEF2"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7048"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5166"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E8F3A" w14:textId="77777777" w:rsidR="007328F0" w:rsidRDefault="007328F0">
      <w:r>
        <w:separator/>
      </w:r>
    </w:p>
  </w:footnote>
  <w:footnote w:type="continuationSeparator" w:id="0">
    <w:p w14:paraId="2B945F5E" w14:textId="77777777" w:rsidR="007328F0" w:rsidRDefault="00732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36E5" w14:textId="77777777" w:rsidR="00622C68" w:rsidRDefault="007E5A45">
    <w:pPr>
      <w:pStyle w:val="Header"/>
    </w:pPr>
    <w:r>
      <w:t>UNEP/CBD/COP/DEC/VIII</w:t>
    </w:r>
    <w:r w:rsidR="00B81DA9">
      <w:t>/2</w:t>
    </w:r>
  </w:p>
  <w:p w14:paraId="33629D80"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83867">
      <w:rPr>
        <w:noProof/>
      </w:rPr>
      <w:t>6</w:t>
    </w:r>
    <w:r w:rsidRPr="0067729E">
      <w:fldChar w:fldCharType="end"/>
    </w:r>
  </w:p>
  <w:p w14:paraId="6940F4B7"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62F4" w14:textId="77777777" w:rsidR="003600D1" w:rsidRDefault="00B81DA9" w:rsidP="003600D1">
    <w:pPr>
      <w:pStyle w:val="Header"/>
      <w:ind w:left="6710"/>
    </w:pPr>
    <w:r>
      <w:t>UNEP/CBD/COP/DEC/IX/2</w:t>
    </w:r>
  </w:p>
  <w:p w14:paraId="2CD3DCEB"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D83867">
      <w:rPr>
        <w:noProof/>
      </w:rPr>
      <w:t>7</w:t>
    </w:r>
    <w:r w:rsidRPr="0067729E">
      <w:fldChar w:fldCharType="end"/>
    </w:r>
  </w:p>
  <w:p w14:paraId="56CEF8A3"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822624130">
    <w:abstractNumId w:val="16"/>
  </w:num>
  <w:num w:numId="2" w16cid:durableId="399795523">
    <w:abstractNumId w:val="23"/>
  </w:num>
  <w:num w:numId="3" w16cid:durableId="157816590">
    <w:abstractNumId w:val="18"/>
  </w:num>
  <w:num w:numId="4" w16cid:durableId="893810797">
    <w:abstractNumId w:val="25"/>
  </w:num>
  <w:num w:numId="5" w16cid:durableId="1080327808">
    <w:abstractNumId w:val="27"/>
  </w:num>
  <w:num w:numId="6" w16cid:durableId="1402866325">
    <w:abstractNumId w:val="9"/>
  </w:num>
  <w:num w:numId="7" w16cid:durableId="641348389">
    <w:abstractNumId w:val="31"/>
  </w:num>
  <w:num w:numId="8" w16cid:durableId="1534924798">
    <w:abstractNumId w:val="21"/>
  </w:num>
  <w:num w:numId="9" w16cid:durableId="665670890">
    <w:abstractNumId w:val="22"/>
  </w:num>
  <w:num w:numId="10" w16cid:durableId="1713264254">
    <w:abstractNumId w:val="32"/>
  </w:num>
  <w:num w:numId="11" w16cid:durableId="1691296717">
    <w:abstractNumId w:val="19"/>
  </w:num>
  <w:num w:numId="12" w16cid:durableId="724067050">
    <w:abstractNumId w:val="12"/>
  </w:num>
  <w:num w:numId="13" w16cid:durableId="1734162709">
    <w:abstractNumId w:val="22"/>
  </w:num>
  <w:num w:numId="14" w16cid:durableId="229925244">
    <w:abstractNumId w:val="28"/>
  </w:num>
  <w:num w:numId="15" w16cid:durableId="625547635">
    <w:abstractNumId w:val="26"/>
  </w:num>
  <w:num w:numId="16" w16cid:durableId="2870476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88951081">
    <w:abstractNumId w:val="34"/>
  </w:num>
  <w:num w:numId="18" w16cid:durableId="803082790">
    <w:abstractNumId w:val="37"/>
  </w:num>
  <w:num w:numId="19" w16cid:durableId="1624076046">
    <w:abstractNumId w:val="29"/>
  </w:num>
  <w:num w:numId="20" w16cid:durableId="795680939">
    <w:abstractNumId w:val="35"/>
  </w:num>
  <w:num w:numId="21" w16cid:durableId="1942570880">
    <w:abstractNumId w:val="33"/>
  </w:num>
  <w:num w:numId="22" w16cid:durableId="1195924415">
    <w:abstractNumId w:val="36"/>
  </w:num>
  <w:num w:numId="23" w16cid:durableId="1973900483">
    <w:abstractNumId w:val="30"/>
  </w:num>
  <w:num w:numId="24" w16cid:durableId="337657815">
    <w:abstractNumId w:val="14"/>
  </w:num>
  <w:num w:numId="25" w16cid:durableId="1753426978">
    <w:abstractNumId w:val="11"/>
  </w:num>
  <w:num w:numId="26" w16cid:durableId="1619219676">
    <w:abstractNumId w:val="39"/>
  </w:num>
  <w:num w:numId="27" w16cid:durableId="945505426">
    <w:abstractNumId w:val="38"/>
  </w:num>
  <w:num w:numId="28" w16cid:durableId="1396589302">
    <w:abstractNumId w:val="17"/>
  </w:num>
  <w:num w:numId="29" w16cid:durableId="694967930">
    <w:abstractNumId w:val="15"/>
  </w:num>
  <w:num w:numId="30" w16cid:durableId="800463627">
    <w:abstractNumId w:val="20"/>
  </w:num>
  <w:num w:numId="31" w16cid:durableId="410662978">
    <w:abstractNumId w:val="24"/>
  </w:num>
  <w:num w:numId="32" w16cid:durableId="191192864">
    <w:abstractNumId w:val="7"/>
  </w:num>
  <w:num w:numId="33" w16cid:durableId="187069189">
    <w:abstractNumId w:val="6"/>
  </w:num>
  <w:num w:numId="34" w16cid:durableId="1241908202">
    <w:abstractNumId w:val="5"/>
  </w:num>
  <w:num w:numId="35" w16cid:durableId="1711147005">
    <w:abstractNumId w:val="4"/>
  </w:num>
  <w:num w:numId="36" w16cid:durableId="394739301">
    <w:abstractNumId w:val="8"/>
  </w:num>
  <w:num w:numId="37" w16cid:durableId="1546066118">
    <w:abstractNumId w:val="3"/>
  </w:num>
  <w:num w:numId="38" w16cid:durableId="564416906">
    <w:abstractNumId w:val="2"/>
  </w:num>
  <w:num w:numId="39" w16cid:durableId="1890846073">
    <w:abstractNumId w:val="1"/>
  </w:num>
  <w:num w:numId="40" w16cid:durableId="67017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474B4"/>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5CDC"/>
    <w:rsid w:val="006B7F30"/>
    <w:rsid w:val="006C5B44"/>
    <w:rsid w:val="006D57EA"/>
    <w:rsid w:val="006D667E"/>
    <w:rsid w:val="006E5817"/>
    <w:rsid w:val="0070304B"/>
    <w:rsid w:val="007153D2"/>
    <w:rsid w:val="007257CF"/>
    <w:rsid w:val="007318EE"/>
    <w:rsid w:val="007328F0"/>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1342"/>
    <w:rsid w:val="007E5A45"/>
    <w:rsid w:val="007E6D52"/>
    <w:rsid w:val="007F2E14"/>
    <w:rsid w:val="008375EA"/>
    <w:rsid w:val="00840A4C"/>
    <w:rsid w:val="00843130"/>
    <w:rsid w:val="00844EE4"/>
    <w:rsid w:val="00865526"/>
    <w:rsid w:val="00870654"/>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B349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22E6D2"/>
  <w15:chartTrackingRefBased/>
  <w15:docId w15:val="{2DAB3940-437C-3742-9256-3D853BCE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COP Decision VIII/29</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VIII/29</dc:title>
  <dc:subject>Liability and redress</dc:subject>
  <dc:creator>Secretariat of the Convention on Biological Diversity</dc:creator>
  <cp:keywords>CBD; Liability and redress</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