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372C8" w14:paraId="3E107864"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074C2CC5" w14:textId="77777777" w:rsidR="00F838E3" w:rsidRPr="00C372C8" w:rsidRDefault="00326F99" w:rsidP="00F838E3">
            <w:pPr>
              <w:pStyle w:val="Para1"/>
              <w:numPr>
                <w:ilvl w:val="0"/>
                <w:numId w:val="0"/>
              </w:numPr>
              <w:spacing w:before="0" w:after="0"/>
              <w:rPr>
                <w:noProof/>
                <w:snapToGrid/>
                <w:szCs w:val="24"/>
              </w:rPr>
            </w:pPr>
            <w:r>
              <w:rPr>
                <w:noProof/>
              </w:rPr>
              <w:drawing>
                <wp:anchor distT="0" distB="0" distL="114300" distR="114300" simplePos="0" relativeHeight="251658240" behindDoc="0" locked="1" layoutInCell="1" allowOverlap="0" wp14:anchorId="63C4D208" wp14:editId="18838F49">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05E3F3C" w14:textId="77777777" w:rsidR="00F838E3" w:rsidRPr="00C372C8" w:rsidRDefault="00326F99" w:rsidP="00F838E3">
            <w:r>
              <w:rPr>
                <w:noProof/>
              </w:rPr>
              <w:drawing>
                <wp:anchor distT="0" distB="0" distL="114300" distR="114300" simplePos="0" relativeHeight="251657216" behindDoc="0" locked="1" layoutInCell="1" allowOverlap="0" wp14:anchorId="58D24138" wp14:editId="53AC6AA1">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AACA715" w14:textId="77777777" w:rsidR="00F838E3" w:rsidRPr="00C372C8" w:rsidRDefault="00F838E3" w:rsidP="00F838E3">
            <w:pPr>
              <w:jc w:val="right"/>
              <w:rPr>
                <w:rFonts w:ascii="Univers" w:hAnsi="Univers"/>
                <w:b/>
                <w:sz w:val="32"/>
              </w:rPr>
            </w:pPr>
            <w:r w:rsidRPr="00C372C8">
              <w:rPr>
                <w:rFonts w:ascii="Univers" w:hAnsi="Univers"/>
                <w:b/>
                <w:sz w:val="32"/>
              </w:rPr>
              <w:t>CBD</w:t>
            </w:r>
          </w:p>
          <w:p w14:paraId="1C9292A5" w14:textId="77777777" w:rsidR="00F838E3" w:rsidRPr="00C372C8" w:rsidRDefault="00F838E3" w:rsidP="00F838E3">
            <w:pPr>
              <w:rPr>
                <w:rFonts w:ascii="Univers" w:hAnsi="Univers"/>
                <w:b/>
                <w:sz w:val="32"/>
              </w:rPr>
            </w:pPr>
          </w:p>
        </w:tc>
      </w:tr>
      <w:tr w:rsidR="00F838E3" w:rsidRPr="00C01660" w14:paraId="1232E1C7"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18E773DD" w14:textId="77777777" w:rsidR="00F838E3" w:rsidRPr="00C372C8" w:rsidRDefault="00326F99" w:rsidP="00F838E3">
            <w:pPr>
              <w:ind w:right="1422"/>
            </w:pPr>
            <w:r w:rsidRPr="00E803BD">
              <w:rPr>
                <w:noProof/>
              </w:rPr>
              <w:drawing>
                <wp:inline distT="0" distB="0" distL="0" distR="0" wp14:anchorId="11E8AB08" wp14:editId="25F5FE1E">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0254AF78" w14:textId="77777777" w:rsidR="00F838E3" w:rsidRPr="00C01660" w:rsidRDefault="00F838E3" w:rsidP="00F838E3">
            <w:pPr>
              <w:rPr>
                <w:szCs w:val="22"/>
              </w:rPr>
            </w:pPr>
            <w:r w:rsidRPr="00C01660">
              <w:rPr>
                <w:szCs w:val="22"/>
              </w:rPr>
              <w:t>Distr.</w:t>
            </w:r>
          </w:p>
          <w:p w14:paraId="05DC3B54" w14:textId="77777777" w:rsidR="00F838E3" w:rsidRPr="00C01660" w:rsidRDefault="00F838E3" w:rsidP="00F838E3">
            <w:pPr>
              <w:rPr>
                <w:szCs w:val="22"/>
              </w:rPr>
            </w:pPr>
            <w:r w:rsidRPr="00C01660">
              <w:rPr>
                <w:szCs w:val="22"/>
              </w:rPr>
              <w:t>GENERAL</w:t>
            </w:r>
          </w:p>
          <w:p w14:paraId="6CDCC9DA" w14:textId="77777777" w:rsidR="00F838E3" w:rsidRPr="00C01660" w:rsidRDefault="00F838E3" w:rsidP="00F838E3">
            <w:pPr>
              <w:rPr>
                <w:szCs w:val="22"/>
              </w:rPr>
            </w:pPr>
          </w:p>
          <w:p w14:paraId="6D3893D8" w14:textId="77777777" w:rsidR="00F838E3" w:rsidRPr="00C01660" w:rsidRDefault="00F838E3" w:rsidP="00F838E3">
            <w:pPr>
              <w:rPr>
                <w:szCs w:val="22"/>
              </w:rPr>
            </w:pPr>
            <w:r>
              <w:rPr>
                <w:szCs w:val="22"/>
              </w:rPr>
              <w:t>UNEP/CBD/</w:t>
            </w:r>
            <w:r w:rsidR="00EE080C">
              <w:rPr>
                <w:szCs w:val="22"/>
              </w:rPr>
              <w:t>COP/DEC/XI/</w:t>
            </w:r>
            <w:r w:rsidR="00221EA0">
              <w:rPr>
                <w:szCs w:val="22"/>
              </w:rPr>
              <w:t>4</w:t>
            </w:r>
            <w:r w:rsidR="00EE080C">
              <w:rPr>
                <w:szCs w:val="22"/>
              </w:rPr>
              <w:t xml:space="preserve"> </w:t>
            </w:r>
          </w:p>
          <w:p w14:paraId="2E8CADFF" w14:textId="77777777" w:rsidR="00F838E3" w:rsidRPr="00C01660" w:rsidRDefault="002517FF" w:rsidP="00F838E3">
            <w:pPr>
              <w:rPr>
                <w:szCs w:val="22"/>
              </w:rPr>
            </w:pPr>
            <w:r>
              <w:rPr>
                <w:szCs w:val="22"/>
              </w:rPr>
              <w:t>5 December</w:t>
            </w:r>
            <w:r w:rsidR="00F838E3">
              <w:rPr>
                <w:szCs w:val="22"/>
              </w:rPr>
              <w:t xml:space="preserve"> 2012</w:t>
            </w:r>
          </w:p>
          <w:p w14:paraId="65FBD219" w14:textId="77777777" w:rsidR="00F838E3" w:rsidRPr="00C01660" w:rsidRDefault="00F838E3" w:rsidP="00F838E3">
            <w:pPr>
              <w:rPr>
                <w:szCs w:val="22"/>
              </w:rPr>
            </w:pPr>
          </w:p>
          <w:p w14:paraId="08B7E758" w14:textId="77777777" w:rsidR="00F838E3" w:rsidRPr="00C01660" w:rsidRDefault="00F838E3" w:rsidP="00F838E3">
            <w:pPr>
              <w:rPr>
                <w:szCs w:val="22"/>
              </w:rPr>
            </w:pPr>
            <w:r w:rsidRPr="00C01660">
              <w:rPr>
                <w:szCs w:val="22"/>
              </w:rPr>
              <w:t>ORIGINAL:  ENGLISH</w:t>
            </w:r>
          </w:p>
        </w:tc>
      </w:tr>
    </w:tbl>
    <w:p w14:paraId="450C5BB8" w14:textId="77777777" w:rsidR="00EE080C" w:rsidRPr="00263F4B" w:rsidRDefault="00EE080C" w:rsidP="00EE080C">
      <w:pPr>
        <w:pStyle w:val="Cornernotation"/>
        <w:spacing w:before="60"/>
        <w:ind w:right="4400"/>
        <w:rPr>
          <w:szCs w:val="22"/>
        </w:rPr>
      </w:pPr>
      <w:r w:rsidRPr="00263F4B">
        <w:rPr>
          <w:szCs w:val="22"/>
        </w:rPr>
        <w:t>CONFERENCE OF THE PARTIES TO THE CONVENTION ON BIOLOGICAL DIVERSITY</w:t>
      </w:r>
    </w:p>
    <w:p w14:paraId="0627862D" w14:textId="77777777" w:rsidR="00EE080C" w:rsidRPr="00263F4B" w:rsidRDefault="00EE080C" w:rsidP="00EE080C">
      <w:pPr>
        <w:pStyle w:val="Cornernotation"/>
        <w:rPr>
          <w:szCs w:val="22"/>
        </w:rPr>
      </w:pPr>
      <w:r w:rsidRPr="00263F4B">
        <w:rPr>
          <w:szCs w:val="22"/>
        </w:rPr>
        <w:t>Eleventh meeting</w:t>
      </w:r>
    </w:p>
    <w:p w14:paraId="35532824" w14:textId="77777777" w:rsidR="00EE080C" w:rsidRDefault="00EE080C" w:rsidP="00EE080C">
      <w:pPr>
        <w:pStyle w:val="Cornernotation"/>
        <w:ind w:left="220" w:right="4080" w:hanging="220"/>
        <w:sectPr w:rsidR="00EE080C"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63F4B">
        <w:t>Hyderabad, India</w:t>
      </w:r>
      <w:r w:rsidRPr="00EE080C">
        <w:t>, 8</w:t>
      </w:r>
      <w:r w:rsidR="00B87AC4">
        <w:t>-</w:t>
      </w:r>
      <w:r w:rsidRPr="00EE080C">
        <w:t>19</w:t>
      </w:r>
      <w:r w:rsidRPr="00263F4B">
        <w:t xml:space="preserve"> October 2012</w:t>
      </w:r>
    </w:p>
    <w:p w14:paraId="5237C4F8" w14:textId="77777777" w:rsidR="00EE080C" w:rsidRDefault="00EE080C" w:rsidP="00EE080C">
      <w:pPr>
        <w:pStyle w:val="Cornernotation"/>
        <w:ind w:left="220" w:right="4080" w:hanging="220"/>
      </w:pPr>
      <w:r>
        <w:t xml:space="preserve">Agenda item </w:t>
      </w:r>
      <w:r w:rsidR="00823AA6">
        <w:t>4.1</w:t>
      </w:r>
      <w:r w:rsidR="00FF65AF">
        <w:t xml:space="preserve"> </w:t>
      </w:r>
    </w:p>
    <w:p w14:paraId="408C3A68" w14:textId="77777777" w:rsidR="005A2590" w:rsidRPr="00884BEA" w:rsidRDefault="00EE080C" w:rsidP="00EE080C">
      <w:pPr>
        <w:pStyle w:val="HEADINGNOTFORTOC"/>
      </w:pPr>
      <w:r>
        <w:rPr>
          <w:caps w:val="0"/>
        </w:rPr>
        <w:t>DECISION ADOPTED BY THE CONFERENCE OF THE PARTIES TO THE CONVENTION ON BIOLOGICAL DIVERSITY AT ITS ELEVENTH MEETING</w:t>
      </w:r>
    </w:p>
    <w:p w14:paraId="5EA9793A" w14:textId="77777777" w:rsidR="00964960" w:rsidRPr="001705DC" w:rsidRDefault="00964960" w:rsidP="00964960">
      <w:pPr>
        <w:pStyle w:val="Decheadmuliline"/>
        <w:ind w:left="1418" w:hanging="709"/>
        <w:jc w:val="left"/>
        <w:rPr>
          <w:rFonts w:ascii="Times New Roman" w:hAnsi="Times New Roman"/>
          <w:lang w:eastAsia="ja-JP"/>
        </w:rPr>
      </w:pPr>
      <w:r w:rsidRPr="001705DC">
        <w:rPr>
          <w:rFonts w:ascii="Times New Roman" w:hAnsi="Times New Roman"/>
          <w:lang w:eastAsia="ja-JP"/>
        </w:rPr>
        <w:t>XI/4.</w:t>
      </w:r>
      <w:r w:rsidRPr="001705DC">
        <w:rPr>
          <w:rFonts w:ascii="Times New Roman" w:hAnsi="Times New Roman"/>
          <w:lang w:eastAsia="ja-JP"/>
        </w:rPr>
        <w:tab/>
        <w:t xml:space="preserve">Review of </w:t>
      </w:r>
      <w:r>
        <w:rPr>
          <w:rFonts w:ascii="Times New Roman" w:hAnsi="Times New Roman"/>
          <w:lang w:eastAsia="ja-JP"/>
        </w:rPr>
        <w:t>i</w:t>
      </w:r>
      <w:r w:rsidRPr="001705DC">
        <w:rPr>
          <w:rFonts w:ascii="Times New Roman" w:hAnsi="Times New Roman"/>
          <w:lang w:eastAsia="ja-JP"/>
        </w:rPr>
        <w:t xml:space="preserve">mplementation of the </w:t>
      </w:r>
      <w:r>
        <w:rPr>
          <w:rFonts w:ascii="Times New Roman" w:hAnsi="Times New Roman"/>
          <w:lang w:eastAsia="ja-JP"/>
        </w:rPr>
        <w:t>s</w:t>
      </w:r>
      <w:r w:rsidRPr="001705DC">
        <w:rPr>
          <w:rFonts w:ascii="Times New Roman" w:hAnsi="Times New Roman"/>
          <w:lang w:eastAsia="ja-JP"/>
        </w:rPr>
        <w:t xml:space="preserve">trategy for </w:t>
      </w:r>
      <w:r>
        <w:rPr>
          <w:rFonts w:ascii="Times New Roman" w:hAnsi="Times New Roman"/>
          <w:lang w:eastAsia="ja-JP"/>
        </w:rPr>
        <w:t>r</w:t>
      </w:r>
      <w:r w:rsidRPr="001705DC">
        <w:rPr>
          <w:rFonts w:ascii="Times New Roman" w:hAnsi="Times New Roman"/>
          <w:lang w:eastAsia="ja-JP"/>
        </w:rPr>
        <w:t xml:space="preserve">esource </w:t>
      </w:r>
      <w:r>
        <w:rPr>
          <w:rFonts w:ascii="Times New Roman" w:hAnsi="Times New Roman"/>
          <w:lang w:eastAsia="ja-JP"/>
        </w:rPr>
        <w:t>m</w:t>
      </w:r>
      <w:r w:rsidRPr="001705DC">
        <w:rPr>
          <w:rFonts w:ascii="Times New Roman" w:hAnsi="Times New Roman"/>
          <w:lang w:eastAsia="ja-JP"/>
        </w:rPr>
        <w:t>obilization</w:t>
      </w:r>
      <w:r w:rsidRPr="00737825">
        <w:rPr>
          <w:rFonts w:ascii="Times New Roman" w:hAnsi="Times New Roman"/>
          <w:lang w:eastAsia="ja-JP"/>
        </w:rPr>
        <w:t>, including the establishment of targets</w:t>
      </w:r>
    </w:p>
    <w:p w14:paraId="269C90EC" w14:textId="77777777" w:rsidR="00964960" w:rsidRDefault="00964960" w:rsidP="00655A45">
      <w:pPr>
        <w:widowControl w:val="0"/>
        <w:tabs>
          <w:tab w:val="left" w:pos="720"/>
        </w:tabs>
        <w:autoSpaceDE w:val="0"/>
        <w:autoSpaceDN w:val="0"/>
        <w:adjustRightInd w:val="0"/>
        <w:spacing w:before="120" w:after="120"/>
        <w:ind w:firstLine="567"/>
        <w:rPr>
          <w:i/>
          <w:iCs/>
          <w:lang w:eastAsia="ja-JP"/>
        </w:rPr>
      </w:pPr>
      <w:r>
        <w:rPr>
          <w:i/>
          <w:iCs/>
          <w:lang w:eastAsia="ja-JP"/>
        </w:rPr>
        <w:t>The Conference of the Parties</w:t>
      </w:r>
    </w:p>
    <w:p w14:paraId="5F7061F5" w14:textId="77777777" w:rsidR="00964960" w:rsidRDefault="00964960" w:rsidP="00655A45">
      <w:pPr>
        <w:pStyle w:val="Heading1centred"/>
        <w:spacing w:before="120"/>
        <w:outlineLvl w:val="0"/>
        <w:rPr>
          <w:lang w:eastAsia="ja-JP"/>
        </w:rPr>
      </w:pPr>
      <w:r>
        <w:rPr>
          <w:lang w:eastAsia="ja-JP"/>
        </w:rPr>
        <w:t>I.</w:t>
      </w:r>
      <w:r>
        <w:rPr>
          <w:lang w:eastAsia="ja-JP"/>
        </w:rPr>
        <w:tab/>
        <w:t>Target setting</w:t>
      </w:r>
    </w:p>
    <w:p w14:paraId="756AE4FE" w14:textId="77777777" w:rsidR="00964960" w:rsidRDefault="00964960" w:rsidP="00964960">
      <w:pPr>
        <w:widowControl w:val="0"/>
        <w:tabs>
          <w:tab w:val="left" w:pos="20"/>
          <w:tab w:val="left" w:pos="380"/>
          <w:tab w:val="left" w:pos="1134"/>
        </w:tabs>
        <w:autoSpaceDE w:val="0"/>
        <w:autoSpaceDN w:val="0"/>
        <w:adjustRightInd w:val="0"/>
        <w:spacing w:after="120"/>
        <w:ind w:firstLine="567"/>
        <w:rPr>
          <w:lang w:eastAsia="ja-JP"/>
        </w:rPr>
      </w:pPr>
      <w:r w:rsidRPr="008148A8">
        <w:rPr>
          <w:iCs/>
          <w:lang w:eastAsia="ja-JP"/>
        </w:rPr>
        <w:t>1.</w:t>
      </w:r>
      <w:r>
        <w:rPr>
          <w:i/>
          <w:iCs/>
          <w:lang w:eastAsia="ja-JP"/>
        </w:rPr>
        <w:tab/>
        <w:t>Urges</w:t>
      </w:r>
      <w:r>
        <w:rPr>
          <w:lang w:eastAsia="ja-JP"/>
        </w:rPr>
        <w:t xml:space="preserve"> Parties to consider all possible sources and means that can help to meet the level of resources needed, in accordance with Article 20 of the Convention and consistent with decision X/3;</w:t>
      </w:r>
    </w:p>
    <w:p w14:paraId="20DFE12E" w14:textId="77777777" w:rsidR="00964960" w:rsidRDefault="00964960" w:rsidP="00964960">
      <w:pPr>
        <w:widowControl w:val="0"/>
        <w:tabs>
          <w:tab w:val="left" w:pos="20"/>
          <w:tab w:val="left" w:pos="380"/>
          <w:tab w:val="left" w:pos="1134"/>
        </w:tabs>
        <w:autoSpaceDE w:val="0"/>
        <w:autoSpaceDN w:val="0"/>
        <w:adjustRightInd w:val="0"/>
        <w:spacing w:after="120"/>
        <w:ind w:firstLine="567"/>
        <w:rPr>
          <w:lang w:eastAsia="ja-JP"/>
        </w:rPr>
      </w:pPr>
      <w:r w:rsidRPr="008148A8">
        <w:rPr>
          <w:iCs/>
          <w:lang w:eastAsia="ja-JP"/>
        </w:rPr>
        <w:t>2.</w:t>
      </w:r>
      <w:r>
        <w:rPr>
          <w:i/>
          <w:iCs/>
          <w:lang w:eastAsia="ja-JP"/>
        </w:rPr>
        <w:tab/>
        <w:t xml:space="preserve">Concerned </w:t>
      </w:r>
      <w:r>
        <w:rPr>
          <w:lang w:eastAsia="ja-JP"/>
        </w:rPr>
        <w:t>that the lack of sufficient financial resources continues to be one of the main obstacles to achieving the Convention’s three objectives and implementing the Strategic Plan for Biodiversity 2011–2020 and its Aichi Biodiversity Targets;</w:t>
      </w:r>
    </w:p>
    <w:p w14:paraId="47CE73C2" w14:textId="77777777" w:rsidR="00964960" w:rsidRDefault="00964960" w:rsidP="00964960">
      <w:pPr>
        <w:widowControl w:val="0"/>
        <w:tabs>
          <w:tab w:val="left" w:pos="20"/>
          <w:tab w:val="left" w:pos="380"/>
          <w:tab w:val="left" w:pos="1134"/>
        </w:tabs>
        <w:autoSpaceDE w:val="0"/>
        <w:autoSpaceDN w:val="0"/>
        <w:adjustRightInd w:val="0"/>
        <w:spacing w:after="120"/>
        <w:ind w:firstLine="567"/>
        <w:rPr>
          <w:i/>
          <w:iCs/>
          <w:lang w:eastAsia="ja-JP"/>
        </w:rPr>
      </w:pPr>
      <w:r w:rsidRPr="008148A8">
        <w:rPr>
          <w:iCs/>
          <w:lang w:eastAsia="ja-JP"/>
        </w:rPr>
        <w:t>3.</w:t>
      </w:r>
      <w:r>
        <w:rPr>
          <w:i/>
          <w:iCs/>
          <w:lang w:eastAsia="ja-JP"/>
        </w:rPr>
        <w:tab/>
        <w:t xml:space="preserve">Recalling </w:t>
      </w:r>
      <w:r>
        <w:rPr>
          <w:lang w:eastAsia="ja-JP"/>
        </w:rPr>
        <w:t xml:space="preserve">decision X/3 and Aichi Biodiversity Target 20, </w:t>
      </w:r>
      <w:r>
        <w:rPr>
          <w:i/>
          <w:iCs/>
          <w:lang w:eastAsia="ja-JP"/>
        </w:rPr>
        <w:t>reiterating</w:t>
      </w:r>
      <w:r>
        <w:rPr>
          <w:lang w:eastAsia="ja-JP"/>
        </w:rPr>
        <w:t xml:space="preserve"> that resources (financial, human and technical) need to be mobilized from all sources and that this should be balanced with the effective implementation of the Strategic Plan for Biodiversity 2011–2020, and </w:t>
      </w:r>
      <w:r w:rsidRPr="00FC0962">
        <w:rPr>
          <w:i/>
          <w:lang w:eastAsia="ja-JP"/>
        </w:rPr>
        <w:t>highlighting</w:t>
      </w:r>
      <w:r>
        <w:rPr>
          <w:lang w:eastAsia="ja-JP"/>
        </w:rPr>
        <w:t xml:space="preserve"> the need for further consideration to be given to evaluating resources mobilized in terms of the biodiversity outcomes achieved;</w:t>
      </w:r>
    </w:p>
    <w:p w14:paraId="563BAF58" w14:textId="77777777" w:rsidR="00964960" w:rsidRDefault="00964960" w:rsidP="00964960">
      <w:pPr>
        <w:widowControl w:val="0"/>
        <w:tabs>
          <w:tab w:val="left" w:pos="20"/>
          <w:tab w:val="left" w:pos="380"/>
          <w:tab w:val="left" w:pos="1134"/>
        </w:tabs>
        <w:autoSpaceDE w:val="0"/>
        <w:autoSpaceDN w:val="0"/>
        <w:adjustRightInd w:val="0"/>
        <w:spacing w:after="120"/>
        <w:ind w:firstLine="567"/>
        <w:rPr>
          <w:i/>
          <w:iCs/>
          <w:lang w:eastAsia="ja-JP"/>
        </w:rPr>
      </w:pPr>
      <w:r w:rsidRPr="008148A8">
        <w:rPr>
          <w:iCs/>
          <w:lang w:eastAsia="ja-JP"/>
        </w:rPr>
        <w:t>4.</w:t>
      </w:r>
      <w:r>
        <w:rPr>
          <w:i/>
          <w:iCs/>
          <w:lang w:eastAsia="ja-JP"/>
        </w:rPr>
        <w:tab/>
        <w:t xml:space="preserve">Recalling </w:t>
      </w:r>
      <w:r>
        <w:rPr>
          <w:lang w:eastAsia="ja-JP"/>
        </w:rPr>
        <w:t xml:space="preserve">decision X/3, paragraph 8(i), </w:t>
      </w:r>
      <w:r w:rsidRPr="00D51D4F">
        <w:rPr>
          <w:i/>
          <w:lang w:eastAsia="ja-JP"/>
        </w:rPr>
        <w:t>reaffirms</w:t>
      </w:r>
      <w:r>
        <w:rPr>
          <w:lang w:eastAsia="ja-JP"/>
        </w:rPr>
        <w:t xml:space="preserve"> its decision to adopt targets at its eleventh meeting, provided that robust baselines have been identified and endorsed and that an effective reporting framework has been adopted;</w:t>
      </w:r>
    </w:p>
    <w:p w14:paraId="4AC2A2F4" w14:textId="77777777" w:rsidR="00964960" w:rsidRDefault="00964960" w:rsidP="00964960">
      <w:pPr>
        <w:widowControl w:val="0"/>
        <w:tabs>
          <w:tab w:val="left" w:pos="20"/>
          <w:tab w:val="left" w:pos="380"/>
          <w:tab w:val="left" w:pos="1134"/>
        </w:tabs>
        <w:autoSpaceDE w:val="0"/>
        <w:autoSpaceDN w:val="0"/>
        <w:adjustRightInd w:val="0"/>
        <w:spacing w:after="120"/>
        <w:ind w:firstLine="567"/>
        <w:rPr>
          <w:lang w:eastAsia="ja-JP"/>
        </w:rPr>
      </w:pPr>
      <w:r w:rsidRPr="008148A8">
        <w:rPr>
          <w:iCs/>
          <w:lang w:eastAsia="ja-JP"/>
        </w:rPr>
        <w:t>5.</w:t>
      </w:r>
      <w:r>
        <w:rPr>
          <w:i/>
          <w:iCs/>
          <w:lang w:eastAsia="ja-JP"/>
        </w:rPr>
        <w:tab/>
        <w:t xml:space="preserve">Welcomes </w:t>
      </w:r>
      <w:r w:rsidRPr="00B569B7">
        <w:rPr>
          <w:iCs/>
          <w:lang w:eastAsia="ja-JP"/>
        </w:rPr>
        <w:t>and</w:t>
      </w:r>
      <w:r>
        <w:rPr>
          <w:i/>
          <w:iCs/>
          <w:lang w:eastAsia="ja-JP"/>
        </w:rPr>
        <w:t xml:space="preserve"> decides to use</w:t>
      </w:r>
      <w:r>
        <w:rPr>
          <w:lang w:eastAsia="ja-JP"/>
        </w:rPr>
        <w:t xml:space="preserve"> the preliminary reporting framework and methodological and implementation guidance (UNEP/CBD/COP/11/14/Add.1) as a flexible and preliminary framework to report on and monitor resources mobilized for biodiversity at national and global level, and </w:t>
      </w:r>
      <w:r>
        <w:rPr>
          <w:i/>
          <w:iCs/>
          <w:lang w:eastAsia="ja-JP"/>
        </w:rPr>
        <w:t xml:space="preserve">invites </w:t>
      </w:r>
      <w:r>
        <w:rPr>
          <w:lang w:eastAsia="ja-JP"/>
        </w:rPr>
        <w:t>Parties to build on this flexible framework at national level as part of monitoring, including in the implementation of national biodiversity strategies and action plans, as appropriate, and to report prior to the fifth meeting of the Ad Hoc Open-ended Working Group on Review of Implementation of the Convention on successes and barriers encountered in reporting on and monitoring resources mobilized for biodiversity, in view of the review foreseen in paragraph 23;</w:t>
      </w:r>
    </w:p>
    <w:p w14:paraId="27F23845" w14:textId="77777777" w:rsidR="00964960" w:rsidRDefault="00964960" w:rsidP="00964960">
      <w:pPr>
        <w:widowControl w:val="0"/>
        <w:tabs>
          <w:tab w:val="left" w:pos="20"/>
          <w:tab w:val="left" w:pos="380"/>
          <w:tab w:val="left" w:pos="1134"/>
        </w:tabs>
        <w:autoSpaceDE w:val="0"/>
        <w:autoSpaceDN w:val="0"/>
        <w:adjustRightInd w:val="0"/>
        <w:spacing w:after="120"/>
        <w:ind w:firstLine="567"/>
        <w:rPr>
          <w:i/>
          <w:iCs/>
          <w:lang w:eastAsia="ja-JP"/>
        </w:rPr>
      </w:pPr>
      <w:r w:rsidRPr="008148A8">
        <w:rPr>
          <w:iCs/>
          <w:lang w:eastAsia="ja-JP"/>
        </w:rPr>
        <w:t>6.</w:t>
      </w:r>
      <w:r>
        <w:rPr>
          <w:i/>
          <w:iCs/>
          <w:lang w:eastAsia="ja-JP"/>
        </w:rPr>
        <w:tab/>
        <w:t xml:space="preserve">Invites </w:t>
      </w:r>
      <w:r>
        <w:rPr>
          <w:lang w:eastAsia="ja-JP"/>
        </w:rPr>
        <w:t xml:space="preserve">Parties and other Governments to submit their information through the preliminary reporting framework referred to in paragraph 5, using average annual biodiversity funding for the years </w:t>
      </w:r>
      <w:r>
        <w:rPr>
          <w:lang w:eastAsia="ja-JP"/>
        </w:rPr>
        <w:lastRenderedPageBreak/>
        <w:t xml:space="preserve">2006–2010 as a preliminary baseline, and to report on their experiences of applying the preliminary reporting framework prior to the fifth meeting of the Ad Hoc Open-ended Working Group on Review of Implementation of the Convention </w:t>
      </w:r>
      <w:r w:rsidRPr="007046FE">
        <w:rPr>
          <w:lang w:eastAsia="ja-JP"/>
        </w:rPr>
        <w:t>in a timely manner for their consideration by the Working Group</w:t>
      </w:r>
      <w:r w:rsidRPr="00DD4470">
        <w:rPr>
          <w:lang w:eastAsia="ja-JP"/>
        </w:rPr>
        <w:t>;</w:t>
      </w:r>
    </w:p>
    <w:p w14:paraId="12656970" w14:textId="77777777" w:rsidR="00964960" w:rsidRDefault="00964960" w:rsidP="00964960">
      <w:pPr>
        <w:widowControl w:val="0"/>
        <w:tabs>
          <w:tab w:val="left" w:pos="20"/>
          <w:tab w:val="left" w:pos="380"/>
          <w:tab w:val="left" w:pos="1134"/>
          <w:tab w:val="left" w:pos="9477"/>
        </w:tabs>
        <w:autoSpaceDE w:val="0"/>
        <w:autoSpaceDN w:val="0"/>
        <w:adjustRightInd w:val="0"/>
        <w:spacing w:after="120"/>
        <w:ind w:firstLine="567"/>
        <w:rPr>
          <w:i/>
          <w:iCs/>
          <w:lang w:eastAsia="ja-JP"/>
        </w:rPr>
      </w:pPr>
      <w:r>
        <w:rPr>
          <w:lang w:eastAsia="ja-JP"/>
        </w:rPr>
        <w:t>7.</w:t>
      </w:r>
      <w:r>
        <w:rPr>
          <w:lang w:eastAsia="ja-JP"/>
        </w:rPr>
        <w:tab/>
        <w:t xml:space="preserve">As outlined in decision X/3, </w:t>
      </w:r>
      <w:r>
        <w:rPr>
          <w:i/>
          <w:iCs/>
          <w:lang w:eastAsia="ja-JP"/>
        </w:rPr>
        <w:t xml:space="preserve">decides </w:t>
      </w:r>
      <w:r>
        <w:rPr>
          <w:lang w:eastAsia="ja-JP"/>
        </w:rPr>
        <w:t>on an overall substantial increase in total biodiversity</w:t>
      </w:r>
      <w:r>
        <w:rPr>
          <w:lang w:eastAsia="ja-JP"/>
        </w:rPr>
        <w:noBreakHyphen/>
        <w:t xml:space="preserve">related funding for the implementation of the Strategic Plan for Biodiversity 2011–2020 from a variety of sources, using the baseline information referred to in paragraph 6, and, taking into account the limited information available regarding baselines for the indicators adopted in decision X/3, based on Parties’ reporting in line with paragraph 5, </w:t>
      </w:r>
      <w:r>
        <w:rPr>
          <w:i/>
          <w:iCs/>
          <w:lang w:eastAsia="ja-JP"/>
        </w:rPr>
        <w:t xml:space="preserve">resolves </w:t>
      </w:r>
      <w:r w:rsidRPr="00BC2A06">
        <w:rPr>
          <w:iCs/>
          <w:lang w:eastAsia="ja-JP"/>
        </w:rPr>
        <w:t xml:space="preserve">to achieve </w:t>
      </w:r>
      <w:r>
        <w:rPr>
          <w:lang w:eastAsia="ja-JP"/>
        </w:rPr>
        <w:t>the following preliminary targets, which are to be considered mutually supportive but independent:</w:t>
      </w:r>
    </w:p>
    <w:p w14:paraId="578AB445" w14:textId="77777777" w:rsidR="00964960" w:rsidRDefault="00655A45" w:rsidP="00655A45">
      <w:pPr>
        <w:widowControl w:val="0"/>
        <w:tabs>
          <w:tab w:val="left" w:pos="20"/>
          <w:tab w:val="left" w:pos="35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45"/>
        <w:rPr>
          <w:lang w:eastAsia="ja-JP"/>
        </w:rPr>
      </w:pPr>
      <w:r>
        <w:rPr>
          <w:lang w:eastAsia="ja-JP"/>
        </w:rPr>
        <w:t>(a)</w:t>
      </w:r>
      <w:r>
        <w:rPr>
          <w:lang w:eastAsia="ja-JP"/>
        </w:rPr>
        <w:tab/>
      </w:r>
      <w:r w:rsidR="00964960">
        <w:rPr>
          <w:lang w:eastAsia="ja-JP"/>
        </w:rPr>
        <w:t>Double total biodiversity-related international financial resource flows to developing countries, in particular least developed countries and small island developing States, as well as countries with economies in transition, by 2015 and at least maintaining this level until 2020, in accordance with Article 20 of the Convention, to contribute to the achievement of the Convention’s three objectives, including through a country-driven prioritization of biodiversity within development plans in recipient countries, using the preliminary baseline referred to in paragraph 6;</w:t>
      </w:r>
    </w:p>
    <w:p w14:paraId="7F3298F3" w14:textId="77777777" w:rsidR="00964960" w:rsidRDefault="00964960" w:rsidP="00964960">
      <w:pPr>
        <w:widowControl w:val="0"/>
        <w:tabs>
          <w:tab w:val="left" w:pos="20"/>
          <w:tab w:val="left" w:pos="35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45"/>
        <w:rPr>
          <w:lang w:eastAsia="ja-JP"/>
        </w:rPr>
      </w:pPr>
      <w:r>
        <w:rPr>
          <w:lang w:eastAsia="ja-JP"/>
        </w:rPr>
        <w:t>(b)</w:t>
      </w:r>
      <w:r>
        <w:rPr>
          <w:lang w:eastAsia="ja-JP"/>
        </w:rPr>
        <w:tab/>
        <w:t xml:space="preserve">Endeavour for 100 per cent, but at least 75 per cent, of Parties </w:t>
      </w:r>
      <w:r w:rsidR="00655A45">
        <w:rPr>
          <w:lang w:eastAsia="ja-JP"/>
        </w:rPr>
        <w:t xml:space="preserve">to </w:t>
      </w:r>
      <w:r>
        <w:rPr>
          <w:lang w:eastAsia="ja-JP"/>
        </w:rPr>
        <w:t>have included biodiversity in their national priorities or development plans by 2015 and have therefore made appropriate domestic financial provisions;</w:t>
      </w:r>
    </w:p>
    <w:p w14:paraId="532292F8" w14:textId="77777777" w:rsidR="00964960" w:rsidRDefault="00964960" w:rsidP="00655A45">
      <w:pPr>
        <w:widowControl w:val="0"/>
        <w:tabs>
          <w:tab w:val="left" w:pos="20"/>
          <w:tab w:val="left" w:pos="35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45"/>
        <w:rPr>
          <w:lang w:eastAsia="ja-JP"/>
        </w:rPr>
      </w:pPr>
      <w:r>
        <w:rPr>
          <w:lang w:eastAsia="ja-JP"/>
        </w:rPr>
        <w:t>(c)</w:t>
      </w:r>
      <w:r>
        <w:rPr>
          <w:lang w:eastAsia="ja-JP"/>
        </w:rPr>
        <w:tab/>
        <w:t xml:space="preserve">Endeavour for 100 per cent, but at least 75 per cent, of Parties provided with adequate financial resources </w:t>
      </w:r>
      <w:r w:rsidR="001E2075">
        <w:rPr>
          <w:lang w:eastAsia="ja-JP"/>
        </w:rPr>
        <w:t xml:space="preserve">to </w:t>
      </w:r>
      <w:r>
        <w:rPr>
          <w:lang w:eastAsia="ja-JP"/>
        </w:rPr>
        <w:t>have reported domestic biodiversity expenditures, as well as funding needs, gaps and priorities, by 2015, in order to improve the robustness of the baseline and to refine the preliminary targets, as appropriate;</w:t>
      </w:r>
    </w:p>
    <w:p w14:paraId="706D1520" w14:textId="77777777" w:rsidR="00964960" w:rsidRDefault="00964960" w:rsidP="00964960">
      <w:pPr>
        <w:widowControl w:val="0"/>
        <w:tabs>
          <w:tab w:val="left" w:pos="20"/>
          <w:tab w:val="left" w:pos="35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45"/>
        <w:rPr>
          <w:lang w:eastAsia="ja-JP"/>
        </w:rPr>
      </w:pPr>
      <w:r>
        <w:rPr>
          <w:lang w:eastAsia="ja-JP"/>
        </w:rPr>
        <w:t>(d)</w:t>
      </w:r>
      <w:r>
        <w:rPr>
          <w:lang w:eastAsia="ja-JP"/>
        </w:rPr>
        <w:tab/>
        <w:t xml:space="preserve">Endeavour for 100 per cent, but at least 75 per cent, of Parties provided with adequate financial resources </w:t>
      </w:r>
      <w:r w:rsidR="001E2075">
        <w:rPr>
          <w:lang w:eastAsia="ja-JP"/>
        </w:rPr>
        <w:t xml:space="preserve">to </w:t>
      </w:r>
      <w:r>
        <w:rPr>
          <w:lang w:eastAsia="ja-JP"/>
        </w:rPr>
        <w:t>have prepared national financial plans for biodiversity by 2015, and that 30 per cent of those Parties have assessed and/or evaluated the intrinsic, ecological, genetic, socioeconomic, scientific, educational, cultural, recreational and aesthetic values of biological diversity and its components;</w:t>
      </w:r>
    </w:p>
    <w:p w14:paraId="23D04F15" w14:textId="77777777" w:rsidR="00964960" w:rsidRPr="00117B16" w:rsidRDefault="00964960" w:rsidP="00964960">
      <w:pPr>
        <w:widowControl w:val="0"/>
        <w:tabs>
          <w:tab w:val="left" w:pos="20"/>
          <w:tab w:val="left" w:pos="570"/>
          <w:tab w:val="left" w:pos="1134"/>
        </w:tabs>
        <w:autoSpaceDE w:val="0"/>
        <w:autoSpaceDN w:val="0"/>
        <w:adjustRightInd w:val="0"/>
        <w:spacing w:after="120"/>
        <w:ind w:firstLine="567"/>
        <w:rPr>
          <w:lang w:eastAsia="ja-JP"/>
        </w:rPr>
      </w:pPr>
      <w:r>
        <w:rPr>
          <w:lang w:eastAsia="ja-JP"/>
        </w:rPr>
        <w:t>8.</w:t>
      </w:r>
      <w:r>
        <w:rPr>
          <w:lang w:eastAsia="ja-JP"/>
        </w:rPr>
        <w:tab/>
      </w:r>
      <w:r w:rsidRPr="007E0A63">
        <w:rPr>
          <w:i/>
          <w:lang w:eastAsia="ja-JP"/>
        </w:rPr>
        <w:t>Mindful</w:t>
      </w:r>
      <w:r>
        <w:rPr>
          <w:lang w:eastAsia="ja-JP"/>
        </w:rPr>
        <w:t xml:space="preserve"> of the potential of Aichi Biodiversity Target 3 to mobilize resources for biodiversity, </w:t>
      </w:r>
      <w:r w:rsidRPr="00117B16">
        <w:rPr>
          <w:i/>
          <w:iCs/>
          <w:lang w:eastAsia="ja-JP"/>
        </w:rPr>
        <w:t>decides</w:t>
      </w:r>
      <w:r>
        <w:rPr>
          <w:lang w:eastAsia="ja-JP"/>
        </w:rPr>
        <w:t xml:space="preserve"> to consider modalities and milestones for the full operationalization of this Target at its twelfth meeting, with a view to their adoption;</w:t>
      </w:r>
    </w:p>
    <w:p w14:paraId="0976A609" w14:textId="77777777" w:rsidR="00964960" w:rsidRDefault="00964960" w:rsidP="00964960">
      <w:pPr>
        <w:widowControl w:val="0"/>
        <w:tabs>
          <w:tab w:val="left" w:pos="20"/>
          <w:tab w:val="left" w:pos="380"/>
        </w:tabs>
        <w:autoSpaceDE w:val="0"/>
        <w:autoSpaceDN w:val="0"/>
        <w:adjustRightInd w:val="0"/>
        <w:spacing w:after="120"/>
        <w:ind w:firstLine="567"/>
        <w:rPr>
          <w:lang w:eastAsia="ja-JP"/>
        </w:rPr>
      </w:pPr>
      <w:r>
        <w:rPr>
          <w:lang w:eastAsia="ja-JP"/>
        </w:rPr>
        <w:t>9.</w:t>
      </w:r>
      <w:r>
        <w:rPr>
          <w:szCs w:val="22"/>
          <w:lang w:eastAsia="ja-JP"/>
        </w:rPr>
        <w:tab/>
      </w:r>
      <w:r>
        <w:rPr>
          <w:i/>
          <w:iCs/>
          <w:lang w:eastAsia="ja-JP"/>
        </w:rPr>
        <w:t>Acknowledging</w:t>
      </w:r>
      <w:r>
        <w:rPr>
          <w:lang w:eastAsia="ja-JP"/>
        </w:rPr>
        <w:t xml:space="preserve"> that, in many developing coun</w:t>
      </w:r>
      <w:r w:rsidRPr="00F04365">
        <w:rPr>
          <w:iCs/>
          <w:lang w:eastAsia="ja-JP"/>
        </w:rPr>
        <w:t>t</w:t>
      </w:r>
      <w:r>
        <w:rPr>
          <w:lang w:eastAsia="ja-JP"/>
        </w:rPr>
        <w:t xml:space="preserve">ries, domestic resources already cover the largest share of biodiversity-related resource mobilization, </w:t>
      </w:r>
      <w:r>
        <w:rPr>
          <w:i/>
          <w:iCs/>
          <w:lang w:eastAsia="ja-JP"/>
        </w:rPr>
        <w:t>decides</w:t>
      </w:r>
      <w:r>
        <w:rPr>
          <w:lang w:eastAsia="ja-JP"/>
        </w:rPr>
        <w:t xml:space="preserve"> to establish, at its twelfth meeting, a transparent process that would encourage and facilitate reporting efforts by developing countries towards achieving the objectives of the Convention and the Aichi Biodiversity Targets. </w:t>
      </w:r>
    </w:p>
    <w:p w14:paraId="27CC4CBC" w14:textId="77777777" w:rsidR="00964960" w:rsidRDefault="00964960" w:rsidP="00964960">
      <w:pPr>
        <w:pStyle w:val="Heading1longmultiline"/>
        <w:ind w:left="1418" w:hanging="709"/>
        <w:rPr>
          <w:bCs/>
          <w:lang w:eastAsia="ja-JP"/>
        </w:rPr>
      </w:pPr>
      <w:r>
        <w:rPr>
          <w:bCs/>
          <w:lang w:eastAsia="ja-JP"/>
        </w:rPr>
        <w:t>II.</w:t>
      </w:r>
      <w:r>
        <w:rPr>
          <w:bCs/>
          <w:lang w:eastAsia="ja-JP"/>
        </w:rPr>
        <w:tab/>
        <w:t>Review of implementation of the Strategy for Resource Mobilization</w:t>
      </w:r>
    </w:p>
    <w:p w14:paraId="63A89B3E" w14:textId="77777777" w:rsidR="00964960" w:rsidRDefault="00964960" w:rsidP="00964960">
      <w:pPr>
        <w:widowControl w:val="0"/>
        <w:tabs>
          <w:tab w:val="left" w:pos="20"/>
          <w:tab w:val="left" w:pos="570"/>
          <w:tab w:val="left" w:pos="1134"/>
        </w:tabs>
        <w:autoSpaceDE w:val="0"/>
        <w:autoSpaceDN w:val="0"/>
        <w:adjustRightInd w:val="0"/>
        <w:spacing w:after="120"/>
        <w:ind w:firstLine="567"/>
        <w:rPr>
          <w:i/>
          <w:iCs/>
          <w:lang w:eastAsia="ja-JP"/>
        </w:rPr>
      </w:pPr>
      <w:r w:rsidRPr="00E15601">
        <w:rPr>
          <w:iCs/>
          <w:lang w:eastAsia="ja-JP"/>
        </w:rPr>
        <w:t>10.</w:t>
      </w:r>
      <w:r>
        <w:rPr>
          <w:i/>
          <w:iCs/>
          <w:lang w:eastAsia="ja-JP"/>
        </w:rPr>
        <w:tab/>
        <w:t>Recalling</w:t>
      </w:r>
      <w:r>
        <w:rPr>
          <w:lang w:eastAsia="ja-JP"/>
        </w:rPr>
        <w:t xml:space="preserve"> decision IX/11 on the Strategy for Resource Mobilization, </w:t>
      </w:r>
      <w:r w:rsidRPr="005275FE">
        <w:rPr>
          <w:i/>
          <w:lang w:eastAsia="ja-JP"/>
        </w:rPr>
        <w:t>d</w:t>
      </w:r>
      <w:r>
        <w:rPr>
          <w:i/>
          <w:iCs/>
          <w:lang w:eastAsia="ja-JP"/>
        </w:rPr>
        <w:t xml:space="preserve">ecides </w:t>
      </w:r>
      <w:r>
        <w:rPr>
          <w:lang w:eastAsia="ja-JP"/>
        </w:rPr>
        <w:t>that the implementation of the strategy for resource mobilization will be reviewed at the fifth meeting of the Ad Hoc Open-ended Working Group on Review of Implementation of the Convention and</w:t>
      </w:r>
      <w:r>
        <w:rPr>
          <w:i/>
          <w:iCs/>
          <w:lang w:eastAsia="ja-JP"/>
        </w:rPr>
        <w:t xml:space="preserve"> requests </w:t>
      </w:r>
      <w:r>
        <w:rPr>
          <w:lang w:eastAsia="ja-JP"/>
        </w:rPr>
        <w:t>the Executive Secretary to prepare for this review, including by completing the review of implementation of Goals 2, 5, 6, 7 and 8 of the strategy for resource mobilization, based on input provided by Parties and other relevant stakeholders and additional relevant sources of data, for consideration by the Working Group at its fifth meeting;</w:t>
      </w:r>
    </w:p>
    <w:p w14:paraId="56587649" w14:textId="77777777" w:rsidR="00964960" w:rsidRDefault="00964960" w:rsidP="00964960">
      <w:pPr>
        <w:widowControl w:val="0"/>
        <w:tabs>
          <w:tab w:val="left" w:pos="20"/>
          <w:tab w:val="left" w:pos="570"/>
          <w:tab w:val="left" w:pos="1134"/>
        </w:tabs>
        <w:autoSpaceDE w:val="0"/>
        <w:autoSpaceDN w:val="0"/>
        <w:adjustRightInd w:val="0"/>
        <w:spacing w:after="120"/>
        <w:ind w:firstLine="567"/>
        <w:rPr>
          <w:i/>
          <w:iCs/>
          <w:lang w:eastAsia="ja-JP"/>
        </w:rPr>
      </w:pPr>
      <w:r w:rsidRPr="00E15601">
        <w:rPr>
          <w:iCs/>
          <w:lang w:eastAsia="ja-JP"/>
        </w:rPr>
        <w:t>11.</w:t>
      </w:r>
      <w:r>
        <w:rPr>
          <w:i/>
          <w:iCs/>
          <w:lang w:eastAsia="ja-JP"/>
        </w:rPr>
        <w:tab/>
        <w:t>Reiterates</w:t>
      </w:r>
      <w:r>
        <w:rPr>
          <w:lang w:eastAsia="ja-JP"/>
        </w:rPr>
        <w:t xml:space="preserve"> decision X/3, paragraph 5, which states that the global monitoring reports on the implementation of the strategy for resource mobilization should be prepared in time for consideration by the Conference of the Parties at its ordinary meetings, and </w:t>
      </w:r>
      <w:r>
        <w:rPr>
          <w:i/>
          <w:iCs/>
          <w:lang w:eastAsia="ja-JP"/>
        </w:rPr>
        <w:t xml:space="preserve">requests </w:t>
      </w:r>
      <w:r>
        <w:rPr>
          <w:lang w:eastAsia="ja-JP"/>
        </w:rPr>
        <w:t xml:space="preserve">the Executive Secretary to prepare </w:t>
      </w:r>
      <w:r>
        <w:rPr>
          <w:lang w:eastAsia="ja-JP"/>
        </w:rPr>
        <w:lastRenderedPageBreak/>
        <w:t>periodic global monitoring reports on the implementation of the strategy for resource mobilization;</w:t>
      </w:r>
    </w:p>
    <w:p w14:paraId="1ABEA36A" w14:textId="77777777" w:rsidR="00964960" w:rsidRDefault="00964960" w:rsidP="00964960">
      <w:pPr>
        <w:widowControl w:val="0"/>
        <w:tabs>
          <w:tab w:val="left" w:pos="20"/>
          <w:tab w:val="left" w:pos="570"/>
          <w:tab w:val="left" w:pos="1134"/>
        </w:tabs>
        <w:autoSpaceDE w:val="0"/>
        <w:autoSpaceDN w:val="0"/>
        <w:adjustRightInd w:val="0"/>
        <w:spacing w:after="120"/>
        <w:ind w:firstLine="567"/>
        <w:rPr>
          <w:lang w:eastAsia="ja-JP"/>
        </w:rPr>
      </w:pPr>
      <w:r w:rsidRPr="00E15601">
        <w:rPr>
          <w:iCs/>
          <w:lang w:eastAsia="ja-JP"/>
        </w:rPr>
        <w:t>12.</w:t>
      </w:r>
      <w:r>
        <w:rPr>
          <w:i/>
          <w:iCs/>
          <w:lang w:eastAsia="ja-JP"/>
        </w:rPr>
        <w:tab/>
        <w:t>Decides</w:t>
      </w:r>
      <w:r>
        <w:rPr>
          <w:lang w:eastAsia="ja-JP"/>
        </w:rPr>
        <w:t xml:space="preserve"> to include consideration of resource mobilization for the Nagoya Protocol in the implementation of the strategy for resource mobilization in support of the achievement of the three objectives of the Convention for the period 2008–2015; </w:t>
      </w:r>
    </w:p>
    <w:p w14:paraId="1E8FEBA2" w14:textId="77777777" w:rsidR="00964960" w:rsidRPr="00117B16" w:rsidRDefault="00964960" w:rsidP="00964960">
      <w:pPr>
        <w:widowControl w:val="0"/>
        <w:tabs>
          <w:tab w:val="left" w:pos="20"/>
          <w:tab w:val="left" w:pos="570"/>
          <w:tab w:val="left" w:pos="1134"/>
        </w:tabs>
        <w:autoSpaceDE w:val="0"/>
        <w:autoSpaceDN w:val="0"/>
        <w:adjustRightInd w:val="0"/>
        <w:spacing w:after="120"/>
        <w:ind w:firstLine="567"/>
        <w:rPr>
          <w:sz w:val="18"/>
          <w:szCs w:val="18"/>
          <w:u w:val="single"/>
          <w:lang w:eastAsia="ja-JP"/>
        </w:rPr>
      </w:pPr>
      <w:r w:rsidRPr="00E15601">
        <w:rPr>
          <w:iCs/>
          <w:lang w:eastAsia="ja-JP"/>
        </w:rPr>
        <w:t>13.</w:t>
      </w:r>
      <w:r>
        <w:rPr>
          <w:i/>
          <w:iCs/>
          <w:lang w:eastAsia="ja-JP"/>
        </w:rPr>
        <w:tab/>
        <w:t xml:space="preserve">Recalling </w:t>
      </w:r>
      <w:r>
        <w:rPr>
          <w:lang w:eastAsia="ja-JP"/>
        </w:rPr>
        <w:t>decision X/3, paragraph 11, which recognizes that many developing countries</w:t>
      </w:r>
      <w:r>
        <w:rPr>
          <w:sz w:val="18"/>
          <w:szCs w:val="18"/>
          <w:u w:val="single"/>
          <w:lang w:eastAsia="ja-JP"/>
        </w:rPr>
        <w:t xml:space="preserve"> </w:t>
      </w:r>
      <w:r>
        <w:rPr>
          <w:lang w:eastAsia="ja-JP"/>
        </w:rPr>
        <w:t xml:space="preserve">have undertaken analyses of the values of their biodiversity and are working to close the financial gap to effectively conserve their biological resources, </w:t>
      </w:r>
      <w:r>
        <w:rPr>
          <w:i/>
          <w:iCs/>
          <w:lang w:eastAsia="ja-JP"/>
        </w:rPr>
        <w:t xml:space="preserve">invites </w:t>
      </w:r>
      <w:r>
        <w:rPr>
          <w:lang w:eastAsia="ja-JP"/>
        </w:rPr>
        <w:t xml:space="preserve">Parties to share experiences and lessons learned and </w:t>
      </w:r>
      <w:r>
        <w:rPr>
          <w:i/>
          <w:iCs/>
          <w:lang w:eastAsia="ja-JP"/>
        </w:rPr>
        <w:t xml:space="preserve">calls upon </w:t>
      </w:r>
      <w:r>
        <w:rPr>
          <w:lang w:eastAsia="ja-JP"/>
        </w:rPr>
        <w:t>developed countries to respond to needs identified and to create enabling conditions for those countries yet to undertake such analyses to identify their respective needs;</w:t>
      </w:r>
    </w:p>
    <w:p w14:paraId="124F5C54" w14:textId="77777777" w:rsidR="00964960" w:rsidRDefault="00964960" w:rsidP="00964960">
      <w:pPr>
        <w:widowControl w:val="0"/>
        <w:tabs>
          <w:tab w:val="left" w:pos="20"/>
          <w:tab w:val="left" w:pos="570"/>
          <w:tab w:val="left" w:pos="1134"/>
        </w:tabs>
        <w:autoSpaceDE w:val="0"/>
        <w:autoSpaceDN w:val="0"/>
        <w:adjustRightInd w:val="0"/>
        <w:spacing w:after="120"/>
        <w:ind w:firstLine="567"/>
        <w:rPr>
          <w:i/>
          <w:iCs/>
          <w:lang w:eastAsia="ja-JP"/>
        </w:rPr>
      </w:pPr>
      <w:r w:rsidRPr="00E15601">
        <w:rPr>
          <w:iCs/>
          <w:lang w:eastAsia="ja-JP"/>
        </w:rPr>
        <w:t>14.</w:t>
      </w:r>
      <w:r>
        <w:rPr>
          <w:i/>
          <w:iCs/>
          <w:lang w:eastAsia="ja-JP"/>
        </w:rPr>
        <w:tab/>
        <w:t xml:space="preserve">Recalling </w:t>
      </w:r>
      <w:r>
        <w:rPr>
          <w:lang w:eastAsia="ja-JP"/>
        </w:rPr>
        <w:t xml:space="preserve">decision IX/11, paragraph 6, </w:t>
      </w:r>
      <w:r>
        <w:rPr>
          <w:i/>
          <w:iCs/>
          <w:lang w:eastAsia="ja-JP"/>
        </w:rPr>
        <w:t xml:space="preserve">urges </w:t>
      </w:r>
      <w:r>
        <w:rPr>
          <w:lang w:eastAsia="ja-JP"/>
        </w:rPr>
        <w:t xml:space="preserve">Parties and other Governments, where appropriate, to continue to enhance national administrative and managerial capacities, to create the enabling environment to mobilize private and public-sector investments in biological diversity and its associated ecosystem services; </w:t>
      </w:r>
    </w:p>
    <w:p w14:paraId="0995B805" w14:textId="77777777" w:rsidR="00964960" w:rsidRDefault="00964960" w:rsidP="00964960">
      <w:pPr>
        <w:widowControl w:val="0"/>
        <w:tabs>
          <w:tab w:val="left" w:pos="20"/>
          <w:tab w:val="left" w:pos="570"/>
          <w:tab w:val="left" w:pos="1134"/>
        </w:tabs>
        <w:autoSpaceDE w:val="0"/>
        <w:autoSpaceDN w:val="0"/>
        <w:adjustRightInd w:val="0"/>
        <w:spacing w:after="120"/>
        <w:ind w:firstLine="567"/>
        <w:rPr>
          <w:i/>
          <w:iCs/>
          <w:lang w:eastAsia="ja-JP"/>
        </w:rPr>
      </w:pPr>
      <w:r w:rsidRPr="00E15601">
        <w:rPr>
          <w:iCs/>
          <w:lang w:eastAsia="ja-JP"/>
        </w:rPr>
        <w:t>15.</w:t>
      </w:r>
      <w:r>
        <w:rPr>
          <w:i/>
          <w:iCs/>
          <w:lang w:eastAsia="ja-JP"/>
        </w:rPr>
        <w:tab/>
        <w:t xml:space="preserve">Invites </w:t>
      </w:r>
      <w:r>
        <w:rPr>
          <w:lang w:eastAsia="ja-JP"/>
        </w:rPr>
        <w:t>Parties, as appropriate, to support developing countries, in particular least developed countries and small island developing States, as well as countries with economies in transition, to enhance institutional, national, administrative and managerial capacities, in order to increase the effectiveness and sustainability of international and national financial flows;</w:t>
      </w:r>
    </w:p>
    <w:p w14:paraId="4FC13F74" w14:textId="77777777" w:rsidR="00964960" w:rsidRDefault="00964960" w:rsidP="00964960">
      <w:pPr>
        <w:widowControl w:val="0"/>
        <w:tabs>
          <w:tab w:val="left" w:pos="20"/>
          <w:tab w:val="left" w:pos="570"/>
          <w:tab w:val="left" w:pos="1134"/>
        </w:tabs>
        <w:autoSpaceDE w:val="0"/>
        <w:autoSpaceDN w:val="0"/>
        <w:adjustRightInd w:val="0"/>
        <w:spacing w:after="120"/>
        <w:ind w:firstLine="567"/>
        <w:rPr>
          <w:i/>
          <w:iCs/>
          <w:lang w:eastAsia="ja-JP"/>
        </w:rPr>
      </w:pPr>
      <w:r w:rsidRPr="00E15601">
        <w:rPr>
          <w:iCs/>
          <w:lang w:eastAsia="ja-JP"/>
        </w:rPr>
        <w:t>16.</w:t>
      </w:r>
      <w:r>
        <w:rPr>
          <w:i/>
          <w:iCs/>
          <w:lang w:eastAsia="ja-JP"/>
        </w:rPr>
        <w:tab/>
        <w:t>Recalling</w:t>
      </w:r>
      <w:r>
        <w:rPr>
          <w:lang w:eastAsia="ja-JP"/>
        </w:rPr>
        <w:t xml:space="preserve"> decision IX/11, paragraph 4, and </w:t>
      </w:r>
      <w:r w:rsidRPr="009F57DC">
        <w:rPr>
          <w:i/>
          <w:lang w:eastAsia="ja-JP"/>
        </w:rPr>
        <w:t>taking into account</w:t>
      </w:r>
      <w:r>
        <w:rPr>
          <w:lang w:eastAsia="ja-JP"/>
        </w:rPr>
        <w:t xml:space="preserve"> decision X/3, paragraph 11,</w:t>
      </w:r>
      <w:r>
        <w:rPr>
          <w:i/>
          <w:iCs/>
          <w:lang w:eastAsia="ja-JP"/>
        </w:rPr>
        <w:t xml:space="preserve"> invites</w:t>
      </w:r>
      <w:r>
        <w:rPr>
          <w:lang w:eastAsia="ja-JP"/>
        </w:rPr>
        <w:t xml:space="preserve"> Parties and relevant partner organizations to examine their role in establishing enabling conditions for the public and private sectors to support the objectives of the Convention and its two protocols, and to submit information on their experiences to the Executive Secretary (see also UNEP/CBD/WG-RI/4/9); </w:t>
      </w:r>
    </w:p>
    <w:p w14:paraId="43AC225A" w14:textId="77777777" w:rsidR="00964960" w:rsidRDefault="00964960" w:rsidP="00964960">
      <w:pPr>
        <w:widowControl w:val="0"/>
        <w:tabs>
          <w:tab w:val="left" w:pos="20"/>
          <w:tab w:val="left" w:pos="570"/>
        </w:tabs>
        <w:autoSpaceDE w:val="0"/>
        <w:autoSpaceDN w:val="0"/>
        <w:adjustRightInd w:val="0"/>
        <w:spacing w:after="120"/>
        <w:ind w:firstLine="567"/>
        <w:rPr>
          <w:i/>
          <w:iCs/>
          <w:lang w:eastAsia="ja-JP"/>
        </w:rPr>
      </w:pPr>
      <w:r w:rsidRPr="00E15601">
        <w:rPr>
          <w:iCs/>
          <w:lang w:eastAsia="ja-JP"/>
        </w:rPr>
        <w:t>17.</w:t>
      </w:r>
      <w:r>
        <w:rPr>
          <w:i/>
          <w:iCs/>
          <w:lang w:eastAsia="ja-JP"/>
        </w:rPr>
        <w:tab/>
        <w:t xml:space="preserve">Encourages </w:t>
      </w:r>
      <w:r>
        <w:rPr>
          <w:lang w:eastAsia="ja-JP"/>
        </w:rPr>
        <w:t xml:space="preserve">Parties to undertake institutional mapping/analysis, covering the whole range of biodiversity resourcing options, as part of </w:t>
      </w:r>
      <w:r w:rsidRPr="007F5592">
        <w:rPr>
          <w:lang w:eastAsia="ja-JP"/>
        </w:rPr>
        <w:t>developing country-specif</w:t>
      </w:r>
      <w:r w:rsidRPr="00DD4470">
        <w:rPr>
          <w:lang w:eastAsia="ja-JP"/>
        </w:rPr>
        <w:t xml:space="preserve">ic resource mobilization strategies </w:t>
      </w:r>
      <w:r>
        <w:rPr>
          <w:lang w:eastAsia="ja-JP"/>
        </w:rPr>
        <w:t xml:space="preserve">within the framework of revising national biodiversity strategies and action plans; </w:t>
      </w:r>
    </w:p>
    <w:p w14:paraId="3DAEAF09" w14:textId="77777777" w:rsidR="00964960" w:rsidRDefault="00964960" w:rsidP="00964960">
      <w:pPr>
        <w:widowControl w:val="0"/>
        <w:tabs>
          <w:tab w:val="left" w:pos="20"/>
          <w:tab w:val="left" w:pos="570"/>
        </w:tabs>
        <w:autoSpaceDE w:val="0"/>
        <w:autoSpaceDN w:val="0"/>
        <w:adjustRightInd w:val="0"/>
        <w:spacing w:after="120"/>
        <w:ind w:firstLine="567"/>
        <w:rPr>
          <w:lang w:eastAsia="ja-JP"/>
        </w:rPr>
      </w:pPr>
      <w:r w:rsidRPr="00E15601">
        <w:rPr>
          <w:iCs/>
          <w:lang w:eastAsia="ja-JP"/>
        </w:rPr>
        <w:t>18.</w:t>
      </w:r>
      <w:r>
        <w:rPr>
          <w:i/>
          <w:iCs/>
          <w:lang w:eastAsia="ja-JP"/>
        </w:rPr>
        <w:tab/>
        <w:t xml:space="preserve">Invites </w:t>
      </w:r>
      <w:r>
        <w:rPr>
          <w:lang w:eastAsia="ja-JP"/>
        </w:rPr>
        <w:t xml:space="preserve">Parties to consider the advice and technical information contained in decision XI/30 on incentive measures; </w:t>
      </w:r>
    </w:p>
    <w:p w14:paraId="717DCC06" w14:textId="77777777" w:rsidR="0034414F" w:rsidRDefault="0034414F" w:rsidP="00964960">
      <w:pPr>
        <w:widowControl w:val="0"/>
        <w:tabs>
          <w:tab w:val="left" w:pos="20"/>
          <w:tab w:val="left" w:pos="570"/>
        </w:tabs>
        <w:autoSpaceDE w:val="0"/>
        <w:autoSpaceDN w:val="0"/>
        <w:adjustRightInd w:val="0"/>
        <w:spacing w:after="120"/>
        <w:ind w:firstLine="567"/>
        <w:rPr>
          <w:iCs/>
          <w:lang w:eastAsia="ja-JP"/>
        </w:rPr>
        <w:sectPr w:rsidR="0034414F"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020907A2" w14:textId="77777777" w:rsidR="00964960" w:rsidRDefault="00964960" w:rsidP="00964960">
      <w:pPr>
        <w:widowControl w:val="0"/>
        <w:tabs>
          <w:tab w:val="left" w:pos="20"/>
          <w:tab w:val="left" w:pos="570"/>
        </w:tabs>
        <w:autoSpaceDE w:val="0"/>
        <w:autoSpaceDN w:val="0"/>
        <w:adjustRightInd w:val="0"/>
        <w:spacing w:after="120"/>
        <w:ind w:firstLine="567"/>
        <w:rPr>
          <w:lang w:eastAsia="ja-JP"/>
        </w:rPr>
      </w:pPr>
      <w:r w:rsidRPr="00E15601">
        <w:rPr>
          <w:iCs/>
          <w:lang w:eastAsia="ja-JP"/>
        </w:rPr>
        <w:t>19</w:t>
      </w:r>
      <w:r>
        <w:rPr>
          <w:i/>
          <w:iCs/>
          <w:lang w:eastAsia="ja-JP"/>
        </w:rPr>
        <w:t>.</w:t>
      </w:r>
      <w:r>
        <w:rPr>
          <w:i/>
          <w:iCs/>
          <w:lang w:eastAsia="ja-JP"/>
        </w:rPr>
        <w:tab/>
        <w:t xml:space="preserve">Recognizing </w:t>
      </w:r>
      <w:r>
        <w:rPr>
          <w:lang w:eastAsia="ja-JP"/>
        </w:rPr>
        <w:t xml:space="preserve">that the Convention’s strategy for resource mobilization calls for the exploration of new and innovative financial mechanisms at all levels with a view to increasing funding to support the Convention and its Strategic Plan for Biodiversity 2011–2020, and that some of those mechanisms are already being applied, and </w:t>
      </w:r>
      <w:r>
        <w:rPr>
          <w:i/>
          <w:iCs/>
          <w:lang w:eastAsia="ja-JP"/>
        </w:rPr>
        <w:t xml:space="preserve">recalling </w:t>
      </w:r>
      <w:r>
        <w:rPr>
          <w:lang w:eastAsia="ja-JP"/>
        </w:rPr>
        <w:t xml:space="preserve">decision X/3, </w:t>
      </w:r>
      <w:r>
        <w:rPr>
          <w:i/>
          <w:iCs/>
          <w:lang w:eastAsia="ja-JP"/>
        </w:rPr>
        <w:t xml:space="preserve">reiterates </w:t>
      </w:r>
      <w:r>
        <w:rPr>
          <w:lang w:eastAsia="ja-JP"/>
        </w:rPr>
        <w:t xml:space="preserve">that any new and innovative financial mechanisms are supplementary to and do not replace the financial mechanism established under Article 21 of the Convention; </w:t>
      </w:r>
    </w:p>
    <w:p w14:paraId="2F76724C" w14:textId="77777777" w:rsidR="00964960" w:rsidRDefault="00964960" w:rsidP="00964960">
      <w:pPr>
        <w:widowControl w:val="0"/>
        <w:tabs>
          <w:tab w:val="left" w:pos="20"/>
          <w:tab w:val="left" w:pos="570"/>
        </w:tabs>
        <w:autoSpaceDE w:val="0"/>
        <w:autoSpaceDN w:val="0"/>
        <w:adjustRightInd w:val="0"/>
        <w:spacing w:after="120"/>
        <w:ind w:firstLine="567"/>
        <w:rPr>
          <w:lang w:eastAsia="ja-JP"/>
        </w:rPr>
      </w:pPr>
      <w:r w:rsidRPr="00E15601">
        <w:rPr>
          <w:iCs/>
          <w:lang w:eastAsia="ja-JP"/>
        </w:rPr>
        <w:t>20.</w:t>
      </w:r>
      <w:r>
        <w:rPr>
          <w:i/>
          <w:iCs/>
          <w:lang w:eastAsia="ja-JP"/>
        </w:rPr>
        <w:tab/>
        <w:t xml:space="preserve">Takes note </w:t>
      </w:r>
      <w:r w:rsidRPr="008B130F">
        <w:rPr>
          <w:iCs/>
          <w:lang w:eastAsia="ja-JP"/>
        </w:rPr>
        <w:t>of</w:t>
      </w:r>
      <w:r>
        <w:rPr>
          <w:lang w:eastAsia="ja-JP"/>
        </w:rPr>
        <w:t xml:space="preserve"> the synthesis on innovative financial mechanisms (UNEP/CBD/COP/11/14/Add.3), which is based on submissions made in response to decision X/3, paragraph 8 (c), and highlights activities related to innovative financial mechanisms that have taken place since the tenth meeting of the Conference of the Parties, and the discussion paper on safeguards for scaling-up biodiversity finance and possible guiding principles (UNEP/CBD/COP/11/INF7); </w:t>
      </w:r>
      <w:r>
        <w:rPr>
          <w:i/>
          <w:iCs/>
          <w:lang w:eastAsia="ja-JP"/>
        </w:rPr>
        <w:t>recalls</w:t>
      </w:r>
      <w:r>
        <w:rPr>
          <w:lang w:eastAsia="ja-JP"/>
        </w:rPr>
        <w:t xml:space="preserve"> the outcome of the United Nations Conference on Sustainable Development (Rio+20), which encourages the further exploration and use of innovative sources of financing, alongside traditional means of implementation; </w:t>
      </w:r>
      <w:r>
        <w:rPr>
          <w:i/>
          <w:iCs/>
          <w:lang w:eastAsia="ja-JP"/>
        </w:rPr>
        <w:t>notes</w:t>
      </w:r>
      <w:r>
        <w:rPr>
          <w:lang w:eastAsia="ja-JP"/>
        </w:rPr>
        <w:t xml:space="preserve"> the reports of the informal seminar dialogue on scaling up biodiversity finance held in Quito, Ecuador, from 6 to 9 March 2012, </w:t>
      </w:r>
      <w:r w:rsidRPr="001D746F">
        <w:rPr>
          <w:lang w:eastAsia="ja-JP"/>
        </w:rPr>
        <w:t>including the</w:t>
      </w:r>
      <w:r>
        <w:rPr>
          <w:lang w:eastAsia="ja-JP"/>
        </w:rPr>
        <w:t xml:space="preserve"> proposal on a net avoided emissions mechanism, and the workshop on financing mechanisms for biodiversity: examining opportunities and challenges, held in Montreal, Canada on 12 May 2012; </w:t>
      </w:r>
      <w:r>
        <w:rPr>
          <w:i/>
          <w:iCs/>
          <w:lang w:eastAsia="ja-JP"/>
        </w:rPr>
        <w:t>requests</w:t>
      </w:r>
      <w:r>
        <w:rPr>
          <w:lang w:eastAsia="ja-JP"/>
        </w:rPr>
        <w:t xml:space="preserve"> the Executive Secretary to further develop the discussion paper on safeguards, based on comments from Parties and other relevant stakeholders, for submission to the fifth meeting of the Ad Hoc Open-ended Working Group on Review of Implementation of the Convention; and </w:t>
      </w:r>
      <w:r>
        <w:rPr>
          <w:i/>
          <w:iCs/>
          <w:lang w:eastAsia="ja-JP"/>
        </w:rPr>
        <w:t>requests</w:t>
      </w:r>
      <w:r>
        <w:rPr>
          <w:lang w:eastAsia="ja-JP"/>
        </w:rPr>
        <w:t xml:space="preserve"> the Working Group, at its fifth meeting, to prepare a recommendation for consideration by the Conference of the Parties at its twelfth meeting;</w:t>
      </w:r>
    </w:p>
    <w:p w14:paraId="6E0B9A09" w14:textId="77777777" w:rsidR="00964960" w:rsidRDefault="00964960" w:rsidP="00964960">
      <w:pPr>
        <w:widowControl w:val="0"/>
        <w:tabs>
          <w:tab w:val="left" w:pos="20"/>
          <w:tab w:val="left" w:pos="550"/>
        </w:tabs>
        <w:autoSpaceDE w:val="0"/>
        <w:autoSpaceDN w:val="0"/>
        <w:adjustRightInd w:val="0"/>
        <w:spacing w:after="120"/>
        <w:ind w:firstLine="567"/>
        <w:rPr>
          <w:lang w:eastAsia="ja-JP"/>
        </w:rPr>
      </w:pPr>
      <w:r>
        <w:rPr>
          <w:lang w:eastAsia="ja-JP"/>
        </w:rPr>
        <w:lastRenderedPageBreak/>
        <w:t>21.</w:t>
      </w:r>
      <w:r>
        <w:rPr>
          <w:lang w:eastAsia="ja-JP"/>
        </w:rPr>
        <w:tab/>
      </w:r>
      <w:r>
        <w:rPr>
          <w:i/>
          <w:iCs/>
          <w:lang w:eastAsia="ja-JP"/>
        </w:rPr>
        <w:t>Invites</w:t>
      </w:r>
      <w:r>
        <w:rPr>
          <w:lang w:eastAsia="ja-JP"/>
        </w:rPr>
        <w:t xml:space="preserve"> Parties and other relevant stakeholders to submit views and lessons learned on possible risks and benefits of country-specific innovative financial mechanisms, including on possible principles and safeguards for their use, in time for consideration by the Ad Hoc Open-ended Working Group on Review of Implementation of the Convention at its fifth meeting; </w:t>
      </w:r>
      <w:r w:rsidRPr="000D3DE3">
        <w:rPr>
          <w:i/>
          <w:lang w:eastAsia="ja-JP"/>
        </w:rPr>
        <w:t>r</w:t>
      </w:r>
      <w:r>
        <w:rPr>
          <w:i/>
          <w:iCs/>
          <w:lang w:eastAsia="ja-JP"/>
        </w:rPr>
        <w:t>equests</w:t>
      </w:r>
      <w:r>
        <w:rPr>
          <w:lang w:eastAsia="ja-JP"/>
        </w:rPr>
        <w:t xml:space="preserve"> the Executive Secretary to compile this information, taking into account the discussion paper contained in document UNEP/CBD/COP/11/INF/7 and building on previous submissions and initiatives, including the Quito seminar and the Montreal workshop referred to in paragraph 20; and </w:t>
      </w:r>
      <w:r>
        <w:rPr>
          <w:i/>
          <w:iCs/>
          <w:lang w:eastAsia="ja-JP"/>
        </w:rPr>
        <w:t>requests</w:t>
      </w:r>
      <w:r>
        <w:rPr>
          <w:lang w:eastAsia="ja-JP"/>
        </w:rPr>
        <w:t xml:space="preserve"> the Working Group, at its fifth meeting,</w:t>
      </w:r>
      <w:r w:rsidDel="001705DC">
        <w:rPr>
          <w:lang w:eastAsia="ja-JP"/>
        </w:rPr>
        <w:t xml:space="preserve"> </w:t>
      </w:r>
      <w:r>
        <w:rPr>
          <w:lang w:eastAsia="ja-JP"/>
        </w:rPr>
        <w:t>to discuss this for consideration by the Conference of the Parties at its twelfth meeting.</w:t>
      </w:r>
    </w:p>
    <w:p w14:paraId="4E21469A" w14:textId="77777777" w:rsidR="00964960" w:rsidRDefault="00964960" w:rsidP="005A5E07">
      <w:pPr>
        <w:pStyle w:val="Heading1centred"/>
        <w:outlineLvl w:val="0"/>
        <w:rPr>
          <w:b w:val="0"/>
          <w:bCs/>
          <w:lang w:eastAsia="ja-JP"/>
        </w:rPr>
      </w:pPr>
      <w:r w:rsidRPr="005A5E07">
        <w:rPr>
          <w:lang w:eastAsia="ja-JP"/>
        </w:rPr>
        <w:t>III.</w:t>
      </w:r>
      <w:r w:rsidRPr="005A5E07">
        <w:rPr>
          <w:lang w:eastAsia="ja-JP"/>
        </w:rPr>
        <w:tab/>
        <w:t>ROADMAP</w:t>
      </w:r>
    </w:p>
    <w:p w14:paraId="6D9E5B08" w14:textId="77777777" w:rsidR="00964960" w:rsidRDefault="00964960" w:rsidP="00964960">
      <w:pPr>
        <w:widowControl w:val="0"/>
        <w:tabs>
          <w:tab w:val="left" w:pos="20"/>
          <w:tab w:val="left" w:pos="570"/>
        </w:tabs>
        <w:autoSpaceDE w:val="0"/>
        <w:autoSpaceDN w:val="0"/>
        <w:adjustRightInd w:val="0"/>
        <w:spacing w:after="120"/>
        <w:ind w:firstLine="567"/>
        <w:rPr>
          <w:lang w:eastAsia="ja-JP"/>
        </w:rPr>
      </w:pPr>
      <w:r>
        <w:rPr>
          <w:lang w:eastAsia="ja-JP"/>
        </w:rPr>
        <w:t>22.</w:t>
      </w:r>
      <w:r>
        <w:rPr>
          <w:lang w:eastAsia="ja-JP"/>
        </w:rPr>
        <w:tab/>
      </w:r>
      <w:r>
        <w:rPr>
          <w:i/>
          <w:iCs/>
          <w:lang w:eastAsia="ja-JP"/>
        </w:rPr>
        <w:t>Decides</w:t>
      </w:r>
      <w:r>
        <w:rPr>
          <w:lang w:eastAsia="ja-JP"/>
        </w:rPr>
        <w:t xml:space="preserve"> to review, at its twelfth meeting, progress towards the achievement of Aichi Biodiversity Target 20 with the aim of adopting a final target for resource mobilization, building upon the </w:t>
      </w:r>
      <w:r w:rsidRPr="008115BC">
        <w:rPr>
          <w:lang w:eastAsia="ja-JP"/>
        </w:rPr>
        <w:t xml:space="preserve">financial resource flow responding to the preliminary target </w:t>
      </w:r>
      <w:r>
        <w:rPr>
          <w:lang w:eastAsia="ja-JP"/>
        </w:rPr>
        <w:t>referred to in paragraph 7 (a) and the information set out in paragraphs 7 (c) and (d), and to keep the achievement of these targets under review at subsequent meetings of the Conference of the Parties until 2020;</w:t>
      </w:r>
    </w:p>
    <w:p w14:paraId="6F1740FB" w14:textId="77777777" w:rsidR="00964960" w:rsidRDefault="00964960" w:rsidP="00964960">
      <w:pPr>
        <w:widowControl w:val="0"/>
        <w:tabs>
          <w:tab w:val="left" w:pos="20"/>
          <w:tab w:val="left" w:pos="560"/>
        </w:tabs>
        <w:autoSpaceDE w:val="0"/>
        <w:autoSpaceDN w:val="0"/>
        <w:adjustRightInd w:val="0"/>
        <w:spacing w:after="120"/>
        <w:ind w:firstLine="567"/>
        <w:rPr>
          <w:lang w:eastAsia="ja-JP"/>
        </w:rPr>
      </w:pPr>
      <w:r>
        <w:rPr>
          <w:lang w:eastAsia="ja-JP"/>
        </w:rPr>
        <w:t>23.</w:t>
      </w:r>
      <w:r>
        <w:rPr>
          <w:lang w:eastAsia="ja-JP"/>
        </w:rPr>
        <w:tab/>
      </w:r>
      <w:r w:rsidRPr="00117B16">
        <w:rPr>
          <w:i/>
          <w:iCs/>
          <w:lang w:eastAsia="ja-JP"/>
        </w:rPr>
        <w:t xml:space="preserve">Requests </w:t>
      </w:r>
      <w:r>
        <w:rPr>
          <w:lang w:eastAsia="ja-JP"/>
        </w:rPr>
        <w:t xml:space="preserve">the Ad Hoc Open-ended Working Group on Review of Implementation of the Convention, at its fifth meeting, to further review the preliminary reporting framework and baseline information for each of the targets, including the role of collective action, including by indigenous and local communities, and non-market-based approaches to achieving the objectives of the Convention; and </w:t>
      </w:r>
      <w:r w:rsidRPr="00117B16">
        <w:rPr>
          <w:i/>
          <w:iCs/>
          <w:lang w:eastAsia="ja-JP"/>
        </w:rPr>
        <w:t>requests</w:t>
      </w:r>
      <w:r>
        <w:rPr>
          <w:lang w:eastAsia="ja-JP"/>
        </w:rPr>
        <w:t xml:space="preserve"> the Executive Secretary to prepare for this review, based on information received from Parties on the application of the preliminary reporting framework and on funding needs, gaps and priorities; </w:t>
      </w:r>
    </w:p>
    <w:p w14:paraId="6A24DFC8" w14:textId="77777777" w:rsidR="00964960" w:rsidRDefault="00964960" w:rsidP="00964960">
      <w:pPr>
        <w:widowControl w:val="0"/>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67"/>
        <w:rPr>
          <w:lang w:eastAsia="ja-JP"/>
        </w:rPr>
      </w:pPr>
      <w:r w:rsidRPr="008148A8">
        <w:rPr>
          <w:iCs/>
          <w:lang w:eastAsia="ja-JP"/>
        </w:rPr>
        <w:t>24.</w:t>
      </w:r>
      <w:r>
        <w:rPr>
          <w:i/>
          <w:iCs/>
          <w:lang w:eastAsia="ja-JP"/>
        </w:rPr>
        <w:tab/>
        <w:t xml:space="preserve">Welcomes </w:t>
      </w:r>
      <w:r>
        <w:rPr>
          <w:lang w:eastAsia="ja-JP"/>
        </w:rPr>
        <w:t xml:space="preserve">the initial findings of the </w:t>
      </w:r>
      <w:r w:rsidR="008A3DCB">
        <w:rPr>
          <w:lang w:eastAsia="ja-JP"/>
        </w:rPr>
        <w:t>h</w:t>
      </w:r>
      <w:r>
        <w:rPr>
          <w:lang w:eastAsia="ja-JP"/>
        </w:rPr>
        <w:t>igh-</w:t>
      </w:r>
      <w:r w:rsidR="008A3DCB">
        <w:rPr>
          <w:lang w:eastAsia="ja-JP"/>
        </w:rPr>
        <w:t>l</w:t>
      </w:r>
      <w:r>
        <w:rPr>
          <w:lang w:eastAsia="ja-JP"/>
        </w:rPr>
        <w:t xml:space="preserve">evel </w:t>
      </w:r>
      <w:r w:rsidR="008A3DCB">
        <w:rPr>
          <w:lang w:eastAsia="ja-JP"/>
        </w:rPr>
        <w:t>p</w:t>
      </w:r>
      <w:r>
        <w:rPr>
          <w:lang w:eastAsia="ja-JP"/>
        </w:rPr>
        <w:t xml:space="preserve">anel on global assessment of resources for implementing the Strategic Plan for Biodiversity 2011–2020, and </w:t>
      </w:r>
      <w:r>
        <w:rPr>
          <w:i/>
          <w:iCs/>
          <w:lang w:eastAsia="ja-JP"/>
        </w:rPr>
        <w:t>invites</w:t>
      </w:r>
      <w:r>
        <w:rPr>
          <w:lang w:eastAsia="ja-JP"/>
        </w:rPr>
        <w:t xml:space="preserve"> the </w:t>
      </w:r>
      <w:r w:rsidR="008A3DCB">
        <w:rPr>
          <w:lang w:eastAsia="ja-JP"/>
        </w:rPr>
        <w:t>p</w:t>
      </w:r>
      <w:r>
        <w:rPr>
          <w:lang w:eastAsia="ja-JP"/>
        </w:rPr>
        <w:t>anel, in collaboration with other relevant initiatives that could provide a more bottom-up approach, to continue its work with a broadened composition and to report back on the results of its work to the twelfth meeting of the Conference of the Parties;</w:t>
      </w:r>
    </w:p>
    <w:p w14:paraId="23A9EC93" w14:textId="77777777" w:rsidR="00964960" w:rsidRDefault="00964960" w:rsidP="00964960">
      <w:pPr>
        <w:widowControl w:val="0"/>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67"/>
        <w:rPr>
          <w:lang w:eastAsia="ja-JP"/>
        </w:rPr>
      </w:pPr>
      <w:r>
        <w:rPr>
          <w:lang w:eastAsia="ja-JP"/>
        </w:rPr>
        <w:t>25.</w:t>
      </w:r>
      <w:r>
        <w:rPr>
          <w:lang w:eastAsia="ja-JP"/>
        </w:rPr>
        <w:tab/>
        <w:t xml:space="preserve">In support of the targets set in paragraph 7, </w:t>
      </w:r>
      <w:r>
        <w:rPr>
          <w:i/>
          <w:iCs/>
          <w:lang w:eastAsia="ja-JP"/>
        </w:rPr>
        <w:t xml:space="preserve">encourages </w:t>
      </w:r>
      <w:r>
        <w:rPr>
          <w:lang w:eastAsia="ja-JP"/>
        </w:rPr>
        <w:t xml:space="preserve">Parties and relevant organizations to improve existing financial information by enhancing accuracy, consistency and delivery of information on biodiversity financing and improving reporting on funding needs and shortfalls; and </w:t>
      </w:r>
      <w:r>
        <w:rPr>
          <w:i/>
          <w:iCs/>
          <w:lang w:eastAsia="ja-JP"/>
        </w:rPr>
        <w:t xml:space="preserve">encourages </w:t>
      </w:r>
      <w:r>
        <w:rPr>
          <w:lang w:eastAsia="ja-JP"/>
        </w:rPr>
        <w:t xml:space="preserve">Parties to integrate national resource mobilization strategies, including existing needs assessments, into the decision-making process on their funding targets in order to address the funding gap as soon as possible, and to develop, as appropriate, country-specific resource mobilization strategies, including assessment of resource needs, as part of their updated national biodiversity strategies and action plans, as a matter of priority; </w:t>
      </w:r>
    </w:p>
    <w:p w14:paraId="48E592FA" w14:textId="77777777" w:rsidR="00964960" w:rsidRDefault="00964960" w:rsidP="00964960">
      <w:pPr>
        <w:widowControl w:val="0"/>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67"/>
        <w:rPr>
          <w:lang w:eastAsia="ja-JP"/>
        </w:rPr>
      </w:pPr>
      <w:r w:rsidRPr="008148A8">
        <w:rPr>
          <w:iCs/>
          <w:lang w:eastAsia="ja-JP"/>
        </w:rPr>
        <w:t>26.</w:t>
      </w:r>
      <w:r>
        <w:rPr>
          <w:i/>
          <w:iCs/>
          <w:lang w:eastAsia="ja-JP"/>
        </w:rPr>
        <w:tab/>
        <w:t>Requests</w:t>
      </w:r>
      <w:r>
        <w:rPr>
          <w:lang w:eastAsia="ja-JP"/>
        </w:rPr>
        <w:t xml:space="preserve"> the Executive Secretary to elaborate additional guidance for Parties to apply the indicators adopted in decision X/3 for national and subnational application, and to undertake an assessment of the indicator framework, based on Parties’ experiences; </w:t>
      </w:r>
    </w:p>
    <w:p w14:paraId="2A4456EA" w14:textId="77777777" w:rsidR="00964960" w:rsidRDefault="00964960" w:rsidP="00964960">
      <w:pPr>
        <w:widowControl w:val="0"/>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firstLine="567"/>
        <w:rPr>
          <w:lang w:eastAsia="ja-JP"/>
        </w:rPr>
      </w:pPr>
      <w:r w:rsidRPr="008148A8">
        <w:rPr>
          <w:iCs/>
          <w:lang w:eastAsia="ja-JP"/>
        </w:rPr>
        <w:t>27</w:t>
      </w:r>
      <w:r>
        <w:rPr>
          <w:i/>
          <w:iCs/>
          <w:lang w:eastAsia="ja-JP"/>
        </w:rPr>
        <w:t>.</w:t>
      </w:r>
      <w:r>
        <w:rPr>
          <w:i/>
          <w:iCs/>
          <w:lang w:eastAsia="ja-JP"/>
        </w:rPr>
        <w:tab/>
        <w:t xml:space="preserve">Requests </w:t>
      </w:r>
      <w:r>
        <w:rPr>
          <w:lang w:eastAsia="ja-JP"/>
        </w:rPr>
        <w:t>the Executive Secretary, subject to voluntary contributions, to organize regional and subregional workshops on the establishment of robust baselines and reporting framework and the preparation of national financial plans for biodiversity.</w:t>
      </w:r>
    </w:p>
    <w:p w14:paraId="1AC71D89" w14:textId="77777777" w:rsidR="00441F19" w:rsidRDefault="005A2590" w:rsidP="00414228">
      <w:pPr>
        <w:spacing w:before="120" w:after="120"/>
        <w:jc w:val="center"/>
      </w:pPr>
      <w:r w:rsidRPr="00C5504D">
        <w:t>-----</w:t>
      </w:r>
    </w:p>
    <w:sectPr w:rsidR="00441F19" w:rsidSect="00EE080C">
      <w:footerReference w:type="even"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2A81" w14:textId="77777777" w:rsidR="00FC5E2B" w:rsidRDefault="00FC5E2B">
      <w:r>
        <w:separator/>
      </w:r>
    </w:p>
  </w:endnote>
  <w:endnote w:type="continuationSeparator" w:id="0">
    <w:p w14:paraId="74F34729" w14:textId="77777777" w:rsidR="00FC5E2B" w:rsidRDefault="00FC5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09DC"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81AD"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8BC9" w14:textId="77777777" w:rsidR="00351772" w:rsidRDefault="00351772" w:rsidP="00EE080C">
    <w:pPr>
      <w:pStyle w:val="Footer"/>
      <w:spacing w:after="120"/>
    </w:pPr>
    <w:r>
      <w:t>/…</w:t>
    </w:r>
  </w:p>
  <w:p w14:paraId="1F5D7FCE" w14:textId="77777777" w:rsidR="00351772" w:rsidRDefault="00326F99" w:rsidP="00351772">
    <w:r>
      <w:rPr>
        <w:noProof/>
        <w:lang w:val="en-CA" w:eastAsia="en-CA"/>
      </w:rPr>
      <mc:AlternateContent>
        <mc:Choice Requires="wps">
          <w:drawing>
            <wp:anchor distT="0" distB="0" distL="114300" distR="114300" simplePos="0" relativeHeight="251657728" behindDoc="0" locked="0" layoutInCell="1" allowOverlap="1" wp14:anchorId="6E343C8E" wp14:editId="6503FCDC">
              <wp:simplePos x="0" y="0"/>
              <wp:positionH relativeFrom="column">
                <wp:posOffset>0</wp:posOffset>
              </wp:positionH>
              <wp:positionV relativeFrom="paragraph">
                <wp:posOffset>2540</wp:posOffset>
              </wp:positionV>
              <wp:extent cx="5943600" cy="534035"/>
              <wp:effectExtent l="12700" t="12700" r="12700" b="12065"/>
              <wp:wrapNone/>
              <wp:docPr id="2223347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0865B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E3285CE"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43C8E"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650865B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E3285CE" w14:textId="77777777" w:rsidR="00351772" w:rsidRPr="00210687" w:rsidRDefault="00351772" w:rsidP="00351772"/>
                </w:txbxContent>
              </v:textbox>
            </v:rect>
          </w:pict>
        </mc:Fallback>
      </mc:AlternateContent>
    </w:r>
  </w:p>
  <w:p w14:paraId="60FCB6E2"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A863"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2FD5" w14:textId="77777777" w:rsidR="0034414F" w:rsidRPr="0034414F" w:rsidRDefault="0034414F" w:rsidP="00344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982F" w14:textId="77777777" w:rsidR="00FC5E2B" w:rsidRDefault="00FC5E2B">
      <w:r>
        <w:separator/>
      </w:r>
    </w:p>
  </w:footnote>
  <w:footnote w:type="continuationSeparator" w:id="0">
    <w:p w14:paraId="226B2531" w14:textId="77777777" w:rsidR="00FC5E2B" w:rsidRDefault="00FC5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8C97" w14:textId="77777777" w:rsidR="00351772" w:rsidRDefault="00EE080C" w:rsidP="00351772">
    <w:pPr>
      <w:pStyle w:val="Header"/>
    </w:pPr>
    <w:r>
      <w:t>UNEP/CBD/COP/DEC/XI/</w:t>
    </w:r>
    <w:r w:rsidR="00221EA0">
      <w:t>4</w:t>
    </w:r>
  </w:p>
  <w:p w14:paraId="43595DAA" w14:textId="77777777" w:rsidR="00351772" w:rsidRDefault="00351772" w:rsidP="00351772">
    <w:pPr>
      <w:pStyle w:val="Header"/>
    </w:pPr>
    <w:r>
      <w:t xml:space="preserve">Page </w:t>
    </w:r>
    <w:r>
      <w:fldChar w:fldCharType="begin"/>
    </w:r>
    <w:r>
      <w:instrText xml:space="preserve"> PAGE   \* MERGEFORMAT </w:instrText>
    </w:r>
    <w:r>
      <w:fldChar w:fldCharType="separate"/>
    </w:r>
    <w:r w:rsidR="004A11E2">
      <w:rPr>
        <w:noProof/>
      </w:rPr>
      <w:t>4</w:t>
    </w:r>
    <w:r>
      <w:rPr>
        <w:noProof/>
      </w:rPr>
      <w:fldChar w:fldCharType="end"/>
    </w:r>
  </w:p>
  <w:p w14:paraId="566B104F"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1FEE" w14:textId="77777777" w:rsidR="00EE080C" w:rsidRDefault="00351772" w:rsidP="00EE080C">
    <w:pPr>
      <w:pStyle w:val="Header"/>
      <w:ind w:left="6600"/>
      <w:jc w:val="left"/>
    </w:pPr>
    <w:r>
      <w:t>UNEP/CBD/</w:t>
    </w:r>
    <w:r w:rsidR="00EE080C">
      <w:t>COP/DEC/XI/</w:t>
    </w:r>
    <w:r w:rsidR="00221EA0">
      <w:t>4</w:t>
    </w:r>
  </w:p>
  <w:p w14:paraId="55D3F155"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4A11E2">
      <w:rPr>
        <w:noProof/>
      </w:rPr>
      <w:t>3</w:t>
    </w:r>
    <w:r>
      <w:fldChar w:fldCharType="end"/>
    </w:r>
  </w:p>
  <w:p w14:paraId="3EDE3E18"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1F1294"/>
    <w:multiLevelType w:val="hybridMultilevel"/>
    <w:tmpl w:val="B2FCEFB0"/>
    <w:lvl w:ilvl="0" w:tplc="000000C9">
      <w:start w:val="1"/>
      <w:numFmt w:val="decimal"/>
      <w:lvlText w:val="%1."/>
      <w:lvlJc w:val="left"/>
      <w:pPr>
        <w:ind w:left="720" w:hanging="360"/>
      </w:pPr>
    </w:lvl>
    <w:lvl w:ilvl="1" w:tplc="5B16B29C">
      <w:start w:val="1"/>
      <w:numFmt w:val="lowerLetter"/>
      <w:lvlText w:val="(%2)"/>
      <w:lvlJc w:val="left"/>
      <w:pPr>
        <w:ind w:left="1440" w:hanging="360"/>
      </w:pPr>
      <w:rPr>
        <w:rFont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41427231">
    <w:abstractNumId w:val="11"/>
  </w:num>
  <w:num w:numId="2" w16cid:durableId="1839496865">
    <w:abstractNumId w:val="12"/>
  </w:num>
  <w:num w:numId="3" w16cid:durableId="983244109">
    <w:abstractNumId w:val="10"/>
  </w:num>
  <w:num w:numId="4" w16cid:durableId="1171530208">
    <w:abstractNumId w:val="38"/>
  </w:num>
  <w:num w:numId="5" w16cid:durableId="1226834856">
    <w:abstractNumId w:val="13"/>
  </w:num>
  <w:num w:numId="6" w16cid:durableId="1889221775">
    <w:abstractNumId w:val="24"/>
  </w:num>
  <w:num w:numId="7" w16cid:durableId="204872623">
    <w:abstractNumId w:val="20"/>
  </w:num>
  <w:num w:numId="8" w16cid:durableId="957684805">
    <w:abstractNumId w:val="17"/>
  </w:num>
  <w:num w:numId="9" w16cid:durableId="816993837">
    <w:abstractNumId w:val="22"/>
  </w:num>
  <w:num w:numId="10" w16cid:durableId="1459880425">
    <w:abstractNumId w:val="25"/>
  </w:num>
  <w:num w:numId="11" w16cid:durableId="13698430">
    <w:abstractNumId w:val="0"/>
  </w:num>
  <w:num w:numId="12" w16cid:durableId="13763952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989553272">
    <w:abstractNumId w:val="31"/>
  </w:num>
  <w:num w:numId="14" w16cid:durableId="6344558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7931087">
    <w:abstractNumId w:val="1"/>
  </w:num>
  <w:num w:numId="16" w16cid:durableId="424033254">
    <w:abstractNumId w:val="32"/>
  </w:num>
  <w:num w:numId="17" w16cid:durableId="580876272">
    <w:abstractNumId w:val="35"/>
  </w:num>
  <w:num w:numId="18" w16cid:durableId="277879118">
    <w:abstractNumId w:val="33"/>
  </w:num>
  <w:num w:numId="19" w16cid:durableId="139811829">
    <w:abstractNumId w:val="23"/>
  </w:num>
  <w:num w:numId="20" w16cid:durableId="252279695">
    <w:abstractNumId w:val="7"/>
  </w:num>
  <w:num w:numId="21" w16cid:durableId="1992557732">
    <w:abstractNumId w:val="37"/>
  </w:num>
  <w:num w:numId="22" w16cid:durableId="1030187540">
    <w:abstractNumId w:val="6"/>
  </w:num>
  <w:num w:numId="23" w16cid:durableId="1237009384">
    <w:abstractNumId w:val="19"/>
  </w:num>
  <w:num w:numId="24" w16cid:durableId="1294480046">
    <w:abstractNumId w:val="4"/>
  </w:num>
  <w:num w:numId="25" w16cid:durableId="1917125872">
    <w:abstractNumId w:val="41"/>
  </w:num>
  <w:num w:numId="26" w16cid:durableId="329598196">
    <w:abstractNumId w:val="40"/>
  </w:num>
  <w:num w:numId="27" w16cid:durableId="1987472434">
    <w:abstractNumId w:val="36"/>
  </w:num>
  <w:num w:numId="28" w16cid:durableId="224492427">
    <w:abstractNumId w:val="39"/>
  </w:num>
  <w:num w:numId="29" w16cid:durableId="1407803791">
    <w:abstractNumId w:val="28"/>
  </w:num>
  <w:num w:numId="30" w16cid:durableId="1841969612">
    <w:abstractNumId w:val="3"/>
  </w:num>
  <w:num w:numId="31" w16cid:durableId="209659114">
    <w:abstractNumId w:val="26"/>
  </w:num>
  <w:num w:numId="32" w16cid:durableId="1446777690">
    <w:abstractNumId w:val="21"/>
  </w:num>
  <w:num w:numId="33" w16cid:durableId="85349692">
    <w:abstractNumId w:val="27"/>
  </w:num>
  <w:num w:numId="34" w16cid:durableId="867911051">
    <w:abstractNumId w:val="15"/>
  </w:num>
  <w:num w:numId="35" w16cid:durableId="481774356">
    <w:abstractNumId w:val="14"/>
  </w:num>
  <w:num w:numId="36" w16cid:durableId="252708815">
    <w:abstractNumId w:val="2"/>
  </w:num>
  <w:num w:numId="37" w16cid:durableId="1044719141">
    <w:abstractNumId w:val="30"/>
  </w:num>
  <w:num w:numId="38" w16cid:durableId="560403336">
    <w:abstractNumId w:val="5"/>
  </w:num>
  <w:num w:numId="39" w16cid:durableId="2023779563">
    <w:abstractNumId w:val="18"/>
  </w:num>
  <w:num w:numId="40" w16cid:durableId="1256398172">
    <w:abstractNumId w:val="24"/>
    <w:lvlOverride w:ilvl="0">
      <w:startOverride w:val="2"/>
    </w:lvlOverride>
  </w:num>
  <w:num w:numId="41" w16cid:durableId="2112622821">
    <w:abstractNumId w:val="8"/>
  </w:num>
  <w:num w:numId="42" w16cid:durableId="1140727683">
    <w:abstractNumId w:val="29"/>
  </w:num>
  <w:num w:numId="43" w16cid:durableId="2674671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633352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955158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817286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328214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45509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49251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978082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799056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227168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719262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0004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132070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046195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221867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42086991">
    <w:abstractNumId w:val="16"/>
  </w:num>
  <w:num w:numId="59" w16cid:durableId="590048670">
    <w:abstractNumId w:val="9"/>
  </w:num>
  <w:num w:numId="60" w16cid:durableId="321012051">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6BBD"/>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A68"/>
    <w:rsid w:val="000D0D7E"/>
    <w:rsid w:val="000D0E3E"/>
    <w:rsid w:val="000D1118"/>
    <w:rsid w:val="000D16DA"/>
    <w:rsid w:val="000D23AB"/>
    <w:rsid w:val="000D3F26"/>
    <w:rsid w:val="000D3F61"/>
    <w:rsid w:val="000D4B10"/>
    <w:rsid w:val="000D4E7D"/>
    <w:rsid w:val="000D65CE"/>
    <w:rsid w:val="000D6D77"/>
    <w:rsid w:val="000D7ADA"/>
    <w:rsid w:val="000E5222"/>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2075"/>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1EA0"/>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17FF"/>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01A"/>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26F99"/>
    <w:rsid w:val="0033091E"/>
    <w:rsid w:val="00332E46"/>
    <w:rsid w:val="003375D2"/>
    <w:rsid w:val="00340489"/>
    <w:rsid w:val="00342EDD"/>
    <w:rsid w:val="00343224"/>
    <w:rsid w:val="0034414F"/>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42E5"/>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11E2"/>
    <w:rsid w:val="004A27E6"/>
    <w:rsid w:val="004A496A"/>
    <w:rsid w:val="004A5B61"/>
    <w:rsid w:val="004A6BF9"/>
    <w:rsid w:val="004B3A7B"/>
    <w:rsid w:val="004C0E91"/>
    <w:rsid w:val="004C1287"/>
    <w:rsid w:val="004C45E6"/>
    <w:rsid w:val="004C51F9"/>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17F1F"/>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67CCF"/>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A5E07"/>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5A45"/>
    <w:rsid w:val="00656892"/>
    <w:rsid w:val="00656D93"/>
    <w:rsid w:val="00657973"/>
    <w:rsid w:val="00661F59"/>
    <w:rsid w:val="006622E0"/>
    <w:rsid w:val="00662DFF"/>
    <w:rsid w:val="00665B6E"/>
    <w:rsid w:val="0067322B"/>
    <w:rsid w:val="006735FC"/>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70"/>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825"/>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1D5"/>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3AA6"/>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3DCB"/>
    <w:rsid w:val="008A4348"/>
    <w:rsid w:val="008A501D"/>
    <w:rsid w:val="008A5BD6"/>
    <w:rsid w:val="008A7660"/>
    <w:rsid w:val="008B0068"/>
    <w:rsid w:val="008B1812"/>
    <w:rsid w:val="008B38AD"/>
    <w:rsid w:val="008B7CB6"/>
    <w:rsid w:val="008C269D"/>
    <w:rsid w:val="008C348B"/>
    <w:rsid w:val="008C3E03"/>
    <w:rsid w:val="008C6448"/>
    <w:rsid w:val="008D1AC5"/>
    <w:rsid w:val="008D3C91"/>
    <w:rsid w:val="008D4F53"/>
    <w:rsid w:val="008D50B9"/>
    <w:rsid w:val="008D5182"/>
    <w:rsid w:val="008D64B6"/>
    <w:rsid w:val="008D6913"/>
    <w:rsid w:val="008E1A7F"/>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4960"/>
    <w:rsid w:val="00965D60"/>
    <w:rsid w:val="0096689C"/>
    <w:rsid w:val="009676CF"/>
    <w:rsid w:val="00970E5E"/>
    <w:rsid w:val="00971291"/>
    <w:rsid w:val="00971FB9"/>
    <w:rsid w:val="009730A3"/>
    <w:rsid w:val="00982184"/>
    <w:rsid w:val="00982214"/>
    <w:rsid w:val="00982C2F"/>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62F0"/>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09A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321A"/>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A55"/>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95EB5"/>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1C8"/>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2529"/>
    <w:rsid w:val="00DD5577"/>
    <w:rsid w:val="00DD576B"/>
    <w:rsid w:val="00DD753C"/>
    <w:rsid w:val="00DE02D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2CDD"/>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864CD"/>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4CC0"/>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67E38"/>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102F"/>
    <w:rsid w:val="00FB4535"/>
    <w:rsid w:val="00FB52D2"/>
    <w:rsid w:val="00FB5BF2"/>
    <w:rsid w:val="00FB7052"/>
    <w:rsid w:val="00FB778D"/>
    <w:rsid w:val="00FC05F9"/>
    <w:rsid w:val="00FC0742"/>
    <w:rsid w:val="00FC11AE"/>
    <w:rsid w:val="00FC190B"/>
    <w:rsid w:val="00FC1BC5"/>
    <w:rsid w:val="00FC2BA2"/>
    <w:rsid w:val="00FC3A5A"/>
    <w:rsid w:val="00FC3DC1"/>
    <w:rsid w:val="00FC506D"/>
    <w:rsid w:val="00FC5E2B"/>
    <w:rsid w:val="00FC683E"/>
    <w:rsid w:val="00FC73D0"/>
    <w:rsid w:val="00FC75FC"/>
    <w:rsid w:val="00FD1466"/>
    <w:rsid w:val="00FD19F2"/>
    <w:rsid w:val="00FD78A9"/>
    <w:rsid w:val="00FD7C5F"/>
    <w:rsid w:val="00FE01D8"/>
    <w:rsid w:val="00FE1869"/>
    <w:rsid w:val="00FE2046"/>
    <w:rsid w:val="00FE3613"/>
    <w:rsid w:val="00FF0F2D"/>
    <w:rsid w:val="00FF35F3"/>
    <w:rsid w:val="00FF604C"/>
    <w:rsid w:val="00FF6412"/>
    <w:rsid w:val="00FF64E1"/>
    <w:rsid w:val="00FF65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CA540"/>
  <w15:chartTrackingRefBased/>
  <w15:docId w15:val="{AAAEE2B5-2BC9-7746-817A-3E6B1D1E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Heading1centred">
    <w:name w:val="Heading 1 (centred)"/>
    <w:basedOn w:val="Normal"/>
    <w:next w:val="Para1"/>
    <w:rsid w:val="005D53C6"/>
    <w:pPr>
      <w:keepNext/>
      <w:tabs>
        <w:tab w:val="left" w:pos="709"/>
      </w:tabs>
      <w:overflowPunct w:val="0"/>
      <w:autoSpaceDE w:val="0"/>
      <w:autoSpaceDN w:val="0"/>
      <w:adjustRightInd w:val="0"/>
      <w:spacing w:before="240" w:after="120"/>
      <w:jc w:val="center"/>
      <w:textAlignment w:val="baseline"/>
    </w:pPr>
    <w:rPr>
      <w:b/>
      <w:caps/>
      <w:szCs w:val="20"/>
    </w:rPr>
  </w:style>
  <w:style w:type="paragraph" w:customStyle="1" w:styleId="Decision">
    <w:name w:val="Decision"/>
    <w:basedOn w:val="Heading2"/>
    <w:rsid w:val="004C51F9"/>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4</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XI/4. Review of Implementation of the Strategy for Resource Mobilization, including the establishment of targets</vt:lpstr>
    </vt:vector>
  </TitlesOfParts>
  <Company>SCBD</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XI/4. Review of Implementation of the Strategy for Resource Mobilization, including the establishment of targets</dc:title>
  <dc:subject>DECISION ADOPTED BY THE CONFERENCE OF THE PARTIES TO THE CONVENTION ON BIOLOGICAL DIVERSITY AT ITS ELEVENTH MEETING</dc:subject>
  <dc:creator>SCBD</dc:creator>
  <cp:keywords/>
  <cp:lastModifiedBy>Rodrigo Elias</cp:lastModifiedBy>
  <cp:revision>2</cp:revision>
  <cp:lastPrinted>2012-10-25T16:02:00Z</cp:lastPrinted>
  <dcterms:created xsi:type="dcterms:W3CDTF">2025-11-13T14:50:00Z</dcterms:created>
  <dcterms:modified xsi:type="dcterms:W3CDTF">2025-11-13T14:50:00Z</dcterms:modified>
  <cp:category>Decision</cp:category>
</cp:coreProperties>
</file>