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B332BC" w14:paraId="2F534315"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597F19D5" w14:textId="77777777" w:rsidR="00F838E3" w:rsidRPr="00B332BC" w:rsidRDefault="0000263E" w:rsidP="00F838E3">
            <w:pPr>
              <w:pStyle w:val="Para1"/>
              <w:numPr>
                <w:ilvl w:val="0"/>
                <w:numId w:val="0"/>
              </w:numPr>
              <w:spacing w:before="0" w:after="0"/>
              <w:rPr>
                <w:noProof/>
                <w:snapToGrid/>
                <w:szCs w:val="24"/>
              </w:rPr>
            </w:pPr>
            <w:r w:rsidRPr="00B332BC">
              <w:rPr>
                <w:noProof/>
              </w:rPr>
              <w:drawing>
                <wp:anchor distT="0" distB="0" distL="114300" distR="114300" simplePos="0" relativeHeight="251658240" behindDoc="0" locked="1" layoutInCell="1" allowOverlap="0" wp14:anchorId="69B1B276" wp14:editId="337DA4E7">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C0EED9F" w14:textId="77777777" w:rsidR="00F838E3" w:rsidRPr="00B332BC" w:rsidRDefault="0000263E" w:rsidP="00F838E3">
            <w:r w:rsidRPr="00B332BC">
              <w:rPr>
                <w:noProof/>
              </w:rPr>
              <w:drawing>
                <wp:anchor distT="0" distB="0" distL="114300" distR="114300" simplePos="0" relativeHeight="251657216" behindDoc="0" locked="1" layoutInCell="1" allowOverlap="0" wp14:anchorId="7A7A831C" wp14:editId="09AFAC9C">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3BEE685" w14:textId="77777777" w:rsidR="00F838E3" w:rsidRPr="00B332BC" w:rsidRDefault="00F838E3" w:rsidP="00F838E3">
            <w:pPr>
              <w:jc w:val="right"/>
              <w:rPr>
                <w:rFonts w:ascii="Univers" w:hAnsi="Univers"/>
                <w:b/>
                <w:sz w:val="32"/>
              </w:rPr>
            </w:pPr>
            <w:r w:rsidRPr="00B332BC">
              <w:rPr>
                <w:rFonts w:ascii="Univers" w:hAnsi="Univers"/>
                <w:b/>
                <w:sz w:val="32"/>
              </w:rPr>
              <w:t>CBD</w:t>
            </w:r>
          </w:p>
          <w:p w14:paraId="2D9E5C9A" w14:textId="77777777" w:rsidR="00F838E3" w:rsidRPr="00B332BC" w:rsidRDefault="00F838E3" w:rsidP="00F838E3">
            <w:pPr>
              <w:rPr>
                <w:rFonts w:ascii="Univers" w:hAnsi="Univers"/>
                <w:b/>
                <w:sz w:val="32"/>
              </w:rPr>
            </w:pPr>
          </w:p>
        </w:tc>
      </w:tr>
      <w:tr w:rsidR="00F838E3" w:rsidRPr="00B332BC" w14:paraId="11C2C2AE"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28414CE1" w14:textId="77777777" w:rsidR="00F838E3" w:rsidRPr="00B332BC" w:rsidRDefault="0000263E" w:rsidP="00F838E3">
            <w:pPr>
              <w:ind w:right="1422"/>
            </w:pPr>
            <w:r w:rsidRPr="00B332BC">
              <w:rPr>
                <w:noProof/>
              </w:rPr>
              <w:drawing>
                <wp:inline distT="0" distB="0" distL="0" distR="0" wp14:anchorId="567D8754" wp14:editId="28BD90B6">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6C2F1BD1" w14:textId="77777777" w:rsidR="00F838E3" w:rsidRPr="00B332BC" w:rsidRDefault="00F838E3" w:rsidP="00F838E3">
            <w:pPr>
              <w:rPr>
                <w:szCs w:val="22"/>
              </w:rPr>
            </w:pPr>
            <w:r w:rsidRPr="00B332BC">
              <w:rPr>
                <w:szCs w:val="22"/>
              </w:rPr>
              <w:t>Distr.</w:t>
            </w:r>
          </w:p>
          <w:p w14:paraId="664B1716" w14:textId="77777777" w:rsidR="00F838E3" w:rsidRPr="00B332BC" w:rsidRDefault="00F838E3" w:rsidP="00F838E3">
            <w:pPr>
              <w:rPr>
                <w:szCs w:val="22"/>
              </w:rPr>
            </w:pPr>
            <w:r w:rsidRPr="00B332BC">
              <w:rPr>
                <w:szCs w:val="22"/>
              </w:rPr>
              <w:t>GENERAL</w:t>
            </w:r>
          </w:p>
          <w:p w14:paraId="69C19210" w14:textId="77777777" w:rsidR="00F838E3" w:rsidRPr="00B332BC" w:rsidRDefault="00F838E3" w:rsidP="00F838E3">
            <w:pPr>
              <w:rPr>
                <w:szCs w:val="22"/>
              </w:rPr>
            </w:pPr>
          </w:p>
          <w:p w14:paraId="420D5F4E" w14:textId="77777777" w:rsidR="00F838E3" w:rsidRPr="00B332BC" w:rsidRDefault="00F838E3" w:rsidP="00F838E3">
            <w:pPr>
              <w:rPr>
                <w:szCs w:val="22"/>
              </w:rPr>
            </w:pPr>
            <w:r w:rsidRPr="00B332BC">
              <w:rPr>
                <w:szCs w:val="22"/>
              </w:rPr>
              <w:t>UNEP/CBD/</w:t>
            </w:r>
            <w:r w:rsidR="00EE080C" w:rsidRPr="00B332BC">
              <w:rPr>
                <w:szCs w:val="22"/>
              </w:rPr>
              <w:t>COP/DEC/XI/</w:t>
            </w:r>
            <w:r w:rsidR="00F628A3" w:rsidRPr="00B332BC">
              <w:rPr>
                <w:szCs w:val="22"/>
              </w:rPr>
              <w:t>2</w:t>
            </w:r>
            <w:r w:rsidR="007F2D04" w:rsidRPr="00B332BC">
              <w:rPr>
                <w:szCs w:val="22"/>
              </w:rPr>
              <w:t>7</w:t>
            </w:r>
          </w:p>
          <w:p w14:paraId="160E17F8" w14:textId="77777777" w:rsidR="00F838E3" w:rsidRPr="00B332BC" w:rsidRDefault="00F02749" w:rsidP="00F838E3">
            <w:pPr>
              <w:rPr>
                <w:szCs w:val="22"/>
              </w:rPr>
            </w:pPr>
            <w:r w:rsidRPr="00B332BC">
              <w:rPr>
                <w:szCs w:val="22"/>
              </w:rPr>
              <w:t>5 December</w:t>
            </w:r>
            <w:r w:rsidR="00F838E3" w:rsidRPr="00B332BC">
              <w:rPr>
                <w:szCs w:val="22"/>
              </w:rPr>
              <w:t xml:space="preserve"> 2012</w:t>
            </w:r>
          </w:p>
          <w:p w14:paraId="35BA3666" w14:textId="77777777" w:rsidR="00F838E3" w:rsidRPr="00B332BC" w:rsidRDefault="00F838E3" w:rsidP="00F838E3">
            <w:pPr>
              <w:rPr>
                <w:szCs w:val="22"/>
              </w:rPr>
            </w:pPr>
          </w:p>
          <w:p w14:paraId="43C5AE76" w14:textId="77777777" w:rsidR="00F838E3" w:rsidRPr="00B332BC" w:rsidRDefault="00F838E3" w:rsidP="00F838E3">
            <w:pPr>
              <w:rPr>
                <w:szCs w:val="22"/>
              </w:rPr>
            </w:pPr>
            <w:r w:rsidRPr="00B332BC">
              <w:rPr>
                <w:szCs w:val="22"/>
              </w:rPr>
              <w:t>ORIGINAL:  ENGLISH</w:t>
            </w:r>
          </w:p>
        </w:tc>
      </w:tr>
    </w:tbl>
    <w:p w14:paraId="77B35092" w14:textId="77777777" w:rsidR="00EE080C" w:rsidRPr="00B332BC" w:rsidRDefault="00EE080C" w:rsidP="00EE080C">
      <w:pPr>
        <w:pStyle w:val="Cornernotation"/>
        <w:spacing w:before="60"/>
        <w:ind w:right="4400"/>
        <w:rPr>
          <w:szCs w:val="22"/>
        </w:rPr>
      </w:pPr>
      <w:r w:rsidRPr="00B332BC">
        <w:rPr>
          <w:szCs w:val="22"/>
        </w:rPr>
        <w:t>CONFERENCE OF THE PARTIES TO THE CONVENTION ON BIOLOGICAL DIVERSITY</w:t>
      </w:r>
    </w:p>
    <w:p w14:paraId="3526D631" w14:textId="77777777" w:rsidR="00EE080C" w:rsidRPr="00B332BC" w:rsidRDefault="00EE080C" w:rsidP="00EE080C">
      <w:pPr>
        <w:pStyle w:val="Cornernotation"/>
        <w:rPr>
          <w:szCs w:val="22"/>
        </w:rPr>
      </w:pPr>
      <w:r w:rsidRPr="00B332BC">
        <w:rPr>
          <w:szCs w:val="22"/>
        </w:rPr>
        <w:t>Eleventh meeting</w:t>
      </w:r>
    </w:p>
    <w:p w14:paraId="2DF3F7E2" w14:textId="77777777" w:rsidR="00EE080C" w:rsidRPr="00B332BC" w:rsidRDefault="00EE080C" w:rsidP="00EE080C">
      <w:pPr>
        <w:pStyle w:val="Cornernotation"/>
        <w:ind w:left="220" w:right="4080" w:hanging="220"/>
        <w:sectPr w:rsidR="00EE080C" w:rsidRPr="00B332BC"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B332BC">
        <w:t>Hyderabad, India, 8</w:t>
      </w:r>
      <w:r w:rsidR="00B87AC4" w:rsidRPr="00B332BC">
        <w:t>-</w:t>
      </w:r>
      <w:r w:rsidRPr="00B332BC">
        <w:t>19 October 2012</w:t>
      </w:r>
    </w:p>
    <w:p w14:paraId="03796A07" w14:textId="77777777" w:rsidR="00EE080C" w:rsidRPr="00B332BC" w:rsidRDefault="00EE080C" w:rsidP="00EE080C">
      <w:pPr>
        <w:pStyle w:val="Cornernotation"/>
        <w:ind w:left="220" w:right="4080" w:hanging="220"/>
      </w:pPr>
      <w:r w:rsidRPr="00B332BC">
        <w:t xml:space="preserve">Agenda item </w:t>
      </w:r>
      <w:r w:rsidR="00F628A3" w:rsidRPr="00B332BC">
        <w:t>13.8</w:t>
      </w:r>
      <w:r w:rsidRPr="00B332BC">
        <w:t xml:space="preserve"> </w:t>
      </w:r>
    </w:p>
    <w:p w14:paraId="63E5489C" w14:textId="77777777" w:rsidR="005A2590" w:rsidRPr="00B332BC" w:rsidRDefault="00EE080C" w:rsidP="00EE080C">
      <w:pPr>
        <w:pStyle w:val="HEADINGNOTFORTOC"/>
      </w:pPr>
      <w:r w:rsidRPr="00B332BC">
        <w:rPr>
          <w:caps w:val="0"/>
        </w:rPr>
        <w:t>DECISION ADOPTED BY THE CONFERENCE OF THE PARTIES TO THE CONVENTION ON BIOLOGICAL DIVERSITY AT ITS ELEVENTH MEETING</w:t>
      </w:r>
    </w:p>
    <w:p w14:paraId="6E1F801B" w14:textId="77777777" w:rsidR="00105C36" w:rsidRPr="00B332BC" w:rsidRDefault="00105C36" w:rsidP="00105C36">
      <w:pPr>
        <w:pStyle w:val="Decheadmuliline"/>
        <w:ind w:left="1701" w:hanging="1134"/>
        <w:rPr>
          <w:rFonts w:ascii="Times New Roman" w:hAnsi="Times New Roman"/>
        </w:rPr>
      </w:pPr>
      <w:bookmarkStart w:id="0" w:name="_Toc338756674"/>
      <w:r w:rsidRPr="00B332BC">
        <w:rPr>
          <w:rFonts w:ascii="Times New Roman" w:hAnsi="Times New Roman"/>
        </w:rPr>
        <w:t>XI/27.</w:t>
      </w:r>
      <w:r w:rsidRPr="00B332BC">
        <w:rPr>
          <w:rFonts w:ascii="Times New Roman" w:hAnsi="Times New Roman"/>
        </w:rPr>
        <w:tab/>
        <w:t>Biofuels and biodiversity</w:t>
      </w:r>
      <w:bookmarkEnd w:id="0"/>
    </w:p>
    <w:p w14:paraId="49827A2D" w14:textId="77777777" w:rsidR="00105C36" w:rsidRPr="00B332BC" w:rsidRDefault="00105C36" w:rsidP="00105C36">
      <w:pPr>
        <w:pStyle w:val="Default"/>
        <w:spacing w:before="120" w:after="120"/>
        <w:ind w:firstLine="720"/>
        <w:jc w:val="both"/>
        <w:rPr>
          <w:i/>
          <w:sz w:val="22"/>
          <w:szCs w:val="22"/>
        </w:rPr>
      </w:pPr>
      <w:r w:rsidRPr="00B332BC">
        <w:rPr>
          <w:i/>
          <w:sz w:val="22"/>
          <w:szCs w:val="22"/>
        </w:rPr>
        <w:t>The Conference of the Parties</w:t>
      </w:r>
    </w:p>
    <w:p w14:paraId="2D95FF9E" w14:textId="77777777" w:rsidR="00105C36" w:rsidRPr="00B332BC" w:rsidRDefault="00105C36" w:rsidP="00105C36">
      <w:pPr>
        <w:pStyle w:val="Para1"/>
        <w:numPr>
          <w:ilvl w:val="0"/>
          <w:numId w:val="0"/>
        </w:numPr>
        <w:ind w:firstLine="709"/>
        <w:rPr>
          <w:szCs w:val="22"/>
          <w:lang w:val="en-US"/>
        </w:rPr>
      </w:pPr>
      <w:r w:rsidRPr="00B332BC">
        <w:rPr>
          <w:i/>
          <w:szCs w:val="22"/>
          <w:lang w:val="en-US"/>
        </w:rPr>
        <w:t xml:space="preserve">Recalling </w:t>
      </w:r>
      <w:r w:rsidRPr="00B332BC">
        <w:rPr>
          <w:szCs w:val="22"/>
          <w:lang w:val="en-US"/>
        </w:rPr>
        <w:t xml:space="preserve">decisions IX/2 and X/37, in which the Conference of the Parties decided, </w:t>
      </w:r>
      <w:r w:rsidRPr="00B332BC">
        <w:rPr>
          <w:i/>
          <w:szCs w:val="22"/>
          <w:lang w:val="en-US"/>
        </w:rPr>
        <w:t>inter alia</w:t>
      </w:r>
      <w:r w:rsidRPr="00B332BC">
        <w:rPr>
          <w:szCs w:val="22"/>
          <w:lang w:val="en-US"/>
        </w:rPr>
        <w:t>, to consider ways and means to promote the positive and minimize or avoid the negative impacts of the production and use of biofuels on biodiversity,</w:t>
      </w:r>
    </w:p>
    <w:p w14:paraId="6E7C201F" w14:textId="77777777" w:rsidR="00105C36" w:rsidRPr="00B332BC" w:rsidRDefault="00105C36" w:rsidP="00105C36">
      <w:pPr>
        <w:pStyle w:val="Para1"/>
        <w:numPr>
          <w:ilvl w:val="0"/>
          <w:numId w:val="0"/>
        </w:numPr>
        <w:ind w:firstLine="709"/>
        <w:rPr>
          <w:szCs w:val="22"/>
          <w:lang w:val="en-US"/>
        </w:rPr>
      </w:pPr>
      <w:r w:rsidRPr="00B332BC">
        <w:rPr>
          <w:i/>
          <w:szCs w:val="22"/>
          <w:lang w:val="en-US"/>
        </w:rPr>
        <w:t>Acknowledging</w:t>
      </w:r>
      <w:r w:rsidRPr="00B332BC">
        <w:rPr>
          <w:szCs w:val="22"/>
          <w:lang w:val="en-US"/>
        </w:rPr>
        <w:t xml:space="preserve"> concerns that the deployment of biofuel technologies may result in increased demand for biomass and aggravate drivers of biodiversity loss, such as land-use change, introduction of invasive alien species, bearing in mind paragraph 6 of decision X/38 of the Conference of the Parties, and resource over</w:t>
      </w:r>
      <w:r w:rsidRPr="00B332BC">
        <w:rPr>
          <w:szCs w:val="22"/>
          <w:lang w:val="en-US"/>
        </w:rPr>
        <w:noBreakHyphen/>
        <w:t>consumption,</w:t>
      </w:r>
    </w:p>
    <w:p w14:paraId="2AE9294B" w14:textId="77777777" w:rsidR="00105C36" w:rsidRPr="00B332BC" w:rsidRDefault="00105C36" w:rsidP="00105C36">
      <w:pPr>
        <w:pStyle w:val="Para1"/>
        <w:numPr>
          <w:ilvl w:val="0"/>
          <w:numId w:val="0"/>
        </w:numPr>
        <w:ind w:firstLine="709"/>
        <w:rPr>
          <w:szCs w:val="22"/>
          <w:lang w:val="en-US"/>
        </w:rPr>
      </w:pPr>
      <w:r w:rsidRPr="00B332BC">
        <w:rPr>
          <w:i/>
          <w:szCs w:val="22"/>
          <w:lang w:val="en-US"/>
        </w:rPr>
        <w:t>Acknowledging</w:t>
      </w:r>
      <w:r w:rsidRPr="00B332BC">
        <w:rPr>
          <w:szCs w:val="22"/>
          <w:lang w:val="en-US"/>
        </w:rPr>
        <w:t xml:space="preserve"> </w:t>
      </w:r>
      <w:r w:rsidRPr="00B332BC">
        <w:rPr>
          <w:i/>
          <w:szCs w:val="22"/>
          <w:lang w:val="en-US"/>
        </w:rPr>
        <w:t xml:space="preserve">also </w:t>
      </w:r>
      <w:r w:rsidRPr="00B332BC">
        <w:rPr>
          <w:szCs w:val="22"/>
          <w:lang w:val="en-US"/>
        </w:rPr>
        <w:t>the potential for biofuel technologies to make a positive contribution to mitigating climate change, another of the main drivers of biodiversity loss, and generating additional income, especially in rural areas,</w:t>
      </w:r>
    </w:p>
    <w:p w14:paraId="4DE1E89A" w14:textId="77777777" w:rsidR="00105C36" w:rsidRPr="00B332BC" w:rsidRDefault="00105C36" w:rsidP="00105C36">
      <w:pPr>
        <w:spacing w:after="120"/>
        <w:ind w:firstLine="720"/>
        <w:rPr>
          <w:szCs w:val="22"/>
        </w:rPr>
      </w:pPr>
      <w:r w:rsidRPr="00B332BC">
        <w:rPr>
          <w:i/>
          <w:szCs w:val="22"/>
        </w:rPr>
        <w:t>Recalling</w:t>
      </w:r>
      <w:r w:rsidRPr="00B332BC">
        <w:rPr>
          <w:szCs w:val="22"/>
        </w:rPr>
        <w:t xml:space="preserve"> the Rio Declaration on Environment and Development, Agenda 21, the Johannesburg Declaration on Sustainable Development and the Plan of Implementation of the World Summit on Sustainable Development (the Johannesburg Plan of Implementation),</w:t>
      </w:r>
    </w:p>
    <w:p w14:paraId="6EA54B49" w14:textId="77777777" w:rsidR="00105C36" w:rsidRPr="00B332BC" w:rsidRDefault="00105C36" w:rsidP="00105C36">
      <w:pPr>
        <w:spacing w:after="120"/>
        <w:rPr>
          <w:szCs w:val="22"/>
        </w:rPr>
      </w:pPr>
      <w:bookmarkStart w:id="1" w:name="_Ref318730294"/>
      <w:r w:rsidRPr="00B332BC">
        <w:rPr>
          <w:szCs w:val="22"/>
        </w:rPr>
        <w:tab/>
      </w:r>
      <w:r w:rsidRPr="00B332BC">
        <w:rPr>
          <w:i/>
          <w:iCs/>
          <w:szCs w:val="22"/>
        </w:rPr>
        <w:t xml:space="preserve">Recognizing </w:t>
      </w:r>
      <w:r w:rsidRPr="00B332BC">
        <w:rPr>
          <w:iCs/>
          <w:szCs w:val="22"/>
        </w:rPr>
        <w:t>that</w:t>
      </w:r>
      <w:r w:rsidRPr="00B332BC">
        <w:rPr>
          <w:i/>
          <w:iCs/>
          <w:szCs w:val="22"/>
        </w:rPr>
        <w:t xml:space="preserve"> </w:t>
      </w:r>
      <w:r w:rsidRPr="00B332BC">
        <w:rPr>
          <w:szCs w:val="22"/>
        </w:rPr>
        <w:t xml:space="preserve">consideration of the issues covered by decision X/37, </w:t>
      </w:r>
      <w:r w:rsidRPr="00B332BC">
        <w:rPr>
          <w:szCs w:val="22"/>
          <w:lang w:val="en-US"/>
        </w:rPr>
        <w:t xml:space="preserve">paragraph </w:t>
      </w:r>
      <w:r w:rsidRPr="00B332BC">
        <w:rPr>
          <w:szCs w:val="22"/>
        </w:rPr>
        <w:t>2, is important to achieving the Aichi Biodiversity Targets,</w:t>
      </w:r>
    </w:p>
    <w:p w14:paraId="56462C93" w14:textId="77777777" w:rsidR="00105C36" w:rsidRPr="00B332BC" w:rsidRDefault="00105C36" w:rsidP="00105C36">
      <w:pPr>
        <w:spacing w:before="120" w:after="120"/>
        <w:ind w:firstLine="720"/>
        <w:rPr>
          <w:szCs w:val="22"/>
        </w:rPr>
      </w:pPr>
      <w:r w:rsidRPr="00B332BC">
        <w:rPr>
          <w:szCs w:val="22"/>
        </w:rPr>
        <w:t>1.</w:t>
      </w:r>
      <w:r w:rsidRPr="00B332BC">
        <w:rPr>
          <w:i/>
          <w:szCs w:val="22"/>
        </w:rPr>
        <w:tab/>
        <w:t>Welcomes</w:t>
      </w:r>
      <w:r w:rsidRPr="00B332BC">
        <w:rPr>
          <w:szCs w:val="22"/>
        </w:rPr>
        <w:t xml:space="preserve"> the efforts of many Parties, relevant organizations and initiatives to develop and apply tools and approaches to promote the positive and minimize or avoid the negative impacts of biofuels on biodiversity and impacts on biodiversity that affect positively or negatively related socio-economic conditions, including food and energy security, as well as the consideration of land tenure and resource rights, including water, and </w:t>
      </w:r>
      <w:r w:rsidRPr="00B332BC">
        <w:rPr>
          <w:i/>
          <w:szCs w:val="22"/>
        </w:rPr>
        <w:t xml:space="preserve">encourages </w:t>
      </w:r>
      <w:r w:rsidRPr="00B332BC">
        <w:rPr>
          <w:szCs w:val="22"/>
        </w:rPr>
        <w:t>continuing efforts in these areas;</w:t>
      </w:r>
      <w:bookmarkEnd w:id="1"/>
    </w:p>
    <w:p w14:paraId="5D28E362" w14:textId="77777777" w:rsidR="00105C36" w:rsidRPr="00B332BC" w:rsidRDefault="00105C36" w:rsidP="00105C36">
      <w:pPr>
        <w:pStyle w:val="Para1"/>
        <w:keepNext/>
        <w:numPr>
          <w:ilvl w:val="0"/>
          <w:numId w:val="0"/>
        </w:numPr>
        <w:ind w:left="720"/>
        <w:rPr>
          <w:szCs w:val="22"/>
        </w:rPr>
      </w:pPr>
      <w:r w:rsidRPr="00B332BC">
        <w:rPr>
          <w:szCs w:val="22"/>
        </w:rPr>
        <w:lastRenderedPageBreak/>
        <w:t>2.</w:t>
      </w:r>
      <w:r w:rsidRPr="00B332BC">
        <w:rPr>
          <w:szCs w:val="22"/>
        </w:rPr>
        <w:tab/>
      </w:r>
      <w:r w:rsidRPr="00B332BC">
        <w:rPr>
          <w:i/>
          <w:szCs w:val="22"/>
        </w:rPr>
        <w:t>Invites</w:t>
      </w:r>
      <w:r w:rsidRPr="00B332BC">
        <w:rPr>
          <w:szCs w:val="22"/>
        </w:rPr>
        <w:t xml:space="preserve"> Parties to: </w:t>
      </w:r>
    </w:p>
    <w:p w14:paraId="04A81A98" w14:textId="77777777" w:rsidR="00105C36" w:rsidRPr="00B332BC" w:rsidRDefault="00105C36" w:rsidP="00105C36">
      <w:pPr>
        <w:spacing w:after="120"/>
        <w:rPr>
          <w:szCs w:val="22"/>
        </w:rPr>
      </w:pPr>
      <w:r w:rsidRPr="00B332BC">
        <w:rPr>
          <w:szCs w:val="22"/>
        </w:rPr>
        <w:tab/>
        <w:t xml:space="preserve">(a) </w:t>
      </w:r>
      <w:r w:rsidRPr="00B332BC">
        <w:rPr>
          <w:szCs w:val="22"/>
        </w:rPr>
        <w:tab/>
        <w:t xml:space="preserve">Consider relevant biofuel matters, when and if appropriate, when updating and implementing their national and subnational biodiversity strategies and action plans and other relevant policies; </w:t>
      </w:r>
    </w:p>
    <w:p w14:paraId="4010F397" w14:textId="77777777" w:rsidR="00105C36" w:rsidRPr="00B332BC" w:rsidRDefault="00105C36" w:rsidP="00105C36">
      <w:pPr>
        <w:spacing w:after="120"/>
        <w:rPr>
          <w:szCs w:val="22"/>
        </w:rPr>
      </w:pPr>
      <w:r w:rsidRPr="00B332BC">
        <w:rPr>
          <w:szCs w:val="22"/>
        </w:rPr>
        <w:tab/>
        <w:t>(b)</w:t>
      </w:r>
      <w:r w:rsidRPr="00B332BC">
        <w:rPr>
          <w:szCs w:val="22"/>
        </w:rPr>
        <w:tab/>
        <w:t>Consider the use of various relevant voluntary tools regarding the impact of the production and use of biofuels on biodiversity, such as in strategic environment and socio-economic assessment and integrated land-use planning in accordance with national circumstances; and</w:t>
      </w:r>
    </w:p>
    <w:p w14:paraId="655DAE70" w14:textId="77777777" w:rsidR="00105C36" w:rsidRPr="00B332BC" w:rsidRDefault="00105C36" w:rsidP="00105C36">
      <w:pPr>
        <w:spacing w:after="120"/>
        <w:rPr>
          <w:szCs w:val="22"/>
        </w:rPr>
      </w:pPr>
      <w:r w:rsidRPr="00B332BC">
        <w:rPr>
          <w:szCs w:val="22"/>
        </w:rPr>
        <w:tab/>
        <w:t>(c)</w:t>
      </w:r>
      <w:r w:rsidRPr="00B332BC">
        <w:rPr>
          <w:szCs w:val="22"/>
        </w:rPr>
        <w:tab/>
        <w:t xml:space="preserve">Recall the invitation to Parties, acknowledging different national conditions, other Governments and relevant organizations contained in decision X/37, paragraph 7; </w:t>
      </w:r>
    </w:p>
    <w:p w14:paraId="55F9DC92" w14:textId="77777777" w:rsidR="00105C36" w:rsidRPr="00B332BC" w:rsidRDefault="00105C36" w:rsidP="00105C36">
      <w:pPr>
        <w:spacing w:after="120"/>
        <w:rPr>
          <w:szCs w:val="22"/>
        </w:rPr>
      </w:pPr>
      <w:r w:rsidRPr="00B332BC">
        <w:rPr>
          <w:szCs w:val="22"/>
        </w:rPr>
        <w:tab/>
        <w:t>3.</w:t>
      </w:r>
      <w:r w:rsidRPr="00B332BC">
        <w:rPr>
          <w:szCs w:val="22"/>
        </w:rPr>
        <w:tab/>
      </w:r>
      <w:r w:rsidRPr="00B332BC">
        <w:rPr>
          <w:i/>
          <w:szCs w:val="22"/>
        </w:rPr>
        <w:t xml:space="preserve">Welcomes </w:t>
      </w:r>
      <w:r w:rsidRPr="00B332BC">
        <w:rPr>
          <w:szCs w:val="22"/>
        </w:rPr>
        <w:t xml:space="preserve">the current work being undertaken regarding decision X/37, paragraph 7 and </w:t>
      </w:r>
      <w:r w:rsidRPr="00B332BC">
        <w:rPr>
          <w:i/>
          <w:szCs w:val="22"/>
        </w:rPr>
        <w:t>encourages</w:t>
      </w:r>
      <w:r w:rsidRPr="00B332BC">
        <w:rPr>
          <w:szCs w:val="22"/>
        </w:rPr>
        <w:t xml:space="preserve"> Parties, other Governments and relevant organizations to continue this work; </w:t>
      </w:r>
    </w:p>
    <w:p w14:paraId="6D8FBDBB" w14:textId="77777777" w:rsidR="00105C36" w:rsidRPr="00B332BC" w:rsidRDefault="00105C36" w:rsidP="00105C36">
      <w:pPr>
        <w:spacing w:after="120"/>
        <w:rPr>
          <w:szCs w:val="22"/>
        </w:rPr>
      </w:pPr>
      <w:r w:rsidRPr="00B332BC">
        <w:rPr>
          <w:szCs w:val="22"/>
        </w:rPr>
        <w:t xml:space="preserve"> </w:t>
      </w:r>
      <w:r w:rsidRPr="00B332BC">
        <w:rPr>
          <w:szCs w:val="22"/>
        </w:rPr>
        <w:tab/>
        <w:t>4.</w:t>
      </w:r>
      <w:r w:rsidRPr="00B332BC">
        <w:rPr>
          <w:szCs w:val="22"/>
        </w:rPr>
        <w:tab/>
      </w:r>
      <w:r w:rsidRPr="00B332BC">
        <w:rPr>
          <w:i/>
          <w:szCs w:val="22"/>
        </w:rPr>
        <w:t xml:space="preserve">Invites </w:t>
      </w:r>
      <w:r w:rsidRPr="00B332BC">
        <w:rPr>
          <w:szCs w:val="22"/>
        </w:rPr>
        <w:t xml:space="preserve">Parties and other Governments to make information on progress in responding to paragraphs 2 (a), (b) and (c) widely available, and </w:t>
      </w:r>
      <w:r w:rsidRPr="00B332BC">
        <w:rPr>
          <w:i/>
          <w:szCs w:val="22"/>
        </w:rPr>
        <w:t>invites</w:t>
      </w:r>
      <w:r w:rsidRPr="00B332BC">
        <w:rPr>
          <w:szCs w:val="22"/>
        </w:rPr>
        <w:t xml:space="preserve"> Parties to also report on this in their fifth national reports, where feasible; </w:t>
      </w:r>
    </w:p>
    <w:p w14:paraId="3E6E8FF7" w14:textId="77777777" w:rsidR="00105C36" w:rsidRPr="00B332BC" w:rsidRDefault="00105C36" w:rsidP="00105C36">
      <w:pPr>
        <w:spacing w:after="120"/>
        <w:rPr>
          <w:szCs w:val="22"/>
          <w:lang w:eastAsia="en-CA"/>
        </w:rPr>
      </w:pPr>
      <w:r w:rsidRPr="00B332BC">
        <w:rPr>
          <w:szCs w:val="22"/>
        </w:rPr>
        <w:tab/>
        <w:t>5.</w:t>
      </w:r>
      <w:r w:rsidRPr="00B332BC">
        <w:rPr>
          <w:szCs w:val="22"/>
        </w:rPr>
        <w:tab/>
      </w:r>
      <w:r w:rsidRPr="00B332BC">
        <w:rPr>
          <w:i/>
          <w:szCs w:val="22"/>
          <w:lang w:eastAsia="en-CA"/>
        </w:rPr>
        <w:t>Recognizing</w:t>
      </w:r>
      <w:r w:rsidRPr="00B332BC">
        <w:rPr>
          <w:szCs w:val="22"/>
          <w:lang w:eastAsia="en-CA"/>
        </w:rPr>
        <w:t xml:space="preserve"> that some incentive measures can be significant drivers of biofuels expansion, in certain circumstances, </w:t>
      </w:r>
      <w:r w:rsidRPr="00B332BC">
        <w:rPr>
          <w:i/>
          <w:szCs w:val="22"/>
          <w:lang w:eastAsia="en-CA"/>
        </w:rPr>
        <w:t>invites</w:t>
      </w:r>
      <w:r w:rsidRPr="00B332BC">
        <w:rPr>
          <w:szCs w:val="22"/>
          <w:lang w:eastAsia="en-CA"/>
        </w:rPr>
        <w:t xml:space="preserve"> Parties and other Governments to evaluate these measures using the Aichi Biodiversity Targets, in the context of the Convention’s cross-cutting issue on incentive measures, taking into account national socio-economic conditions;</w:t>
      </w:r>
    </w:p>
    <w:p w14:paraId="3295D943" w14:textId="77777777" w:rsidR="00105C36" w:rsidRPr="00B332BC" w:rsidRDefault="00105C36" w:rsidP="00105C36">
      <w:pPr>
        <w:spacing w:after="120"/>
        <w:rPr>
          <w:szCs w:val="22"/>
        </w:rPr>
      </w:pPr>
      <w:r w:rsidRPr="00B332BC">
        <w:rPr>
          <w:szCs w:val="22"/>
        </w:rPr>
        <w:tab/>
        <w:t xml:space="preserve">6. </w:t>
      </w:r>
      <w:r w:rsidRPr="00B332BC">
        <w:rPr>
          <w:szCs w:val="22"/>
        </w:rPr>
        <w:tab/>
      </w:r>
      <w:r w:rsidRPr="00B332BC">
        <w:rPr>
          <w:i/>
          <w:szCs w:val="22"/>
        </w:rPr>
        <w:t>Recognizing</w:t>
      </w:r>
      <w:r w:rsidRPr="00B332BC">
        <w:rPr>
          <w:szCs w:val="22"/>
        </w:rPr>
        <w:t xml:space="preserve"> </w:t>
      </w:r>
      <w:r w:rsidRPr="00B332BC">
        <w:rPr>
          <w:i/>
          <w:szCs w:val="22"/>
        </w:rPr>
        <w:t>also</w:t>
      </w:r>
      <w:r w:rsidRPr="00B332BC">
        <w:rPr>
          <w:szCs w:val="22"/>
        </w:rPr>
        <w:t xml:space="preserve"> the rapidly developing technology associated with biofuels, </w:t>
      </w:r>
      <w:r w:rsidRPr="00B332BC">
        <w:rPr>
          <w:i/>
          <w:szCs w:val="22"/>
        </w:rPr>
        <w:t xml:space="preserve">urges </w:t>
      </w:r>
      <w:r w:rsidRPr="00B332BC">
        <w:rPr>
          <w:szCs w:val="22"/>
        </w:rPr>
        <w:t xml:space="preserve">Parties and other Governments to monitor these developments, and </w:t>
      </w:r>
      <w:r w:rsidRPr="00B332BC">
        <w:rPr>
          <w:i/>
          <w:szCs w:val="22"/>
        </w:rPr>
        <w:t>recalls</w:t>
      </w:r>
      <w:r w:rsidRPr="00B332BC">
        <w:rPr>
          <w:szCs w:val="22"/>
        </w:rPr>
        <w:t xml:space="preserve"> decision IX/2, paragraph 3 (c) (i), which urged</w:t>
      </w:r>
      <w:r w:rsidRPr="00B332BC">
        <w:rPr>
          <w:i/>
          <w:szCs w:val="22"/>
        </w:rPr>
        <w:t xml:space="preserve"> </w:t>
      </w:r>
      <w:r w:rsidRPr="00B332BC">
        <w:rPr>
          <w:szCs w:val="22"/>
        </w:rPr>
        <w:t xml:space="preserve">Parties and invited other Governments, </w:t>
      </w:r>
      <w:r w:rsidRPr="00B332BC">
        <w:rPr>
          <w:i/>
          <w:szCs w:val="22"/>
        </w:rPr>
        <w:t>int</w:t>
      </w:r>
      <w:r w:rsidRPr="00B332BC">
        <w:rPr>
          <w:i/>
          <w:iCs/>
          <w:szCs w:val="22"/>
        </w:rPr>
        <w:t>er alia</w:t>
      </w:r>
      <w:r w:rsidRPr="00B332BC">
        <w:rPr>
          <w:szCs w:val="22"/>
        </w:rPr>
        <w:t xml:space="preserve">, to apply the precautionary approach in accordance with the preamble of the Convention on Biological Diversity; </w:t>
      </w:r>
    </w:p>
    <w:p w14:paraId="39BCB3B6" w14:textId="77777777" w:rsidR="00105C36" w:rsidRPr="00B332BC" w:rsidRDefault="00105C36" w:rsidP="00105C36">
      <w:pPr>
        <w:spacing w:after="120"/>
        <w:rPr>
          <w:szCs w:val="22"/>
        </w:rPr>
      </w:pPr>
      <w:r w:rsidRPr="00B332BC">
        <w:rPr>
          <w:i/>
          <w:szCs w:val="22"/>
        </w:rPr>
        <w:tab/>
      </w:r>
      <w:r w:rsidRPr="00B332BC">
        <w:rPr>
          <w:szCs w:val="22"/>
        </w:rPr>
        <w:t>7.</w:t>
      </w:r>
      <w:r w:rsidRPr="00B332BC">
        <w:rPr>
          <w:i/>
          <w:szCs w:val="22"/>
        </w:rPr>
        <w:tab/>
        <w:t>Takes note</w:t>
      </w:r>
      <w:r w:rsidRPr="00B332BC">
        <w:rPr>
          <w:szCs w:val="22"/>
        </w:rPr>
        <w:t xml:space="preserve"> of the progress report by the Executive Secretary on his work in response to decision X/37, submitted to the Subsidiary Body on Scientific, Technical and Technological Advice (UNEP/CBD/SBSTTA/16/14), and </w:t>
      </w:r>
      <w:r w:rsidRPr="00B332BC">
        <w:rPr>
          <w:i/>
          <w:szCs w:val="22"/>
        </w:rPr>
        <w:t>requests</w:t>
      </w:r>
      <w:r w:rsidRPr="00B332BC">
        <w:rPr>
          <w:szCs w:val="22"/>
        </w:rPr>
        <w:t xml:space="preserve"> the Executive Secretary to continue to compile information, </w:t>
      </w:r>
      <w:r w:rsidRPr="00B332BC">
        <w:rPr>
          <w:i/>
          <w:szCs w:val="22"/>
        </w:rPr>
        <w:t>inter alia</w:t>
      </w:r>
      <w:r w:rsidRPr="00B332BC">
        <w:rPr>
          <w:szCs w:val="22"/>
        </w:rPr>
        <w:t>, on gaps in available standards and methodologies identified in the work undertaken in accordance with paragraph 11 of decision X/37;</w:t>
      </w:r>
    </w:p>
    <w:p w14:paraId="174714D4" w14:textId="77777777" w:rsidR="00105C36" w:rsidRPr="00B332BC" w:rsidRDefault="00105C36" w:rsidP="00105C36">
      <w:pPr>
        <w:pStyle w:val="Para1"/>
        <w:numPr>
          <w:ilvl w:val="0"/>
          <w:numId w:val="0"/>
        </w:numPr>
        <w:tabs>
          <w:tab w:val="left" w:pos="0"/>
        </w:tabs>
        <w:ind w:firstLine="709"/>
        <w:rPr>
          <w:szCs w:val="22"/>
          <w:lang w:val="en-US" w:eastAsia="x-none"/>
        </w:rPr>
      </w:pPr>
      <w:r w:rsidRPr="00B332BC">
        <w:rPr>
          <w:szCs w:val="22"/>
        </w:rPr>
        <w:t>8</w:t>
      </w:r>
      <w:r w:rsidRPr="00B332BC">
        <w:rPr>
          <w:i/>
          <w:szCs w:val="22"/>
        </w:rPr>
        <w:t xml:space="preserve">. </w:t>
      </w:r>
      <w:r w:rsidRPr="00B332BC">
        <w:rPr>
          <w:i/>
          <w:szCs w:val="22"/>
        </w:rPr>
        <w:tab/>
        <w:t xml:space="preserve">Also takes note </w:t>
      </w:r>
      <w:r w:rsidRPr="00B332BC">
        <w:rPr>
          <w:szCs w:val="22"/>
        </w:rPr>
        <w:t xml:space="preserve">of gaps in </w:t>
      </w:r>
      <w:r w:rsidRPr="00B332BC">
        <w:rPr>
          <w:szCs w:val="22"/>
          <w:lang w:val="en-CA" w:eastAsia="x-none"/>
        </w:rPr>
        <w:t xml:space="preserve">scientific knowledge of biofuels and in relevant </w:t>
      </w:r>
      <w:r w:rsidRPr="00B332BC">
        <w:rPr>
          <w:szCs w:val="22"/>
          <w:lang w:val="en-US" w:eastAsia="x-none"/>
        </w:rPr>
        <w:t xml:space="preserve">tools and approaches, and remaining uncertainties, in particular the inherent difficulty of </w:t>
      </w:r>
      <w:r w:rsidRPr="00B332BC">
        <w:rPr>
          <w:szCs w:val="22"/>
          <w:lang w:val="en-CA" w:eastAsia="x-none"/>
        </w:rPr>
        <w:t xml:space="preserve">measuring and </w:t>
      </w:r>
      <w:r w:rsidRPr="00B332BC">
        <w:rPr>
          <w:szCs w:val="22"/>
          <w:lang w:val="en-US" w:eastAsia="x-none"/>
        </w:rPr>
        <w:t xml:space="preserve">addressing </w:t>
      </w:r>
      <w:r w:rsidRPr="00B332BC">
        <w:rPr>
          <w:szCs w:val="22"/>
          <w:lang w:val="en-CA" w:eastAsia="x-none"/>
        </w:rPr>
        <w:t>indirect</w:t>
      </w:r>
      <w:r w:rsidRPr="00B332BC">
        <w:rPr>
          <w:szCs w:val="22"/>
          <w:lang w:val="en-US" w:eastAsia="x-none"/>
        </w:rPr>
        <w:t xml:space="preserve"> impacts of biofuels on biodiversity; and</w:t>
      </w:r>
    </w:p>
    <w:p w14:paraId="1CF6B5FA" w14:textId="77777777" w:rsidR="00105C36" w:rsidRPr="00B332BC" w:rsidRDefault="00105C36" w:rsidP="00105C36">
      <w:pPr>
        <w:pStyle w:val="Para1"/>
        <w:numPr>
          <w:ilvl w:val="0"/>
          <w:numId w:val="0"/>
        </w:numPr>
        <w:tabs>
          <w:tab w:val="left" w:pos="0"/>
        </w:tabs>
        <w:ind w:firstLine="709"/>
        <w:rPr>
          <w:szCs w:val="22"/>
          <w:lang w:val="en-US"/>
        </w:rPr>
      </w:pPr>
      <w:r w:rsidRPr="00B332BC">
        <w:rPr>
          <w:szCs w:val="22"/>
        </w:rPr>
        <w:t>9.</w:t>
      </w:r>
      <w:r w:rsidRPr="00B332BC">
        <w:rPr>
          <w:i/>
          <w:szCs w:val="22"/>
        </w:rPr>
        <w:tab/>
        <w:t xml:space="preserve">Further takes note </w:t>
      </w:r>
      <w:r w:rsidRPr="00B332BC">
        <w:rPr>
          <w:szCs w:val="22"/>
        </w:rPr>
        <w:t xml:space="preserve">that </w:t>
      </w:r>
      <w:r w:rsidRPr="00B332BC">
        <w:rPr>
          <w:szCs w:val="22"/>
          <w:lang w:val="en-US" w:eastAsia="x-none"/>
        </w:rPr>
        <w:t>many</w:t>
      </w:r>
      <w:r w:rsidRPr="00B332BC">
        <w:rPr>
          <w:szCs w:val="22"/>
        </w:rPr>
        <w:t xml:space="preserve"> technical and scientific issues associated with biofuels are difficult to assess and that they are relevant to many programmes of work of the Convention, </w:t>
      </w:r>
      <w:r w:rsidRPr="00B332BC">
        <w:rPr>
          <w:szCs w:val="22"/>
          <w:lang w:val="en-CA" w:eastAsia="x-none"/>
        </w:rPr>
        <w:t xml:space="preserve">in particular the ecosystem approach, </w:t>
      </w:r>
      <w:r w:rsidRPr="00B332BC">
        <w:rPr>
          <w:szCs w:val="22"/>
        </w:rPr>
        <w:t>and that th</w:t>
      </w:r>
      <w:r w:rsidRPr="00B332BC">
        <w:rPr>
          <w:szCs w:val="22"/>
          <w:lang w:val="en-CA" w:eastAsia="x-none"/>
        </w:rPr>
        <w:t>ese</w:t>
      </w:r>
      <w:r w:rsidRPr="00B332BC">
        <w:rPr>
          <w:szCs w:val="22"/>
        </w:rPr>
        <w:t xml:space="preserve"> may be addressed in </w:t>
      </w:r>
      <w:r w:rsidRPr="00B332BC">
        <w:rPr>
          <w:szCs w:val="22"/>
          <w:lang w:val="en-CA" w:eastAsia="x-none"/>
        </w:rPr>
        <w:t>a</w:t>
      </w:r>
      <w:r w:rsidRPr="00B332BC">
        <w:rPr>
          <w:szCs w:val="22"/>
        </w:rPr>
        <w:t xml:space="preserve"> broader context;</w:t>
      </w:r>
    </w:p>
    <w:p w14:paraId="3FAFEAB2" w14:textId="77777777" w:rsidR="00105C36" w:rsidRPr="00B332BC" w:rsidRDefault="00105C36" w:rsidP="00105C36">
      <w:pPr>
        <w:pStyle w:val="Para1"/>
        <w:numPr>
          <w:ilvl w:val="0"/>
          <w:numId w:val="0"/>
        </w:numPr>
        <w:ind w:firstLine="709"/>
        <w:rPr>
          <w:szCs w:val="22"/>
        </w:rPr>
      </w:pPr>
      <w:r w:rsidRPr="00B332BC">
        <w:rPr>
          <w:szCs w:val="22"/>
        </w:rPr>
        <w:t>10.</w:t>
      </w:r>
      <w:r w:rsidRPr="00B332BC">
        <w:rPr>
          <w:i/>
          <w:szCs w:val="22"/>
        </w:rPr>
        <w:tab/>
        <w:t xml:space="preserve">Requests </w:t>
      </w:r>
      <w:r w:rsidRPr="00B332BC">
        <w:rPr>
          <w:szCs w:val="22"/>
        </w:rPr>
        <w:t xml:space="preserve">the Executive Secretary, as part of his ongoing work with regard to decision X/37, in collaboration with Parties, other Governments and relevant organizations, and considering ongoing work, to compile information on </w:t>
      </w:r>
      <w:r w:rsidRPr="00B332BC">
        <w:rPr>
          <w:szCs w:val="22"/>
          <w:lang w:val="en-US"/>
        </w:rPr>
        <w:t>relevant definitions of relevant key terms</w:t>
      </w:r>
      <w:r w:rsidRPr="00B332BC">
        <w:rPr>
          <w:szCs w:val="22"/>
        </w:rPr>
        <w:t xml:space="preserve"> </w:t>
      </w:r>
      <w:r w:rsidRPr="00B332BC">
        <w:rPr>
          <w:szCs w:val="22"/>
          <w:lang w:val="en-US"/>
        </w:rPr>
        <w:t xml:space="preserve">to enable Parties to implement </w:t>
      </w:r>
      <w:r w:rsidRPr="00B332BC">
        <w:rPr>
          <w:szCs w:val="22"/>
        </w:rPr>
        <w:t xml:space="preserve">decisions IX/2 and X/37, and to report on progress to </w:t>
      </w:r>
      <w:r w:rsidRPr="00B332BC">
        <w:rPr>
          <w:szCs w:val="22"/>
          <w:lang w:val="en-US"/>
        </w:rPr>
        <w:t>a meeting of the</w:t>
      </w:r>
      <w:r w:rsidRPr="00B332BC">
        <w:rPr>
          <w:szCs w:val="22"/>
        </w:rPr>
        <w:t xml:space="preserve"> Subsidiary Body on Scientific, Technical and Technological Advice</w:t>
      </w:r>
      <w:r w:rsidRPr="00B332BC">
        <w:rPr>
          <w:szCs w:val="22"/>
          <w:lang w:val="en-US"/>
        </w:rPr>
        <w:t xml:space="preserve"> prior to the twelfth meeting of the Conference of the Parties;</w:t>
      </w:r>
    </w:p>
    <w:p w14:paraId="5ACB9551" w14:textId="77777777" w:rsidR="00105C36" w:rsidRPr="00B332BC" w:rsidRDefault="00105C36" w:rsidP="00105C36">
      <w:pPr>
        <w:spacing w:after="120"/>
        <w:ind w:firstLine="709"/>
        <w:rPr>
          <w:szCs w:val="22"/>
        </w:rPr>
      </w:pPr>
      <w:r w:rsidRPr="00B332BC">
        <w:rPr>
          <w:szCs w:val="22"/>
        </w:rPr>
        <w:t xml:space="preserve">11. </w:t>
      </w:r>
      <w:r w:rsidRPr="00B332BC">
        <w:rPr>
          <w:szCs w:val="22"/>
        </w:rPr>
        <w:tab/>
      </w:r>
      <w:r w:rsidRPr="00B332BC">
        <w:rPr>
          <w:i/>
          <w:szCs w:val="22"/>
        </w:rPr>
        <w:t xml:space="preserve">Decides </w:t>
      </w:r>
      <w:r w:rsidRPr="00B332BC">
        <w:rPr>
          <w:szCs w:val="22"/>
        </w:rPr>
        <w:t xml:space="preserve">to review progress on the implementation of decisions IX/2 and X/37 at its twelfth meeting. </w:t>
      </w:r>
    </w:p>
    <w:p w14:paraId="4F2C186B" w14:textId="77777777" w:rsidR="00441F19" w:rsidRDefault="005A2590" w:rsidP="00414228">
      <w:pPr>
        <w:spacing w:before="120" w:after="120"/>
        <w:jc w:val="center"/>
      </w:pPr>
      <w:r w:rsidRPr="00B332BC">
        <w:t>-----</w:t>
      </w:r>
    </w:p>
    <w:sectPr w:rsidR="00441F19"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C211" w14:textId="77777777" w:rsidR="00B41B02" w:rsidRDefault="00B41B02">
      <w:r>
        <w:separator/>
      </w:r>
    </w:p>
  </w:endnote>
  <w:endnote w:type="continuationSeparator" w:id="0">
    <w:p w14:paraId="79F6740C" w14:textId="77777777" w:rsidR="00B41B02" w:rsidRDefault="00B4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2BB0"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CC21"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A604" w14:textId="77777777" w:rsidR="00351772" w:rsidRDefault="00351772" w:rsidP="00EE080C">
    <w:pPr>
      <w:pStyle w:val="Footer"/>
      <w:spacing w:after="120"/>
    </w:pPr>
    <w:r>
      <w:t>/…</w:t>
    </w:r>
  </w:p>
  <w:p w14:paraId="48F89AEE" w14:textId="77777777" w:rsidR="00351772" w:rsidRDefault="0000263E" w:rsidP="00351772">
    <w:r>
      <w:rPr>
        <w:noProof/>
        <w:lang w:val="en-CA" w:eastAsia="en-CA"/>
      </w:rPr>
      <mc:AlternateContent>
        <mc:Choice Requires="wps">
          <w:drawing>
            <wp:anchor distT="0" distB="0" distL="114300" distR="114300" simplePos="0" relativeHeight="251657728" behindDoc="0" locked="0" layoutInCell="1" allowOverlap="1" wp14:anchorId="6FA1897C" wp14:editId="232454EE">
              <wp:simplePos x="0" y="0"/>
              <wp:positionH relativeFrom="column">
                <wp:posOffset>0</wp:posOffset>
              </wp:positionH>
              <wp:positionV relativeFrom="paragraph">
                <wp:posOffset>2540</wp:posOffset>
              </wp:positionV>
              <wp:extent cx="5943600" cy="534035"/>
              <wp:effectExtent l="12700" t="12700" r="12700" b="12065"/>
              <wp:wrapNone/>
              <wp:docPr id="6457776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DB041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4394AE3"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1897C"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43DB041B"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44394AE3" w14:textId="77777777" w:rsidR="00351772" w:rsidRPr="00210687" w:rsidRDefault="00351772" w:rsidP="00351772"/>
                </w:txbxContent>
              </v:textbox>
            </v:rect>
          </w:pict>
        </mc:Fallback>
      </mc:AlternateContent>
    </w:r>
  </w:p>
  <w:p w14:paraId="045C6E23"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323F" w14:textId="77777777" w:rsidR="006B069D" w:rsidRPr="00F45EE3" w:rsidRDefault="006B069D" w:rsidP="00F45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A627" w14:textId="77777777" w:rsidR="00B41B02" w:rsidRDefault="00B41B02">
      <w:r>
        <w:separator/>
      </w:r>
    </w:p>
  </w:footnote>
  <w:footnote w:type="continuationSeparator" w:id="0">
    <w:p w14:paraId="0AAAD5E2" w14:textId="77777777" w:rsidR="00B41B02" w:rsidRDefault="00B41B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5AFC" w14:textId="77777777" w:rsidR="00351772" w:rsidRDefault="00EE080C" w:rsidP="00351772">
    <w:pPr>
      <w:pStyle w:val="Header"/>
    </w:pPr>
    <w:r>
      <w:t>UNEP/CBD/COP/DEC/XI/</w:t>
    </w:r>
    <w:r w:rsidR="007F2D04">
      <w:t>27</w:t>
    </w:r>
  </w:p>
  <w:p w14:paraId="05435FCD" w14:textId="77777777" w:rsidR="00351772" w:rsidRDefault="00351772" w:rsidP="00351772">
    <w:pPr>
      <w:pStyle w:val="Header"/>
    </w:pPr>
    <w:r>
      <w:t xml:space="preserve">Page </w:t>
    </w:r>
    <w:r>
      <w:fldChar w:fldCharType="begin"/>
    </w:r>
    <w:r>
      <w:instrText xml:space="preserve"> PAGE   \* MERGEFORMAT </w:instrText>
    </w:r>
    <w:r>
      <w:fldChar w:fldCharType="separate"/>
    </w:r>
    <w:r w:rsidR="00E57870">
      <w:rPr>
        <w:noProof/>
      </w:rPr>
      <w:t>2</w:t>
    </w:r>
    <w:r>
      <w:rPr>
        <w:noProof/>
      </w:rPr>
      <w:fldChar w:fldCharType="end"/>
    </w:r>
  </w:p>
  <w:p w14:paraId="04BEDE51"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BCF0" w14:textId="77777777" w:rsidR="00EE080C" w:rsidRDefault="00351772" w:rsidP="00EE080C">
    <w:pPr>
      <w:pStyle w:val="Header"/>
      <w:ind w:left="6600"/>
      <w:jc w:val="left"/>
    </w:pPr>
    <w:r>
      <w:t>UNEP/CBD/</w:t>
    </w:r>
    <w:r w:rsidR="00EE080C">
      <w:t>COP/DEC/XI/</w:t>
    </w:r>
    <w:r w:rsidR="00EE080C" w:rsidRPr="00EE080C">
      <w:rPr>
        <w:highlight w:val="yellow"/>
      </w:rPr>
      <w:t>..</w:t>
    </w:r>
  </w:p>
  <w:p w14:paraId="12B13156"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7F2D04">
      <w:rPr>
        <w:noProof/>
      </w:rPr>
      <w:t>3</w:t>
    </w:r>
    <w:r>
      <w:fldChar w:fldCharType="end"/>
    </w:r>
  </w:p>
  <w:p w14:paraId="32BE642B"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67750">
    <w:abstractNumId w:val="11"/>
  </w:num>
  <w:num w:numId="2" w16cid:durableId="629752468">
    <w:abstractNumId w:val="12"/>
  </w:num>
  <w:num w:numId="3" w16cid:durableId="1954819056">
    <w:abstractNumId w:val="10"/>
  </w:num>
  <w:num w:numId="4" w16cid:durableId="1139956678">
    <w:abstractNumId w:val="38"/>
  </w:num>
  <w:num w:numId="5" w16cid:durableId="15930500">
    <w:abstractNumId w:val="13"/>
  </w:num>
  <w:num w:numId="6" w16cid:durableId="1124810898">
    <w:abstractNumId w:val="24"/>
  </w:num>
  <w:num w:numId="7" w16cid:durableId="1741831168">
    <w:abstractNumId w:val="20"/>
  </w:num>
  <w:num w:numId="8" w16cid:durableId="270742886">
    <w:abstractNumId w:val="17"/>
  </w:num>
  <w:num w:numId="9" w16cid:durableId="989790216">
    <w:abstractNumId w:val="22"/>
  </w:num>
  <w:num w:numId="10" w16cid:durableId="1378553677">
    <w:abstractNumId w:val="25"/>
  </w:num>
  <w:num w:numId="11" w16cid:durableId="687562220">
    <w:abstractNumId w:val="0"/>
  </w:num>
  <w:num w:numId="12" w16cid:durableId="7047113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2007826950">
    <w:abstractNumId w:val="31"/>
  </w:num>
  <w:num w:numId="14" w16cid:durableId="10772913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1309275">
    <w:abstractNumId w:val="1"/>
  </w:num>
  <w:num w:numId="16" w16cid:durableId="215509886">
    <w:abstractNumId w:val="32"/>
  </w:num>
  <w:num w:numId="17" w16cid:durableId="170293901">
    <w:abstractNumId w:val="35"/>
  </w:num>
  <w:num w:numId="18" w16cid:durableId="1290436176">
    <w:abstractNumId w:val="33"/>
  </w:num>
  <w:num w:numId="19" w16cid:durableId="709497863">
    <w:abstractNumId w:val="23"/>
  </w:num>
  <w:num w:numId="20" w16cid:durableId="1907567961">
    <w:abstractNumId w:val="7"/>
  </w:num>
  <w:num w:numId="21" w16cid:durableId="1888492355">
    <w:abstractNumId w:val="37"/>
  </w:num>
  <w:num w:numId="22" w16cid:durableId="474301870">
    <w:abstractNumId w:val="6"/>
  </w:num>
  <w:num w:numId="23" w16cid:durableId="1638341262">
    <w:abstractNumId w:val="19"/>
  </w:num>
  <w:num w:numId="24" w16cid:durableId="1907689080">
    <w:abstractNumId w:val="4"/>
  </w:num>
  <w:num w:numId="25" w16cid:durableId="1271620233">
    <w:abstractNumId w:val="41"/>
  </w:num>
  <w:num w:numId="26" w16cid:durableId="2145535312">
    <w:abstractNumId w:val="40"/>
  </w:num>
  <w:num w:numId="27" w16cid:durableId="1090930790">
    <w:abstractNumId w:val="36"/>
  </w:num>
  <w:num w:numId="28" w16cid:durableId="1102919922">
    <w:abstractNumId w:val="39"/>
  </w:num>
  <w:num w:numId="29" w16cid:durableId="1480073732">
    <w:abstractNumId w:val="28"/>
  </w:num>
  <w:num w:numId="30" w16cid:durableId="434593006">
    <w:abstractNumId w:val="3"/>
  </w:num>
  <w:num w:numId="31" w16cid:durableId="1625652703">
    <w:abstractNumId w:val="26"/>
  </w:num>
  <w:num w:numId="32" w16cid:durableId="717634076">
    <w:abstractNumId w:val="21"/>
  </w:num>
  <w:num w:numId="33" w16cid:durableId="150488512">
    <w:abstractNumId w:val="27"/>
  </w:num>
  <w:num w:numId="34" w16cid:durableId="513962041">
    <w:abstractNumId w:val="15"/>
  </w:num>
  <w:num w:numId="35" w16cid:durableId="369569559">
    <w:abstractNumId w:val="14"/>
  </w:num>
  <w:num w:numId="36" w16cid:durableId="1354266915">
    <w:abstractNumId w:val="2"/>
  </w:num>
  <w:num w:numId="37" w16cid:durableId="115101719">
    <w:abstractNumId w:val="30"/>
  </w:num>
  <w:num w:numId="38" w16cid:durableId="1146507116">
    <w:abstractNumId w:val="5"/>
  </w:num>
  <w:num w:numId="39" w16cid:durableId="699629041">
    <w:abstractNumId w:val="18"/>
  </w:num>
  <w:num w:numId="40" w16cid:durableId="1202481182">
    <w:abstractNumId w:val="24"/>
    <w:lvlOverride w:ilvl="0">
      <w:startOverride w:val="2"/>
    </w:lvlOverride>
  </w:num>
  <w:num w:numId="41" w16cid:durableId="143746254">
    <w:abstractNumId w:val="8"/>
  </w:num>
  <w:num w:numId="42" w16cid:durableId="1975910407">
    <w:abstractNumId w:val="29"/>
  </w:num>
  <w:num w:numId="43" w16cid:durableId="7144743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9976863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331737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111404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434154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603271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79887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930097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722845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375886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65888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109583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906067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706540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999297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87461922">
    <w:abstractNumId w:val="16"/>
  </w:num>
  <w:num w:numId="59" w16cid:durableId="284426586">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63E"/>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429A"/>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18"/>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7FB"/>
    <w:rsid w:val="000F4221"/>
    <w:rsid w:val="000F7C33"/>
    <w:rsid w:val="001026BA"/>
    <w:rsid w:val="00102B30"/>
    <w:rsid w:val="00102C1C"/>
    <w:rsid w:val="00102D30"/>
    <w:rsid w:val="00103430"/>
    <w:rsid w:val="00105A2E"/>
    <w:rsid w:val="00105C36"/>
    <w:rsid w:val="00110A71"/>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65D"/>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49E5"/>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1FE4"/>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6F9F"/>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3CB2"/>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C50D4"/>
    <w:rsid w:val="005D01BA"/>
    <w:rsid w:val="005D0D50"/>
    <w:rsid w:val="005D126C"/>
    <w:rsid w:val="005D19A2"/>
    <w:rsid w:val="005D2025"/>
    <w:rsid w:val="005D209C"/>
    <w:rsid w:val="005D3D68"/>
    <w:rsid w:val="005D4B7C"/>
    <w:rsid w:val="005D7929"/>
    <w:rsid w:val="005E2E9C"/>
    <w:rsid w:val="005E5F03"/>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269E"/>
    <w:rsid w:val="007A39A7"/>
    <w:rsid w:val="007A4162"/>
    <w:rsid w:val="007A517B"/>
    <w:rsid w:val="007A52B9"/>
    <w:rsid w:val="007A7DC6"/>
    <w:rsid w:val="007B04E9"/>
    <w:rsid w:val="007B2A05"/>
    <w:rsid w:val="007B333B"/>
    <w:rsid w:val="007B3A73"/>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2D04"/>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616"/>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1D24"/>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046"/>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1235"/>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2BC"/>
    <w:rsid w:val="00B33700"/>
    <w:rsid w:val="00B34474"/>
    <w:rsid w:val="00B34F09"/>
    <w:rsid w:val="00B35032"/>
    <w:rsid w:val="00B35257"/>
    <w:rsid w:val="00B36D03"/>
    <w:rsid w:val="00B375F5"/>
    <w:rsid w:val="00B41932"/>
    <w:rsid w:val="00B41B0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891"/>
    <w:rsid w:val="00BF0C91"/>
    <w:rsid w:val="00BF2724"/>
    <w:rsid w:val="00BF42B9"/>
    <w:rsid w:val="00BF46E7"/>
    <w:rsid w:val="00BF4A44"/>
    <w:rsid w:val="00BF5F9B"/>
    <w:rsid w:val="00BF65A6"/>
    <w:rsid w:val="00BF7C27"/>
    <w:rsid w:val="00C008A0"/>
    <w:rsid w:val="00C02288"/>
    <w:rsid w:val="00C060EC"/>
    <w:rsid w:val="00C0674E"/>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3FFF"/>
    <w:rsid w:val="00D24893"/>
    <w:rsid w:val="00D275C2"/>
    <w:rsid w:val="00D311F4"/>
    <w:rsid w:val="00D33EA7"/>
    <w:rsid w:val="00D345E9"/>
    <w:rsid w:val="00D3595F"/>
    <w:rsid w:val="00D36876"/>
    <w:rsid w:val="00D36926"/>
    <w:rsid w:val="00D36BCE"/>
    <w:rsid w:val="00D372B9"/>
    <w:rsid w:val="00D4078C"/>
    <w:rsid w:val="00D410A3"/>
    <w:rsid w:val="00D43975"/>
    <w:rsid w:val="00D44F29"/>
    <w:rsid w:val="00D46FAD"/>
    <w:rsid w:val="00D52A8F"/>
    <w:rsid w:val="00D52A9A"/>
    <w:rsid w:val="00D55BB2"/>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4F9F"/>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954"/>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57870"/>
    <w:rsid w:val="00E61FED"/>
    <w:rsid w:val="00E642CA"/>
    <w:rsid w:val="00E65B3A"/>
    <w:rsid w:val="00E65D70"/>
    <w:rsid w:val="00E664E8"/>
    <w:rsid w:val="00E66EEA"/>
    <w:rsid w:val="00E67CCF"/>
    <w:rsid w:val="00E73B09"/>
    <w:rsid w:val="00E73E30"/>
    <w:rsid w:val="00E74A49"/>
    <w:rsid w:val="00E76A5F"/>
    <w:rsid w:val="00E77BD1"/>
    <w:rsid w:val="00E8231B"/>
    <w:rsid w:val="00E850AD"/>
    <w:rsid w:val="00E863E0"/>
    <w:rsid w:val="00E93889"/>
    <w:rsid w:val="00E93E9C"/>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2749"/>
    <w:rsid w:val="00F03830"/>
    <w:rsid w:val="00F07422"/>
    <w:rsid w:val="00F0755F"/>
    <w:rsid w:val="00F11123"/>
    <w:rsid w:val="00F11AFE"/>
    <w:rsid w:val="00F11D7E"/>
    <w:rsid w:val="00F17F28"/>
    <w:rsid w:val="00F20D48"/>
    <w:rsid w:val="00F24632"/>
    <w:rsid w:val="00F277E5"/>
    <w:rsid w:val="00F30180"/>
    <w:rsid w:val="00F31374"/>
    <w:rsid w:val="00F31F14"/>
    <w:rsid w:val="00F329ED"/>
    <w:rsid w:val="00F33AA8"/>
    <w:rsid w:val="00F347D9"/>
    <w:rsid w:val="00F35741"/>
    <w:rsid w:val="00F409CF"/>
    <w:rsid w:val="00F41C44"/>
    <w:rsid w:val="00F43AB3"/>
    <w:rsid w:val="00F43D13"/>
    <w:rsid w:val="00F43D74"/>
    <w:rsid w:val="00F45EE3"/>
    <w:rsid w:val="00F47154"/>
    <w:rsid w:val="00F476B0"/>
    <w:rsid w:val="00F502AB"/>
    <w:rsid w:val="00F50A9D"/>
    <w:rsid w:val="00F50E41"/>
    <w:rsid w:val="00F51486"/>
    <w:rsid w:val="00F52636"/>
    <w:rsid w:val="00F54E8B"/>
    <w:rsid w:val="00F56008"/>
    <w:rsid w:val="00F56FC1"/>
    <w:rsid w:val="00F5769A"/>
    <w:rsid w:val="00F60DA7"/>
    <w:rsid w:val="00F628A3"/>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35"/>
    <w:rsid w:val="00FB52D2"/>
    <w:rsid w:val="00FB5BF2"/>
    <w:rsid w:val="00FB7052"/>
    <w:rsid w:val="00FB778D"/>
    <w:rsid w:val="00FC0742"/>
    <w:rsid w:val="00FC11AE"/>
    <w:rsid w:val="00FC190B"/>
    <w:rsid w:val="00FC1BC5"/>
    <w:rsid w:val="00FC29A6"/>
    <w:rsid w:val="00FC2BA2"/>
    <w:rsid w:val="00FC3A5A"/>
    <w:rsid w:val="00FC3DC1"/>
    <w:rsid w:val="00FC506D"/>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C4354"/>
  <w15:chartTrackingRefBased/>
  <w15:docId w15:val="{A2DC9192-B00C-3E40-AD77-A3C42139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3649E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2</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XI/27. Biofuels and biodiversity</vt:lpstr>
    </vt:vector>
  </TitlesOfParts>
  <Company>SCBD</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XI/27. Biofuels and biodiversity</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