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746C5F9" w14:textId="77777777">
        <w:tblPrEx>
          <w:tblCellMar>
            <w:top w:w="0" w:type="dxa"/>
            <w:bottom w:w="0" w:type="dxa"/>
          </w:tblCellMar>
        </w:tblPrEx>
        <w:trPr>
          <w:gridBefore w:val="1"/>
          <w:wBefore w:w="16" w:type="dxa"/>
        </w:trPr>
        <w:tc>
          <w:tcPr>
            <w:tcW w:w="1326" w:type="dxa"/>
            <w:tcBorders>
              <w:bottom w:val="single" w:sz="12" w:space="0" w:color="000000"/>
            </w:tcBorders>
          </w:tcPr>
          <w:p w14:paraId="6D5EE0BE" w14:textId="77777777" w:rsidR="00897705" w:rsidRDefault="00DB308D">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B8E2137" wp14:editId="1F784E2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BE0DDCB" w14:textId="77777777" w:rsidR="00897705" w:rsidRDefault="00DB308D">
            <w:r>
              <w:rPr>
                <w:noProof/>
                <w:sz w:val="20"/>
              </w:rPr>
              <w:drawing>
                <wp:anchor distT="0" distB="0" distL="114300" distR="114300" simplePos="0" relativeHeight="251657216" behindDoc="0" locked="1" layoutInCell="1" allowOverlap="0" wp14:anchorId="2EAB4236" wp14:editId="0D6965F0">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CA9AFDB" w14:textId="77777777" w:rsidR="00897705" w:rsidRPr="00D56F36" w:rsidRDefault="00897705">
            <w:pPr>
              <w:jc w:val="right"/>
              <w:rPr>
                <w:rFonts w:ascii="Univers" w:hAnsi="Univers"/>
                <w:b/>
                <w:sz w:val="32"/>
              </w:rPr>
            </w:pPr>
            <w:r w:rsidRPr="00D56F36">
              <w:rPr>
                <w:rFonts w:ascii="Univers" w:hAnsi="Univers"/>
                <w:b/>
                <w:sz w:val="32"/>
              </w:rPr>
              <w:t>CBD</w:t>
            </w:r>
          </w:p>
          <w:p w14:paraId="04CC28D2" w14:textId="77777777" w:rsidR="00897705" w:rsidRPr="00F849C4" w:rsidRDefault="00897705" w:rsidP="00F23A65">
            <w:pPr>
              <w:jc w:val="center"/>
              <w:rPr>
                <w:rFonts w:ascii="Univers" w:hAnsi="Univers"/>
                <w:b/>
                <w:i/>
                <w:sz w:val="32"/>
              </w:rPr>
            </w:pPr>
          </w:p>
        </w:tc>
      </w:tr>
      <w:tr w:rsidR="00897705" w14:paraId="58D5D5E2" w14:textId="77777777">
        <w:tblPrEx>
          <w:tblCellMar>
            <w:top w:w="0" w:type="dxa"/>
            <w:bottom w:w="0" w:type="dxa"/>
          </w:tblCellMar>
        </w:tblPrEx>
        <w:trPr>
          <w:cantSplit/>
          <w:trHeight w:val="1693"/>
        </w:trPr>
        <w:tc>
          <w:tcPr>
            <w:tcW w:w="6629" w:type="dxa"/>
            <w:gridSpan w:val="4"/>
            <w:tcBorders>
              <w:bottom w:val="single" w:sz="36" w:space="0" w:color="000000"/>
            </w:tcBorders>
          </w:tcPr>
          <w:p w14:paraId="6125B872" w14:textId="77777777" w:rsidR="00897705" w:rsidRPr="00F849C4" w:rsidRDefault="00DB308D">
            <w:pPr>
              <w:ind w:right="1422"/>
              <w:rPr>
                <w:i/>
              </w:rPr>
            </w:pPr>
            <w:r w:rsidRPr="00F849C4">
              <w:rPr>
                <w:i/>
                <w:noProof/>
              </w:rPr>
              <w:drawing>
                <wp:inline distT="0" distB="0" distL="0" distR="0" wp14:anchorId="5C2A21C8" wp14:editId="575EEB1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F21E931" w14:textId="77777777" w:rsidR="00897705" w:rsidRPr="00507938" w:rsidRDefault="00897705">
            <w:r w:rsidRPr="00507938">
              <w:t>Distr.</w:t>
            </w:r>
          </w:p>
          <w:p w14:paraId="52FBFFB3" w14:textId="77777777" w:rsidR="00897705" w:rsidRPr="00507938" w:rsidRDefault="00897705">
            <w:r w:rsidRPr="00507938">
              <w:t>GENERAL</w:t>
            </w:r>
          </w:p>
          <w:p w14:paraId="288D5C75" w14:textId="77777777" w:rsidR="00897705" w:rsidRPr="00507938" w:rsidRDefault="00897705"/>
          <w:p w14:paraId="5220B398" w14:textId="77777777" w:rsidR="0020504B" w:rsidRPr="00507938" w:rsidRDefault="00897705">
            <w:r w:rsidRPr="00507938">
              <w:t>UNEP/CBD/COP/</w:t>
            </w:r>
            <w:r w:rsidR="00754AC7">
              <w:t>DEC/IX/</w:t>
            </w:r>
            <w:r w:rsidR="00B53409">
              <w:t>26</w:t>
            </w:r>
          </w:p>
          <w:p w14:paraId="4B96A5CF" w14:textId="77777777" w:rsidR="00897705" w:rsidRDefault="003E1993">
            <w:r>
              <w:t xml:space="preserve">9 October </w:t>
            </w:r>
            <w:r w:rsidR="00920DEF">
              <w:t>2008</w:t>
            </w:r>
          </w:p>
          <w:p w14:paraId="6D63DD00" w14:textId="77777777" w:rsidR="00920DEF" w:rsidRPr="00507938" w:rsidRDefault="00920DEF"/>
          <w:p w14:paraId="2B222AEF" w14:textId="77777777" w:rsidR="00897705" w:rsidRPr="00507938" w:rsidRDefault="00897705">
            <w:r w:rsidRPr="00507938">
              <w:t>ORIGINAL:  ENGLISH</w:t>
            </w:r>
          </w:p>
        </w:tc>
      </w:tr>
    </w:tbl>
    <w:p w14:paraId="1E7B2EBF" w14:textId="77777777" w:rsidR="00897705" w:rsidRDefault="00897705">
      <w:pPr>
        <w:pStyle w:val="Cornernotation"/>
      </w:pPr>
      <w:r>
        <w:t>CONFERENCE OF THE PARTIES TO THE CONVENTION ON BIOLOGICAL DIVERSITY</w:t>
      </w:r>
    </w:p>
    <w:p w14:paraId="76BD2196" w14:textId="77777777" w:rsidR="00897705" w:rsidRDefault="00897705">
      <w:pPr>
        <w:pStyle w:val="Cornernotation"/>
      </w:pPr>
      <w:r>
        <w:t>Ninth meeting</w:t>
      </w:r>
    </w:p>
    <w:p w14:paraId="50BE6D47" w14:textId="77777777" w:rsidR="009D0896" w:rsidRDefault="00897705">
      <w:pPr>
        <w:pStyle w:val="Cornernotation"/>
        <w:ind w:right="3973"/>
      </w:pPr>
      <w:r>
        <w:t>Bonn, 19–30 May 2008</w:t>
      </w:r>
    </w:p>
    <w:p w14:paraId="34732B50" w14:textId="77777777" w:rsidR="0020504B" w:rsidRDefault="00B53409">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4.13</w:t>
      </w:r>
    </w:p>
    <w:p w14:paraId="415172D4"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CAF15E4" w14:textId="77777777" w:rsidR="00B53409" w:rsidRPr="005A76C7" w:rsidRDefault="00B53409" w:rsidP="00B53409">
      <w:pPr>
        <w:pStyle w:val="Decision"/>
        <w:rPr>
          <w:caps w:val="0"/>
        </w:rPr>
      </w:pPr>
      <w:bookmarkStart w:id="4" w:name="_Toc201733856"/>
      <w:bookmarkStart w:id="5" w:name="_Toc201736233"/>
      <w:r>
        <w:rPr>
          <w:caps w:val="0"/>
        </w:rPr>
        <w:t>IX/26</w:t>
      </w:r>
      <w:r w:rsidRPr="005A76C7">
        <w:rPr>
          <w:caps w:val="0"/>
        </w:rPr>
        <w:t>.</w:t>
      </w:r>
      <w:r w:rsidRPr="005A76C7">
        <w:rPr>
          <w:caps w:val="0"/>
        </w:rPr>
        <w:tab/>
        <w:t>Promoting business engagement</w:t>
      </w:r>
      <w:bookmarkEnd w:id="4"/>
      <w:bookmarkEnd w:id="5"/>
    </w:p>
    <w:p w14:paraId="13E7B4BB" w14:textId="77777777" w:rsidR="00B53409" w:rsidRPr="00D90762" w:rsidRDefault="00B53409" w:rsidP="00B53409">
      <w:pPr>
        <w:pStyle w:val="Para3"/>
        <w:numPr>
          <w:ilvl w:val="0"/>
          <w:numId w:val="0"/>
        </w:numPr>
        <w:tabs>
          <w:tab w:val="clear" w:pos="1980"/>
        </w:tabs>
        <w:spacing w:before="120" w:after="120"/>
        <w:ind w:left="720"/>
        <w:rPr>
          <w:rFonts w:ascii="Times" w:hAnsi="Times"/>
          <w:i/>
          <w:szCs w:val="22"/>
        </w:rPr>
      </w:pPr>
      <w:r w:rsidRPr="00D90762">
        <w:rPr>
          <w:rFonts w:ascii="Times" w:hAnsi="Times"/>
          <w:i/>
          <w:szCs w:val="22"/>
        </w:rPr>
        <w:t>The Conference of the Parties</w:t>
      </w:r>
      <w:r>
        <w:rPr>
          <w:rFonts w:ascii="Times" w:hAnsi="Times"/>
          <w:i/>
          <w:szCs w:val="22"/>
        </w:rPr>
        <w:t>,</w:t>
      </w:r>
    </w:p>
    <w:p w14:paraId="3B0D28CD" w14:textId="77777777" w:rsidR="00B53409" w:rsidRPr="00D90762" w:rsidRDefault="00B53409" w:rsidP="00B53409">
      <w:pPr>
        <w:pStyle w:val="Para3"/>
        <w:numPr>
          <w:ilvl w:val="0"/>
          <w:numId w:val="0"/>
        </w:numPr>
        <w:tabs>
          <w:tab w:val="clear" w:pos="1980"/>
        </w:tabs>
        <w:spacing w:before="120" w:after="120"/>
        <w:rPr>
          <w:rFonts w:ascii="Times" w:hAnsi="Times"/>
          <w:i/>
          <w:szCs w:val="22"/>
        </w:rPr>
      </w:pPr>
      <w:r w:rsidRPr="00D90762">
        <w:rPr>
          <w:rFonts w:ascii="Times" w:hAnsi="Times"/>
          <w:i/>
          <w:szCs w:val="22"/>
        </w:rPr>
        <w:tab/>
        <w:t xml:space="preserve">Recalling </w:t>
      </w:r>
      <w:r w:rsidRPr="00D90762">
        <w:rPr>
          <w:rFonts w:ascii="Times" w:hAnsi="Times"/>
          <w:szCs w:val="22"/>
        </w:rPr>
        <w:t>its decision VIII/17,</w:t>
      </w:r>
      <w:r w:rsidRPr="00D90762">
        <w:rPr>
          <w:rFonts w:ascii="Times" w:hAnsi="Times"/>
          <w:i/>
          <w:szCs w:val="22"/>
        </w:rPr>
        <w:t xml:space="preserve"> </w:t>
      </w:r>
    </w:p>
    <w:p w14:paraId="02E3032A" w14:textId="77777777" w:rsidR="00B53409" w:rsidRPr="00D90762" w:rsidRDefault="00B53409" w:rsidP="00B53409">
      <w:pPr>
        <w:pStyle w:val="Para3"/>
        <w:numPr>
          <w:ilvl w:val="0"/>
          <w:numId w:val="0"/>
        </w:numPr>
        <w:tabs>
          <w:tab w:val="clear" w:pos="1980"/>
        </w:tabs>
        <w:spacing w:before="120" w:after="120"/>
        <w:rPr>
          <w:rFonts w:ascii="Times" w:hAnsi="Times"/>
          <w:szCs w:val="22"/>
        </w:rPr>
      </w:pPr>
      <w:r w:rsidRPr="00D90762">
        <w:rPr>
          <w:rFonts w:ascii="Times" w:hAnsi="Times"/>
          <w:i/>
          <w:szCs w:val="22"/>
        </w:rPr>
        <w:tab/>
        <w:t xml:space="preserve">Noting with appreciation </w:t>
      </w:r>
      <w:r w:rsidRPr="00D90762">
        <w:rPr>
          <w:rFonts w:ascii="Times" w:hAnsi="Times"/>
          <w:szCs w:val="22"/>
        </w:rPr>
        <w:t>the initiative of the Portuguese Presidency of the Council of the European Union of holding a high</w:t>
      </w:r>
      <w:r>
        <w:rPr>
          <w:rFonts w:ascii="Times" w:hAnsi="Times"/>
          <w:szCs w:val="22"/>
        </w:rPr>
        <w:noBreakHyphen/>
      </w:r>
      <w:r w:rsidRPr="00D90762">
        <w:rPr>
          <w:rFonts w:ascii="Times" w:hAnsi="Times"/>
          <w:szCs w:val="22"/>
        </w:rPr>
        <w:t>level conference on business and biodiversity in November 2007,</w:t>
      </w:r>
    </w:p>
    <w:p w14:paraId="59FD08B2" w14:textId="77777777" w:rsidR="00B53409" w:rsidRPr="00D90762" w:rsidRDefault="00B53409" w:rsidP="00B53409">
      <w:pPr>
        <w:pStyle w:val="Para3"/>
        <w:numPr>
          <w:ilvl w:val="0"/>
          <w:numId w:val="0"/>
        </w:numPr>
        <w:tabs>
          <w:tab w:val="clear" w:pos="1980"/>
        </w:tabs>
        <w:spacing w:before="120" w:after="120"/>
        <w:rPr>
          <w:rFonts w:ascii="Times" w:hAnsi="Times"/>
          <w:szCs w:val="22"/>
        </w:rPr>
      </w:pPr>
      <w:r w:rsidRPr="00D90762">
        <w:rPr>
          <w:rFonts w:ascii="Times" w:hAnsi="Times"/>
          <w:szCs w:val="22"/>
        </w:rPr>
        <w:tab/>
      </w:r>
      <w:r w:rsidRPr="00D90762">
        <w:rPr>
          <w:rFonts w:ascii="Times" w:hAnsi="Times"/>
          <w:i/>
          <w:szCs w:val="22"/>
        </w:rPr>
        <w:t>Welcoming</w:t>
      </w:r>
      <w:r w:rsidRPr="00D90762">
        <w:rPr>
          <w:rFonts w:ascii="Times" w:hAnsi="Times"/>
          <w:szCs w:val="22"/>
        </w:rPr>
        <w:t xml:space="preserve"> the efforts of Germany, including through its Business and Biodiversity Initiative, to mobilize the business community for the ninth meeting of the Conference of the Parties,</w:t>
      </w:r>
    </w:p>
    <w:p w14:paraId="5B437579" w14:textId="77777777" w:rsidR="00B53409" w:rsidRPr="00D90762" w:rsidRDefault="00B53409" w:rsidP="00B53409">
      <w:pPr>
        <w:pStyle w:val="Para3"/>
        <w:numPr>
          <w:ilvl w:val="0"/>
          <w:numId w:val="0"/>
        </w:numPr>
        <w:tabs>
          <w:tab w:val="clear" w:pos="1980"/>
        </w:tabs>
        <w:spacing w:before="120" w:after="120"/>
        <w:rPr>
          <w:rFonts w:ascii="Times" w:hAnsi="Times"/>
          <w:szCs w:val="22"/>
        </w:rPr>
      </w:pPr>
      <w:r w:rsidRPr="00D90762">
        <w:rPr>
          <w:rFonts w:ascii="Times" w:hAnsi="Times"/>
          <w:i/>
          <w:szCs w:val="22"/>
        </w:rPr>
        <w:tab/>
        <w:t>Welcoming</w:t>
      </w:r>
      <w:r w:rsidRPr="00D90762">
        <w:rPr>
          <w:rFonts w:ascii="Times" w:hAnsi="Times"/>
          <w:szCs w:val="22"/>
        </w:rPr>
        <w:t xml:space="preserve"> the support of </w:t>
      </w:r>
      <w:r>
        <w:rPr>
          <w:rFonts w:ascii="Times" w:hAnsi="Times"/>
          <w:szCs w:val="22"/>
        </w:rPr>
        <w:t>t</w:t>
      </w:r>
      <w:r w:rsidRPr="00D90762">
        <w:rPr>
          <w:rFonts w:ascii="Times" w:hAnsi="Times"/>
          <w:szCs w:val="22"/>
        </w:rPr>
        <w:t xml:space="preserve">he Netherlands for the organization of a third informal </w:t>
      </w:r>
      <w:r>
        <w:rPr>
          <w:rFonts w:ascii="Times" w:hAnsi="Times"/>
          <w:szCs w:val="22"/>
        </w:rPr>
        <w:t>“</w:t>
      </w:r>
      <w:r w:rsidRPr="00D90762">
        <w:rPr>
          <w:rFonts w:ascii="Times" w:hAnsi="Times"/>
          <w:szCs w:val="22"/>
        </w:rPr>
        <w:t>business and the 2010 biodiversity challenge</w:t>
      </w:r>
      <w:r>
        <w:rPr>
          <w:rFonts w:ascii="Times" w:hAnsi="Times"/>
          <w:szCs w:val="22"/>
        </w:rPr>
        <w:t>”</w:t>
      </w:r>
      <w:r w:rsidRPr="00D90762">
        <w:rPr>
          <w:rFonts w:ascii="Times" w:hAnsi="Times"/>
          <w:szCs w:val="22"/>
        </w:rPr>
        <w:t xml:space="preserve"> meeting, to further develop ideas that could best be pursued through the Convention or in support of its objectives, for engaging business in biodiversity issues, as a means of working towards the 2010 target,</w:t>
      </w:r>
    </w:p>
    <w:p w14:paraId="45FE8783" w14:textId="77777777" w:rsidR="00B53409" w:rsidRPr="00D90762" w:rsidRDefault="00B53409" w:rsidP="00B53409">
      <w:pPr>
        <w:pStyle w:val="Para3"/>
        <w:numPr>
          <w:ilvl w:val="0"/>
          <w:numId w:val="0"/>
        </w:numPr>
        <w:tabs>
          <w:tab w:val="clear" w:pos="1980"/>
        </w:tabs>
        <w:spacing w:before="120" w:after="120"/>
        <w:rPr>
          <w:rFonts w:ascii="Times" w:hAnsi="Times"/>
          <w:szCs w:val="22"/>
        </w:rPr>
      </w:pPr>
      <w:r w:rsidRPr="00D90762">
        <w:rPr>
          <w:rFonts w:ascii="Times" w:hAnsi="Times"/>
          <w:szCs w:val="22"/>
        </w:rPr>
        <w:tab/>
      </w:r>
      <w:r w:rsidRPr="00D90762">
        <w:rPr>
          <w:rFonts w:ascii="Times" w:hAnsi="Times"/>
          <w:i/>
          <w:szCs w:val="22"/>
        </w:rPr>
        <w:t>Noting with appreciation</w:t>
      </w:r>
      <w:r w:rsidRPr="00D90762">
        <w:rPr>
          <w:rFonts w:ascii="Times" w:hAnsi="Times"/>
          <w:szCs w:val="22"/>
        </w:rPr>
        <w:t xml:space="preserve"> the efforts of the Secretariat to engage the business community, including through the designation of a focal point for business</w:t>
      </w:r>
      <w:r>
        <w:rPr>
          <w:rFonts w:ascii="Times" w:hAnsi="Times"/>
          <w:szCs w:val="22"/>
        </w:rPr>
        <w:t>,</w:t>
      </w:r>
    </w:p>
    <w:p w14:paraId="50A17D49" w14:textId="77777777" w:rsidR="00B53409" w:rsidRPr="00D90762" w:rsidRDefault="00B53409" w:rsidP="00B53409">
      <w:pPr>
        <w:pStyle w:val="Para3"/>
        <w:numPr>
          <w:ilvl w:val="0"/>
          <w:numId w:val="0"/>
        </w:numPr>
        <w:tabs>
          <w:tab w:val="clear" w:pos="1980"/>
        </w:tabs>
        <w:spacing w:before="120" w:after="120"/>
        <w:rPr>
          <w:rFonts w:ascii="Times" w:hAnsi="Times"/>
          <w:szCs w:val="22"/>
        </w:rPr>
      </w:pPr>
      <w:r w:rsidRPr="00D90762">
        <w:rPr>
          <w:rFonts w:ascii="Times" w:hAnsi="Times"/>
          <w:i/>
          <w:szCs w:val="22"/>
        </w:rPr>
        <w:tab/>
        <w:t xml:space="preserve">Recognizing </w:t>
      </w:r>
      <w:r w:rsidRPr="00D90762">
        <w:rPr>
          <w:rFonts w:ascii="Times" w:hAnsi="Times"/>
          <w:szCs w:val="22"/>
        </w:rPr>
        <w:t>the potential impacts of business operations on biodiversity and the role that the business community and civil society need to play for the implementation of the three objectives of the Convention, at all levels</w:t>
      </w:r>
      <w:r>
        <w:rPr>
          <w:rFonts w:ascii="Times" w:hAnsi="Times"/>
          <w:szCs w:val="22"/>
        </w:rPr>
        <w:t>,</w:t>
      </w:r>
    </w:p>
    <w:p w14:paraId="5E504B69" w14:textId="77777777" w:rsidR="00B53409" w:rsidRPr="00D90762" w:rsidRDefault="00B53409" w:rsidP="00B53409">
      <w:pPr>
        <w:pStyle w:val="BodyText"/>
        <w:rPr>
          <w:rFonts w:ascii="Times" w:hAnsi="Times"/>
          <w:szCs w:val="22"/>
        </w:rPr>
      </w:pPr>
      <w:r w:rsidRPr="00D90762">
        <w:rPr>
          <w:rFonts w:ascii="Times" w:hAnsi="Times"/>
          <w:szCs w:val="22"/>
        </w:rPr>
        <w:t>1.</w:t>
      </w:r>
      <w:r w:rsidRPr="00D90762">
        <w:rPr>
          <w:rFonts w:ascii="Times" w:hAnsi="Times"/>
          <w:szCs w:val="22"/>
        </w:rPr>
        <w:tab/>
      </w:r>
      <w:r w:rsidRPr="00D90762">
        <w:rPr>
          <w:rFonts w:ascii="Times" w:hAnsi="Times"/>
          <w:i/>
          <w:szCs w:val="22"/>
        </w:rPr>
        <w:t xml:space="preserve">Invites Parties, </w:t>
      </w:r>
      <w:r w:rsidRPr="00EB52DB">
        <w:rPr>
          <w:rFonts w:ascii="Times" w:hAnsi="Times"/>
          <w:szCs w:val="22"/>
        </w:rPr>
        <w:t xml:space="preserve">as appropriate, </w:t>
      </w:r>
      <w:r w:rsidRPr="00D90762">
        <w:rPr>
          <w:rFonts w:ascii="Times" w:hAnsi="Times"/>
          <w:szCs w:val="22"/>
        </w:rPr>
        <w:t>to improve actions and cooperation for enhancing the engagement of the business community, including small and medium</w:t>
      </w:r>
      <w:r>
        <w:rPr>
          <w:rFonts w:ascii="Times" w:hAnsi="Times"/>
          <w:szCs w:val="22"/>
        </w:rPr>
        <w:t>-sized</w:t>
      </w:r>
      <w:r w:rsidRPr="00D90762">
        <w:rPr>
          <w:rFonts w:ascii="Times" w:hAnsi="Times"/>
          <w:szCs w:val="22"/>
        </w:rPr>
        <w:t xml:space="preserve"> enterprises, in particular through the development of public-private partnerships, in the implementation of the three objectives of the Convention;</w:t>
      </w:r>
    </w:p>
    <w:p w14:paraId="4969D894" w14:textId="77777777" w:rsidR="00B53409" w:rsidRPr="00D90762" w:rsidRDefault="00B53409" w:rsidP="00B53409">
      <w:pPr>
        <w:pStyle w:val="BodyText"/>
        <w:rPr>
          <w:rFonts w:ascii="Times" w:hAnsi="Times"/>
          <w:szCs w:val="22"/>
        </w:rPr>
      </w:pPr>
      <w:r w:rsidRPr="00D90762">
        <w:rPr>
          <w:rFonts w:ascii="Times" w:hAnsi="Times"/>
          <w:szCs w:val="22"/>
        </w:rPr>
        <w:t>2.</w:t>
      </w:r>
      <w:r w:rsidRPr="00D90762">
        <w:rPr>
          <w:rFonts w:ascii="Times" w:hAnsi="Times"/>
          <w:i/>
          <w:szCs w:val="22"/>
        </w:rPr>
        <w:t xml:space="preserve"> </w:t>
      </w:r>
      <w:r>
        <w:rPr>
          <w:rFonts w:ascii="Times" w:hAnsi="Times"/>
          <w:i/>
          <w:szCs w:val="22"/>
        </w:rPr>
        <w:tab/>
      </w:r>
      <w:r w:rsidRPr="00D90762">
        <w:rPr>
          <w:rFonts w:ascii="Times" w:hAnsi="Times"/>
          <w:i/>
          <w:szCs w:val="22"/>
        </w:rPr>
        <w:t>Urges</w:t>
      </w:r>
      <w:r w:rsidRPr="00D90762">
        <w:rPr>
          <w:rFonts w:ascii="Times" w:hAnsi="Times"/>
          <w:szCs w:val="22"/>
        </w:rPr>
        <w:t xml:space="preserve"> Parties to continue to raise awareness on the business case for biodiversity;</w:t>
      </w:r>
    </w:p>
    <w:p w14:paraId="7CA69302" w14:textId="77777777" w:rsidR="00B53409" w:rsidRDefault="00B53409" w:rsidP="00B53409">
      <w:pPr>
        <w:pStyle w:val="BodyText"/>
        <w:rPr>
          <w:rFonts w:ascii="Times" w:hAnsi="Times"/>
          <w:szCs w:val="22"/>
        </w:rPr>
      </w:pPr>
      <w:r w:rsidRPr="00D90762">
        <w:rPr>
          <w:rFonts w:ascii="Times" w:hAnsi="Times"/>
          <w:szCs w:val="22"/>
        </w:rPr>
        <w:t xml:space="preserve">3. </w:t>
      </w:r>
      <w:r>
        <w:rPr>
          <w:rFonts w:ascii="Times" w:hAnsi="Times"/>
          <w:szCs w:val="22"/>
        </w:rPr>
        <w:tab/>
      </w:r>
      <w:r w:rsidRPr="00D90762">
        <w:rPr>
          <w:rFonts w:ascii="Times" w:hAnsi="Times"/>
          <w:i/>
          <w:szCs w:val="22"/>
        </w:rPr>
        <w:t xml:space="preserve">Encourages </w:t>
      </w:r>
      <w:r w:rsidRPr="00D90762">
        <w:rPr>
          <w:rFonts w:ascii="Times" w:hAnsi="Times"/>
          <w:szCs w:val="22"/>
        </w:rPr>
        <w:t>public and private financial institutions to include biodiversity considerations into all investment</w:t>
      </w:r>
      <w:r>
        <w:rPr>
          <w:rFonts w:ascii="Times" w:hAnsi="Times"/>
          <w:szCs w:val="22"/>
        </w:rPr>
        <w:t>s</w:t>
      </w:r>
      <w:r w:rsidRPr="00D90762">
        <w:rPr>
          <w:rFonts w:ascii="Times" w:hAnsi="Times"/>
          <w:szCs w:val="22"/>
        </w:rPr>
        <w:t xml:space="preserve"> and to create investment schemes </w:t>
      </w:r>
      <w:r>
        <w:rPr>
          <w:rFonts w:ascii="Times" w:hAnsi="Times"/>
          <w:szCs w:val="22"/>
        </w:rPr>
        <w:t>to promote sustainable business activities</w:t>
      </w:r>
      <w:r w:rsidRPr="00D90762">
        <w:rPr>
          <w:rFonts w:ascii="Times" w:hAnsi="Times"/>
          <w:szCs w:val="22"/>
        </w:rPr>
        <w:t>;</w:t>
      </w:r>
    </w:p>
    <w:p w14:paraId="1D62AD7D" w14:textId="77777777" w:rsidR="00B53409" w:rsidRDefault="00B53409" w:rsidP="00B53409">
      <w:pPr>
        <w:pStyle w:val="BodyText"/>
        <w:rPr>
          <w:rFonts w:ascii="Times" w:hAnsi="Times"/>
          <w:szCs w:val="22"/>
        </w:rPr>
        <w:sectPr w:rsidR="00B53409" w:rsidSect="00E00B3B">
          <w:footerReference w:type="default" r:id="rId15"/>
          <w:footerReference w:type="first" r:id="rId16"/>
          <w:type w:val="continuous"/>
          <w:pgSz w:w="12240" w:h="15840" w:code="1"/>
          <w:pgMar w:top="1134" w:right="1440" w:bottom="1134" w:left="1440" w:header="720" w:footer="720" w:gutter="0"/>
          <w:cols w:space="720"/>
          <w:docGrid w:linePitch="360"/>
        </w:sectPr>
      </w:pPr>
    </w:p>
    <w:p w14:paraId="6DA64E54" w14:textId="77777777" w:rsidR="00B53409" w:rsidRPr="00D90762" w:rsidRDefault="00B53409" w:rsidP="00B53409">
      <w:pPr>
        <w:pStyle w:val="BodyText"/>
        <w:rPr>
          <w:rFonts w:ascii="Times" w:hAnsi="Times"/>
          <w:szCs w:val="22"/>
        </w:rPr>
      </w:pPr>
      <w:r w:rsidRPr="00D90762">
        <w:rPr>
          <w:rFonts w:ascii="Times" w:hAnsi="Times"/>
          <w:szCs w:val="22"/>
        </w:rPr>
        <w:lastRenderedPageBreak/>
        <w:t xml:space="preserve">4. </w:t>
      </w:r>
      <w:r w:rsidRPr="00D90762">
        <w:rPr>
          <w:rFonts w:ascii="Times" w:hAnsi="Times"/>
          <w:szCs w:val="22"/>
        </w:rPr>
        <w:tab/>
      </w:r>
      <w:r w:rsidRPr="00D90762">
        <w:rPr>
          <w:rFonts w:ascii="Times" w:hAnsi="Times"/>
          <w:i/>
          <w:szCs w:val="22"/>
        </w:rPr>
        <w:t xml:space="preserve">Requests </w:t>
      </w:r>
      <w:r w:rsidRPr="00D90762">
        <w:rPr>
          <w:rFonts w:ascii="Times" w:hAnsi="Times"/>
          <w:szCs w:val="22"/>
        </w:rPr>
        <w:t xml:space="preserve">the </w:t>
      </w:r>
      <w:r>
        <w:rPr>
          <w:rFonts w:ascii="Times" w:hAnsi="Times"/>
          <w:szCs w:val="22"/>
        </w:rPr>
        <w:t xml:space="preserve">Global Environment Facility, and </w:t>
      </w:r>
      <w:r>
        <w:rPr>
          <w:rFonts w:ascii="Times" w:hAnsi="Times"/>
          <w:i/>
          <w:szCs w:val="22"/>
        </w:rPr>
        <w:t xml:space="preserve">invites </w:t>
      </w:r>
      <w:r>
        <w:rPr>
          <w:rFonts w:ascii="Times" w:hAnsi="Times"/>
          <w:szCs w:val="22"/>
        </w:rPr>
        <w:t xml:space="preserve">Parties, other Governments, and relevant organizations </w:t>
      </w:r>
      <w:r w:rsidRPr="00D90762">
        <w:rPr>
          <w:rFonts w:ascii="Times" w:hAnsi="Times"/>
          <w:szCs w:val="22"/>
        </w:rPr>
        <w:t xml:space="preserve">to support </w:t>
      </w:r>
      <w:r>
        <w:rPr>
          <w:rFonts w:ascii="Times" w:hAnsi="Times"/>
          <w:szCs w:val="22"/>
        </w:rPr>
        <w:t>capacity-</w:t>
      </w:r>
      <w:r w:rsidRPr="00D90762">
        <w:rPr>
          <w:rFonts w:ascii="Times" w:hAnsi="Times"/>
          <w:szCs w:val="22"/>
        </w:rPr>
        <w:t>building in developing countries</w:t>
      </w:r>
      <w:r>
        <w:rPr>
          <w:rFonts w:ascii="Times" w:hAnsi="Times"/>
          <w:szCs w:val="22"/>
        </w:rPr>
        <w:t>, in particular the least developed and the small island developing States among them, and Parties with economies in transition,</w:t>
      </w:r>
      <w:r w:rsidRPr="00D90762">
        <w:rPr>
          <w:rFonts w:ascii="Times" w:hAnsi="Times"/>
          <w:szCs w:val="22"/>
        </w:rPr>
        <w:t xml:space="preserve"> for engaging the business community in the implementation of the Convention;  </w:t>
      </w:r>
    </w:p>
    <w:p w14:paraId="2017D604" w14:textId="77777777" w:rsidR="00B53409" w:rsidRPr="00D90762" w:rsidRDefault="00B53409" w:rsidP="00B53409">
      <w:pPr>
        <w:pStyle w:val="BodyText"/>
        <w:rPr>
          <w:rFonts w:ascii="Times" w:hAnsi="Times"/>
          <w:szCs w:val="22"/>
        </w:rPr>
      </w:pPr>
      <w:r w:rsidRPr="00D90762">
        <w:rPr>
          <w:rFonts w:ascii="Times" w:hAnsi="Times"/>
          <w:szCs w:val="22"/>
        </w:rPr>
        <w:t xml:space="preserve">5. </w:t>
      </w:r>
      <w:r>
        <w:rPr>
          <w:rFonts w:ascii="Times" w:hAnsi="Times"/>
          <w:szCs w:val="22"/>
        </w:rPr>
        <w:tab/>
      </w:r>
      <w:r w:rsidRPr="00D90762">
        <w:rPr>
          <w:rFonts w:ascii="Times" w:hAnsi="Times"/>
          <w:i/>
          <w:szCs w:val="22"/>
        </w:rPr>
        <w:t xml:space="preserve">Welcomes </w:t>
      </w:r>
      <w:r w:rsidRPr="00D90762">
        <w:rPr>
          <w:rFonts w:ascii="Times" w:hAnsi="Times"/>
          <w:szCs w:val="22"/>
        </w:rPr>
        <w:t>the framework for</w:t>
      </w:r>
      <w:r w:rsidRPr="00D90762">
        <w:rPr>
          <w:rFonts w:ascii="Times" w:hAnsi="Times"/>
          <w:i/>
          <w:szCs w:val="22"/>
        </w:rPr>
        <w:t xml:space="preserve"> </w:t>
      </w:r>
      <w:r w:rsidRPr="00D90762">
        <w:rPr>
          <w:rFonts w:ascii="Times" w:hAnsi="Times"/>
          <w:szCs w:val="22"/>
        </w:rPr>
        <w:t xml:space="preserve">priority actions to be undertaken by the Secretariat contained in the annex to the present decision, subject to the availability of resources, and </w:t>
      </w:r>
      <w:r w:rsidRPr="00D90762">
        <w:rPr>
          <w:rFonts w:ascii="Times" w:hAnsi="Times"/>
          <w:i/>
          <w:szCs w:val="22"/>
        </w:rPr>
        <w:t xml:space="preserve">requests </w:t>
      </w:r>
      <w:r w:rsidRPr="00D90762">
        <w:rPr>
          <w:rFonts w:ascii="Times" w:hAnsi="Times"/>
          <w:szCs w:val="22"/>
        </w:rPr>
        <w:t>the Executive Secretary, where possible and appropriate, to take into account relevant initiatives by Parties and organizations.</w:t>
      </w:r>
    </w:p>
    <w:p w14:paraId="4D7A27B3" w14:textId="77777777" w:rsidR="00B53409" w:rsidRPr="00D90762" w:rsidRDefault="00B53409" w:rsidP="00B53409">
      <w:pPr>
        <w:pStyle w:val="HEADING"/>
        <w:spacing w:before="0"/>
        <w:jc w:val="center"/>
        <w:rPr>
          <w:rFonts w:ascii="Times" w:hAnsi="Times"/>
          <w:b w:val="0"/>
          <w:szCs w:val="22"/>
        </w:rPr>
      </w:pPr>
      <w:r w:rsidRPr="00D90762">
        <w:rPr>
          <w:rFonts w:ascii="Times" w:hAnsi="Times"/>
          <w:b w:val="0"/>
          <w:i/>
          <w:caps w:val="0"/>
          <w:szCs w:val="22"/>
        </w:rPr>
        <w:t>Annex</w:t>
      </w:r>
    </w:p>
    <w:p w14:paraId="6251EC78" w14:textId="77777777" w:rsidR="00B53409" w:rsidRPr="00D90762" w:rsidRDefault="00B53409" w:rsidP="00B53409">
      <w:pPr>
        <w:pStyle w:val="HEADING"/>
      </w:pPr>
      <w:r w:rsidRPr="00D90762">
        <w:t>framework of priority actions on business, 2008-2010</w:t>
      </w:r>
    </w:p>
    <w:p w14:paraId="7BE9ADC1" w14:textId="77777777" w:rsidR="00B53409" w:rsidRPr="00D90762" w:rsidRDefault="00B53409" w:rsidP="00B53409">
      <w:pPr>
        <w:pStyle w:val="Para1"/>
        <w:keepLines w:val="0"/>
        <w:numPr>
          <w:ilvl w:val="0"/>
          <w:numId w:val="31"/>
        </w:numPr>
        <w:tabs>
          <w:tab w:val="clear" w:pos="720"/>
          <w:tab w:val="left" w:pos="0"/>
        </w:tabs>
        <w:suppressAutoHyphens/>
        <w:ind w:left="0" w:firstLine="0"/>
        <w:rPr>
          <w:rFonts w:ascii="Times" w:hAnsi="Times"/>
          <w:szCs w:val="22"/>
        </w:rPr>
      </w:pPr>
      <w:r w:rsidRPr="00D90762">
        <w:rPr>
          <w:rFonts w:ascii="Times" w:hAnsi="Times"/>
          <w:szCs w:val="22"/>
        </w:rPr>
        <w:t xml:space="preserve">While there has been notable progress in mobilizing the business community on biodiversity since the eighth meeting of the Conference of the Parties, relatively few companies, in particular small and medium-sized enterprises, are aware of the business and biodiversity linkages or the relevance to business of negotiations carried out under the Convention. With this in mind, and </w:t>
      </w:r>
      <w:r>
        <w:rPr>
          <w:rFonts w:ascii="Times" w:hAnsi="Times"/>
          <w:szCs w:val="22"/>
        </w:rPr>
        <w:t>following on from</w:t>
      </w:r>
      <w:r w:rsidRPr="00D90762">
        <w:rPr>
          <w:rFonts w:ascii="Times" w:hAnsi="Times"/>
          <w:szCs w:val="22"/>
        </w:rPr>
        <w:t xml:space="preserve"> decision VIII/17, the present note sets out the priority actions to be undertaken by the Secretariat in </w:t>
      </w:r>
      <w:r>
        <w:rPr>
          <w:rFonts w:ascii="Times" w:hAnsi="Times"/>
          <w:szCs w:val="22"/>
        </w:rPr>
        <w:t xml:space="preserve">the period </w:t>
      </w:r>
      <w:r w:rsidRPr="00D90762">
        <w:rPr>
          <w:rFonts w:ascii="Times" w:hAnsi="Times"/>
          <w:szCs w:val="22"/>
        </w:rPr>
        <w:t>2008-2010:</w:t>
      </w:r>
    </w:p>
    <w:p w14:paraId="4EBBB01C" w14:textId="77777777" w:rsidR="00B53409" w:rsidRPr="00D90762" w:rsidRDefault="00B53409" w:rsidP="00B53409">
      <w:pPr>
        <w:pStyle w:val="Para3"/>
        <w:keepNext/>
        <w:numPr>
          <w:ilvl w:val="0"/>
          <w:numId w:val="0"/>
        </w:numPr>
        <w:tabs>
          <w:tab w:val="clear" w:pos="1980"/>
        </w:tabs>
        <w:spacing w:before="0" w:after="0"/>
        <w:rPr>
          <w:rFonts w:ascii="Times" w:hAnsi="Times"/>
          <w:i/>
          <w:szCs w:val="22"/>
        </w:rPr>
      </w:pPr>
      <w:r w:rsidRPr="00D90762">
        <w:rPr>
          <w:rFonts w:ascii="Times" w:hAnsi="Times"/>
          <w:i/>
          <w:szCs w:val="22"/>
        </w:rPr>
        <w:t>Priority area 1: Build and promote the business case for biodiversity</w:t>
      </w:r>
    </w:p>
    <w:p w14:paraId="11600AB3" w14:textId="77777777" w:rsidR="00B53409" w:rsidRPr="00D90762" w:rsidRDefault="00B53409" w:rsidP="00B53409">
      <w:pPr>
        <w:pStyle w:val="Para1"/>
        <w:keepLines w:val="0"/>
        <w:numPr>
          <w:ilvl w:val="0"/>
          <w:numId w:val="31"/>
        </w:numPr>
        <w:tabs>
          <w:tab w:val="clear" w:pos="720"/>
        </w:tabs>
        <w:suppressAutoHyphens/>
        <w:ind w:left="0" w:firstLine="0"/>
        <w:rPr>
          <w:rFonts w:ascii="Times" w:hAnsi="Times"/>
          <w:szCs w:val="22"/>
        </w:rPr>
      </w:pPr>
      <w:r w:rsidRPr="00D90762">
        <w:rPr>
          <w:rFonts w:ascii="Times" w:hAnsi="Times"/>
          <w:szCs w:val="22"/>
        </w:rPr>
        <w:t xml:space="preserve">Continue the compilation and dissemination of information on the business case for biodiversity, including </w:t>
      </w:r>
      <w:r>
        <w:rPr>
          <w:rFonts w:ascii="Times" w:hAnsi="Times"/>
          <w:szCs w:val="22"/>
        </w:rPr>
        <w:t xml:space="preserve">experiences generated in the framework of the UNCTAD Biotrade Initiative, </w:t>
      </w:r>
      <w:r w:rsidRPr="00D90762">
        <w:rPr>
          <w:rFonts w:ascii="Times" w:hAnsi="Times"/>
          <w:szCs w:val="22"/>
        </w:rPr>
        <w:t>through the clearing-house mechanism</w:t>
      </w:r>
      <w:r>
        <w:rPr>
          <w:rFonts w:ascii="Times" w:hAnsi="Times"/>
          <w:szCs w:val="22"/>
        </w:rPr>
        <w:t xml:space="preserve">, </w:t>
      </w:r>
      <w:r w:rsidRPr="00D90762">
        <w:rPr>
          <w:rFonts w:ascii="Times" w:hAnsi="Times"/>
          <w:szCs w:val="22"/>
        </w:rPr>
        <w:t>the CBD newsletter on business</w:t>
      </w:r>
      <w:r>
        <w:rPr>
          <w:rFonts w:ascii="Times" w:hAnsi="Times"/>
          <w:szCs w:val="22"/>
        </w:rPr>
        <w:t xml:space="preserve">, and </w:t>
      </w:r>
      <w:r w:rsidRPr="00D90762">
        <w:rPr>
          <w:rFonts w:ascii="Times" w:hAnsi="Times"/>
          <w:szCs w:val="22"/>
        </w:rPr>
        <w:t>mainstream business forums.</w:t>
      </w:r>
      <w:r w:rsidRPr="00D90762">
        <w:rPr>
          <w:rFonts w:ascii="Times" w:hAnsi="Times"/>
          <w:i/>
          <w:szCs w:val="22"/>
        </w:rPr>
        <w:t xml:space="preserve"> </w:t>
      </w:r>
    </w:p>
    <w:p w14:paraId="2C87376A" w14:textId="77777777" w:rsidR="00B53409" w:rsidRPr="00D90762" w:rsidRDefault="00B53409" w:rsidP="00B53409">
      <w:pPr>
        <w:pStyle w:val="Para1"/>
        <w:keepLines w:val="0"/>
        <w:numPr>
          <w:ilvl w:val="0"/>
          <w:numId w:val="31"/>
        </w:numPr>
        <w:tabs>
          <w:tab w:val="clear" w:pos="720"/>
        </w:tabs>
        <w:suppressAutoHyphens/>
        <w:ind w:left="0" w:firstLine="0"/>
        <w:rPr>
          <w:rFonts w:ascii="Times" w:hAnsi="Times"/>
          <w:szCs w:val="22"/>
        </w:rPr>
      </w:pPr>
      <w:r>
        <w:rPr>
          <w:rFonts w:ascii="Times" w:hAnsi="Times"/>
          <w:szCs w:val="22"/>
        </w:rPr>
        <w:t>Develop</w:t>
      </w:r>
      <w:r w:rsidRPr="00D90762">
        <w:rPr>
          <w:rFonts w:ascii="Times" w:hAnsi="Times"/>
          <w:szCs w:val="22"/>
        </w:rPr>
        <w:t xml:space="preserve"> options for incorporating biodiversity into course curricula, including through the development of case</w:t>
      </w:r>
      <w:r>
        <w:rPr>
          <w:rFonts w:ascii="Times" w:hAnsi="Times"/>
          <w:szCs w:val="22"/>
        </w:rPr>
        <w:t>-</w:t>
      </w:r>
      <w:r w:rsidRPr="00D90762">
        <w:rPr>
          <w:rFonts w:ascii="Times" w:hAnsi="Times"/>
          <w:szCs w:val="22"/>
        </w:rPr>
        <w:t xml:space="preserve">studies and other teaching material. </w:t>
      </w:r>
    </w:p>
    <w:p w14:paraId="5A65B4CC" w14:textId="77777777" w:rsidR="00B53409" w:rsidRPr="00D90762" w:rsidRDefault="00B53409" w:rsidP="00B53409">
      <w:pPr>
        <w:pStyle w:val="Para3"/>
        <w:numPr>
          <w:ilvl w:val="0"/>
          <w:numId w:val="0"/>
        </w:numPr>
        <w:tabs>
          <w:tab w:val="clear" w:pos="1980"/>
        </w:tabs>
        <w:spacing w:before="0" w:after="0"/>
        <w:rPr>
          <w:rFonts w:ascii="Times" w:hAnsi="Times"/>
          <w:i/>
          <w:szCs w:val="22"/>
        </w:rPr>
      </w:pPr>
      <w:r w:rsidRPr="00D90762">
        <w:rPr>
          <w:rFonts w:ascii="Times" w:hAnsi="Times"/>
          <w:i/>
          <w:szCs w:val="22"/>
        </w:rPr>
        <w:t>Priority area 2: Disseminate tools and best practice</w:t>
      </w:r>
    </w:p>
    <w:p w14:paraId="0AD5E768" w14:textId="77777777" w:rsidR="00B53409" w:rsidRPr="00D90762" w:rsidRDefault="00B53409" w:rsidP="00B53409">
      <w:pPr>
        <w:pStyle w:val="Para1"/>
        <w:keepLines w:val="0"/>
        <w:numPr>
          <w:ilvl w:val="0"/>
          <w:numId w:val="31"/>
        </w:numPr>
        <w:tabs>
          <w:tab w:val="clear" w:pos="720"/>
        </w:tabs>
        <w:suppressAutoHyphens/>
        <w:ind w:left="0" w:firstLine="0"/>
        <w:rPr>
          <w:rFonts w:ascii="Times" w:hAnsi="Times"/>
          <w:szCs w:val="22"/>
        </w:rPr>
      </w:pPr>
      <w:r w:rsidRPr="00D90762">
        <w:rPr>
          <w:rFonts w:ascii="Times" w:hAnsi="Times"/>
          <w:szCs w:val="22"/>
        </w:rPr>
        <w:t xml:space="preserve">In collaboration with relevant organizations, </w:t>
      </w:r>
      <w:r>
        <w:rPr>
          <w:rFonts w:ascii="Times" w:hAnsi="Times"/>
          <w:szCs w:val="22"/>
        </w:rPr>
        <w:t xml:space="preserve">such as </w:t>
      </w:r>
      <w:r w:rsidRPr="00D90762">
        <w:rPr>
          <w:rFonts w:ascii="Times" w:hAnsi="Times"/>
          <w:szCs w:val="22"/>
        </w:rPr>
        <w:t xml:space="preserve">the </w:t>
      </w:r>
      <w:r w:rsidRPr="00D90762">
        <w:rPr>
          <w:szCs w:val="22"/>
        </w:rPr>
        <w:t xml:space="preserve">International Social and Environmental Accreditation and Labelling </w:t>
      </w:r>
      <w:r w:rsidRPr="00D90762">
        <w:rPr>
          <w:rFonts w:ascii="Times" w:hAnsi="Times"/>
          <w:szCs w:val="22"/>
        </w:rPr>
        <w:t>(ISEAL) Alliance</w:t>
      </w:r>
      <w:r>
        <w:rPr>
          <w:rFonts w:ascii="Times" w:hAnsi="Times"/>
          <w:szCs w:val="22"/>
        </w:rPr>
        <w:t>,</w:t>
      </w:r>
      <w:r w:rsidRPr="00D90762">
        <w:rPr>
          <w:rFonts w:ascii="Times" w:hAnsi="Times"/>
          <w:szCs w:val="22"/>
        </w:rPr>
        <w:t xml:space="preserve"> compile information on the </w:t>
      </w:r>
      <w:r>
        <w:rPr>
          <w:rFonts w:ascii="Times" w:hAnsi="Times"/>
          <w:szCs w:val="22"/>
        </w:rPr>
        <w:t xml:space="preserve">use and </w:t>
      </w:r>
      <w:r w:rsidRPr="00D90762">
        <w:rPr>
          <w:rFonts w:ascii="Times" w:hAnsi="Times"/>
          <w:szCs w:val="22"/>
        </w:rPr>
        <w:t xml:space="preserve">impact of international voluntary certification schemes towards the implementation of the objectives of the Convention and develop knowledge sharing and technical assistance tools to encourage the wider uptake of best practice. Activities would </w:t>
      </w:r>
      <w:r>
        <w:rPr>
          <w:rFonts w:ascii="Times" w:hAnsi="Times"/>
          <w:szCs w:val="22"/>
        </w:rPr>
        <w:t xml:space="preserve">further </w:t>
      </w:r>
      <w:r w:rsidRPr="00D90762">
        <w:rPr>
          <w:rFonts w:ascii="Times" w:hAnsi="Times"/>
          <w:szCs w:val="22"/>
        </w:rPr>
        <w:t>include:</w:t>
      </w:r>
    </w:p>
    <w:p w14:paraId="4B1B2678" w14:textId="77777777" w:rsidR="00B53409" w:rsidRPr="00D90762" w:rsidRDefault="00B53409" w:rsidP="00B53409">
      <w:pPr>
        <w:pStyle w:val="Para1"/>
        <w:keepLines w:val="0"/>
        <w:numPr>
          <w:ilvl w:val="1"/>
          <w:numId w:val="30"/>
        </w:numPr>
        <w:suppressAutoHyphens/>
        <w:rPr>
          <w:rFonts w:ascii="Times" w:hAnsi="Times"/>
          <w:szCs w:val="22"/>
        </w:rPr>
      </w:pPr>
      <w:r w:rsidRPr="00D90762">
        <w:rPr>
          <w:rFonts w:ascii="Times" w:hAnsi="Times"/>
          <w:szCs w:val="22"/>
        </w:rPr>
        <w:t>Compil</w:t>
      </w:r>
      <w:r>
        <w:rPr>
          <w:rFonts w:ascii="Times" w:hAnsi="Times"/>
          <w:szCs w:val="22"/>
        </w:rPr>
        <w:t>e, specifically in relation to small and medium-sized enterprises, experiences and practices that foster the sustainable use of biological resources that have been developed and implemented by Parties;</w:t>
      </w:r>
    </w:p>
    <w:p w14:paraId="6B9FB171" w14:textId="77777777" w:rsidR="00B53409" w:rsidRPr="00D90762" w:rsidRDefault="00B53409" w:rsidP="00B53409">
      <w:pPr>
        <w:pStyle w:val="Para1"/>
        <w:keepLines w:val="0"/>
        <w:numPr>
          <w:ilvl w:val="1"/>
          <w:numId w:val="30"/>
        </w:numPr>
        <w:tabs>
          <w:tab w:val="clear" w:pos="1440"/>
        </w:tabs>
        <w:suppressAutoHyphens/>
        <w:ind w:firstLine="760"/>
        <w:rPr>
          <w:rFonts w:ascii="Times" w:hAnsi="Times"/>
          <w:szCs w:val="22"/>
        </w:rPr>
      </w:pPr>
      <w:r w:rsidRPr="00D90762">
        <w:rPr>
          <w:rFonts w:ascii="Times" w:hAnsi="Times"/>
          <w:szCs w:val="22"/>
        </w:rPr>
        <w:t xml:space="preserve">Make </w:t>
      </w:r>
      <w:r>
        <w:rPr>
          <w:rFonts w:ascii="Times" w:hAnsi="Times"/>
          <w:szCs w:val="22"/>
        </w:rPr>
        <w:t xml:space="preserve">the </w:t>
      </w:r>
      <w:r w:rsidRPr="00D90762">
        <w:rPr>
          <w:rFonts w:ascii="Times" w:hAnsi="Times"/>
          <w:szCs w:val="22"/>
        </w:rPr>
        <w:t xml:space="preserve">information available </w:t>
      </w:r>
      <w:r>
        <w:rPr>
          <w:rFonts w:ascii="Times" w:hAnsi="Times"/>
          <w:szCs w:val="22"/>
        </w:rPr>
        <w:t>through the</w:t>
      </w:r>
      <w:r w:rsidRPr="00D90762">
        <w:rPr>
          <w:rFonts w:ascii="Times" w:hAnsi="Times"/>
          <w:szCs w:val="22"/>
        </w:rPr>
        <w:t xml:space="preserve"> clearing</w:t>
      </w:r>
      <w:r w:rsidRPr="00D90762">
        <w:rPr>
          <w:rFonts w:ascii="Times" w:hAnsi="Times"/>
          <w:szCs w:val="22"/>
        </w:rPr>
        <w:noBreakHyphen/>
        <w:t>house mechanism;</w:t>
      </w:r>
    </w:p>
    <w:p w14:paraId="686732CF" w14:textId="77777777" w:rsidR="00B53409" w:rsidRDefault="00B53409" w:rsidP="00B53409">
      <w:pPr>
        <w:pStyle w:val="Para1"/>
        <w:keepLines w:val="0"/>
        <w:numPr>
          <w:ilvl w:val="0"/>
          <w:numId w:val="31"/>
        </w:numPr>
        <w:tabs>
          <w:tab w:val="clear" w:pos="720"/>
        </w:tabs>
        <w:suppressAutoHyphens/>
        <w:ind w:left="0" w:firstLine="0"/>
        <w:rPr>
          <w:rFonts w:ascii="Times" w:hAnsi="Times"/>
          <w:szCs w:val="22"/>
        </w:rPr>
      </w:pPr>
      <w:r w:rsidRPr="00D90762">
        <w:rPr>
          <w:rFonts w:ascii="Times" w:hAnsi="Times"/>
          <w:szCs w:val="22"/>
        </w:rPr>
        <w:t>In collaboration with relevant organizations and initiatives, such as the Business and Biodiversity Offsets Programme (BBOP), compile and/or make available</w:t>
      </w:r>
      <w:r>
        <w:rPr>
          <w:rFonts w:ascii="Times" w:hAnsi="Times"/>
          <w:szCs w:val="22"/>
        </w:rPr>
        <w:t>:</w:t>
      </w:r>
      <w:r w:rsidRPr="00D90762">
        <w:rPr>
          <w:rFonts w:ascii="Times" w:hAnsi="Times"/>
          <w:szCs w:val="22"/>
        </w:rPr>
        <w:t xml:space="preserve"> (a) case</w:t>
      </w:r>
      <w:r>
        <w:rPr>
          <w:rFonts w:ascii="Times" w:hAnsi="Times"/>
          <w:szCs w:val="22"/>
        </w:rPr>
        <w:noBreakHyphen/>
      </w:r>
      <w:r w:rsidRPr="00D90762">
        <w:rPr>
          <w:rFonts w:ascii="Times" w:hAnsi="Times"/>
          <w:szCs w:val="22"/>
        </w:rPr>
        <w:t>studies</w:t>
      </w:r>
      <w:r>
        <w:rPr>
          <w:rFonts w:ascii="Times" w:hAnsi="Times"/>
          <w:szCs w:val="22"/>
        </w:rPr>
        <w:t>;</w:t>
      </w:r>
      <w:r w:rsidRPr="00D90762">
        <w:rPr>
          <w:rFonts w:ascii="Times" w:hAnsi="Times"/>
          <w:szCs w:val="22"/>
        </w:rPr>
        <w:t xml:space="preserve"> (b)</w:t>
      </w:r>
      <w:r>
        <w:rPr>
          <w:rFonts w:ascii="Times" w:hAnsi="Times"/>
          <w:szCs w:val="22"/>
        </w:rPr>
        <w:t> </w:t>
      </w:r>
      <w:r w:rsidRPr="00D90762">
        <w:rPr>
          <w:rFonts w:ascii="Times" w:hAnsi="Times"/>
          <w:szCs w:val="22"/>
        </w:rPr>
        <w:t>methodologies</w:t>
      </w:r>
      <w:r>
        <w:rPr>
          <w:rFonts w:ascii="Times" w:hAnsi="Times"/>
          <w:szCs w:val="22"/>
        </w:rPr>
        <w:t>;</w:t>
      </w:r>
      <w:r w:rsidRPr="00D90762">
        <w:rPr>
          <w:rFonts w:ascii="Times" w:hAnsi="Times"/>
          <w:szCs w:val="22"/>
        </w:rPr>
        <w:t xml:space="preserve"> tools and guidelines on biodiversity offsets</w:t>
      </w:r>
      <w:r>
        <w:rPr>
          <w:rFonts w:ascii="Times" w:hAnsi="Times"/>
          <w:szCs w:val="22"/>
        </w:rPr>
        <w:t>;</w:t>
      </w:r>
      <w:r w:rsidRPr="00D90762">
        <w:rPr>
          <w:rFonts w:ascii="Times" w:hAnsi="Times"/>
          <w:szCs w:val="22"/>
        </w:rPr>
        <w:t xml:space="preserve"> </w:t>
      </w:r>
      <w:r>
        <w:rPr>
          <w:rFonts w:ascii="Times" w:hAnsi="Times"/>
          <w:szCs w:val="22"/>
        </w:rPr>
        <w:t>and</w:t>
      </w:r>
      <w:r w:rsidRPr="00D90762">
        <w:rPr>
          <w:rFonts w:ascii="Times" w:hAnsi="Times"/>
          <w:szCs w:val="22"/>
        </w:rPr>
        <w:t xml:space="preserve"> (c) relevant national and regional policy frameworks</w:t>
      </w:r>
      <w:r>
        <w:rPr>
          <w:rFonts w:ascii="Times" w:hAnsi="Times"/>
          <w:szCs w:val="22"/>
        </w:rPr>
        <w:t>’</w:t>
      </w:r>
    </w:p>
    <w:p w14:paraId="5A152BA7" w14:textId="77777777" w:rsidR="00B53409" w:rsidRDefault="00B53409" w:rsidP="00B53409">
      <w:pPr>
        <w:pStyle w:val="Para1"/>
        <w:keepLines w:val="0"/>
        <w:numPr>
          <w:ilvl w:val="0"/>
          <w:numId w:val="31"/>
        </w:numPr>
        <w:tabs>
          <w:tab w:val="clear" w:pos="720"/>
        </w:tabs>
        <w:suppressAutoHyphens/>
        <w:ind w:left="0" w:firstLine="0"/>
        <w:rPr>
          <w:rFonts w:ascii="Times" w:hAnsi="Times"/>
          <w:szCs w:val="22"/>
        </w:rPr>
      </w:pPr>
      <w:r>
        <w:rPr>
          <w:rFonts w:ascii="Times" w:hAnsi="Times"/>
          <w:szCs w:val="22"/>
        </w:rPr>
        <w:t>Disseminate tools and best practice of companies involved in biotrade.</w:t>
      </w:r>
    </w:p>
    <w:p w14:paraId="79389A8E" w14:textId="77777777" w:rsidR="00B53409" w:rsidRPr="00D90762" w:rsidRDefault="00B53409" w:rsidP="00B53409">
      <w:pPr>
        <w:pStyle w:val="Para1"/>
        <w:keepLines w:val="0"/>
        <w:numPr>
          <w:ilvl w:val="0"/>
          <w:numId w:val="31"/>
        </w:numPr>
        <w:tabs>
          <w:tab w:val="clear" w:pos="720"/>
        </w:tabs>
        <w:suppressAutoHyphens/>
        <w:ind w:left="0" w:firstLine="0"/>
        <w:rPr>
          <w:rFonts w:ascii="Times" w:hAnsi="Times"/>
          <w:szCs w:val="22"/>
        </w:rPr>
      </w:pPr>
      <w:r w:rsidRPr="00D90762">
        <w:rPr>
          <w:rFonts w:ascii="Times" w:hAnsi="Times"/>
          <w:szCs w:val="22"/>
        </w:rPr>
        <w:t>Compil</w:t>
      </w:r>
      <w:r>
        <w:rPr>
          <w:rFonts w:ascii="Times" w:hAnsi="Times"/>
          <w:szCs w:val="22"/>
        </w:rPr>
        <w:t>e</w:t>
      </w:r>
      <w:r w:rsidRPr="00D90762">
        <w:rPr>
          <w:rFonts w:ascii="Times" w:hAnsi="Times"/>
          <w:szCs w:val="22"/>
        </w:rPr>
        <w:t xml:space="preserve"> and disseminat</w:t>
      </w:r>
      <w:r>
        <w:rPr>
          <w:rFonts w:ascii="Times" w:hAnsi="Times"/>
          <w:szCs w:val="22"/>
        </w:rPr>
        <w:t>e</w:t>
      </w:r>
      <w:r w:rsidRPr="00D90762">
        <w:rPr>
          <w:rFonts w:ascii="Times" w:hAnsi="Times"/>
          <w:szCs w:val="22"/>
        </w:rPr>
        <w:t xml:space="preserve">, including through the clearing-house mechanism and the </w:t>
      </w:r>
      <w:r>
        <w:rPr>
          <w:rFonts w:ascii="Times" w:hAnsi="Times"/>
          <w:szCs w:val="22"/>
        </w:rPr>
        <w:t>Convention’s</w:t>
      </w:r>
      <w:r w:rsidRPr="00D90762">
        <w:rPr>
          <w:rFonts w:ascii="Times" w:hAnsi="Times"/>
          <w:szCs w:val="22"/>
        </w:rPr>
        <w:t xml:space="preserve"> newsletter on business, information on procurement policies </w:t>
      </w:r>
      <w:r>
        <w:rPr>
          <w:rFonts w:ascii="Times" w:hAnsi="Times"/>
          <w:szCs w:val="22"/>
        </w:rPr>
        <w:t>that</w:t>
      </w:r>
      <w:r w:rsidRPr="00D90762">
        <w:rPr>
          <w:rFonts w:ascii="Times" w:hAnsi="Times"/>
          <w:szCs w:val="22"/>
        </w:rPr>
        <w:t xml:space="preserve"> are in line with the objectives of the Convention</w:t>
      </w:r>
      <w:r>
        <w:rPr>
          <w:rFonts w:ascii="Times" w:hAnsi="Times"/>
          <w:szCs w:val="22"/>
        </w:rPr>
        <w:t>.</w:t>
      </w:r>
      <w:bookmarkEnd w:id="0"/>
      <w:bookmarkEnd w:id="1"/>
      <w:bookmarkEnd w:id="2"/>
      <w:bookmarkEnd w:id="3"/>
    </w:p>
    <w:sectPr w:rsidR="00B53409" w:rsidRPr="00D90762" w:rsidSect="00995BB8">
      <w:footerReference w:type="even" r:id="rId17"/>
      <w:footerReference w:type="default"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B8AD" w14:textId="77777777" w:rsidR="00793166" w:rsidRDefault="00793166">
      <w:r>
        <w:separator/>
      </w:r>
    </w:p>
  </w:endnote>
  <w:endnote w:type="continuationSeparator" w:id="0">
    <w:p w14:paraId="188ED4C4" w14:textId="77777777" w:rsidR="00793166" w:rsidRDefault="00793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2C5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D27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7C32"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937B" w14:textId="77777777" w:rsidR="00B53409" w:rsidRDefault="00B53409" w:rsidP="00E00B3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69C6" w14:textId="77777777" w:rsidR="00B53409" w:rsidRDefault="00DB308D" w:rsidP="00E00B3B">
    <w:pPr>
      <w:pStyle w:val="Footer"/>
      <w:rPr>
        <w:szCs w:val="22"/>
      </w:rPr>
    </w:pPr>
    <w:r>
      <w:rPr>
        <w:noProof/>
        <w:szCs w:val="22"/>
      </w:rPr>
      <mc:AlternateContent>
        <mc:Choice Requires="wps">
          <w:drawing>
            <wp:anchor distT="0" distB="0" distL="114300" distR="114300" simplePos="0" relativeHeight="251657728" behindDoc="0" locked="0" layoutInCell="1" allowOverlap="1" wp14:anchorId="670E132B" wp14:editId="2202595A">
              <wp:simplePos x="0" y="0"/>
              <wp:positionH relativeFrom="column">
                <wp:posOffset>0</wp:posOffset>
              </wp:positionH>
              <wp:positionV relativeFrom="paragraph">
                <wp:posOffset>139065</wp:posOffset>
              </wp:positionV>
              <wp:extent cx="6019800" cy="457200"/>
              <wp:effectExtent l="12700" t="12700" r="12700" b="12700"/>
              <wp:wrapNone/>
              <wp:docPr id="65872730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45720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2A876B" w14:textId="77777777" w:rsidR="00B53409" w:rsidRPr="00E93EC3" w:rsidRDefault="00B53409" w:rsidP="00E00B3B">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E132B" id="Rectangle 3" o:spid="_x0000_s1026" style="position:absolute;left:0;text-align:left;margin-left:0;margin-top:10.95pt;width:474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" strokeweight="3pt">
              <v:path arrowok="t"/>
              <v:textbox inset="0,0,0,0">
                <w:txbxContent>
                  <w:p w14:paraId="4F2A876B" w14:textId="77777777" w:rsidR="00B53409" w:rsidRPr="00E93EC3" w:rsidRDefault="00B53409" w:rsidP="00E00B3B">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txbxContent>
              </v:textbox>
            </v:rect>
          </w:pict>
        </mc:Fallback>
      </mc:AlternateContent>
    </w:r>
    <w:r w:rsidR="00B53409">
      <w:rPr>
        <w:szCs w:val="22"/>
      </w:rPr>
      <w:t>/…</w:t>
    </w:r>
  </w:p>
  <w:p w14:paraId="7A7AC2F8" w14:textId="77777777" w:rsidR="00B53409" w:rsidRDefault="00B53409" w:rsidP="00E00B3B">
    <w:pPr>
      <w:pStyle w:val="Footer"/>
      <w:rPr>
        <w:szCs w:val="22"/>
      </w:rPr>
    </w:pPr>
  </w:p>
  <w:p w14:paraId="52968F77" w14:textId="77777777" w:rsidR="00B53409" w:rsidRPr="00D90762" w:rsidRDefault="00B53409" w:rsidP="00E00B3B">
    <w:pPr>
      <w:pStyle w:val="Footer"/>
      <w:rPr>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8AD0" w14:textId="77777777" w:rsidR="0020504B" w:rsidRPr="0020504B" w:rsidRDefault="0020504B" w:rsidP="0020504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745E"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975DF" w14:textId="77777777" w:rsidR="00793166" w:rsidRDefault="00793166">
      <w:r>
        <w:separator/>
      </w:r>
    </w:p>
  </w:footnote>
  <w:footnote w:type="continuationSeparator" w:id="0">
    <w:p w14:paraId="334E7EA5" w14:textId="77777777" w:rsidR="00793166" w:rsidRDefault="00793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921C" w14:textId="77777777" w:rsidR="00622C68" w:rsidRDefault="00622C68">
    <w:pPr>
      <w:pStyle w:val="Header"/>
    </w:pPr>
    <w:r>
      <w:t>UNEP/CBD/COP/DEC/IX/</w:t>
    </w:r>
    <w:r w:rsidR="00B53409">
      <w:t>26</w:t>
    </w:r>
  </w:p>
  <w:p w14:paraId="33C9184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3E1993">
      <w:rPr>
        <w:noProof/>
      </w:rPr>
      <w:t>2</w:t>
    </w:r>
    <w:r w:rsidRPr="0067729E">
      <w:fldChar w:fldCharType="end"/>
    </w:r>
  </w:p>
  <w:p w14:paraId="44B47EE2"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67BF" w14:textId="77777777" w:rsidR="003600D1" w:rsidRDefault="003600D1" w:rsidP="00F1275C">
    <w:pPr>
      <w:pStyle w:val="Header"/>
      <w:ind w:left="6490"/>
    </w:pPr>
    <w:r>
      <w:t>UNEP/CBD/COP/DEC/IX/</w:t>
    </w:r>
    <w:r w:rsidR="00F1275C">
      <w:t>15</w:t>
    </w:r>
  </w:p>
  <w:p w14:paraId="2013B938"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B53409">
      <w:rPr>
        <w:noProof/>
      </w:rPr>
      <w:t>3</w:t>
    </w:r>
    <w:r w:rsidRPr="0067729E">
      <w:fldChar w:fldCharType="end"/>
    </w:r>
  </w:p>
  <w:p w14:paraId="2FB560FA"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3472219"/>
    <w:multiLevelType w:val="hybridMultilevel"/>
    <w:tmpl w:val="77768D3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5"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72660FFF"/>
    <w:multiLevelType w:val="hybridMultilevel"/>
    <w:tmpl w:val="2C0E79E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0" w:firstLine="720"/>
      </w:pPr>
      <w:rPr>
        <w:rFonts w:hint="default"/>
        <w:i w:val="0"/>
      </w:rPr>
    </w:lvl>
    <w:lvl w:ilvl="2" w:tplc="FFFFFFFF">
      <w:start w:val="1"/>
      <w:numFmt w:val="decimal"/>
      <w:lvlText w:val="%3."/>
      <w:lvlJc w:val="left"/>
      <w:pPr>
        <w:tabs>
          <w:tab w:val="num" w:pos="2340"/>
        </w:tabs>
        <w:ind w:left="2340" w:hanging="36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033112882">
    <w:abstractNumId w:val="8"/>
  </w:num>
  <w:num w:numId="2" w16cid:durableId="1873375950">
    <w:abstractNumId w:val="13"/>
  </w:num>
  <w:num w:numId="3" w16cid:durableId="148983503">
    <w:abstractNumId w:val="9"/>
  </w:num>
  <w:num w:numId="4" w16cid:durableId="664478593">
    <w:abstractNumId w:val="16"/>
  </w:num>
  <w:num w:numId="5" w16cid:durableId="1267928794">
    <w:abstractNumId w:val="18"/>
  </w:num>
  <w:num w:numId="6" w16cid:durableId="2016882150">
    <w:abstractNumId w:val="0"/>
  </w:num>
  <w:num w:numId="7" w16cid:durableId="380445024">
    <w:abstractNumId w:val="23"/>
  </w:num>
  <w:num w:numId="8" w16cid:durableId="270284167">
    <w:abstractNumId w:val="11"/>
  </w:num>
  <w:num w:numId="9" w16cid:durableId="1157571481">
    <w:abstractNumId w:val="12"/>
  </w:num>
  <w:num w:numId="10" w16cid:durableId="1451238608">
    <w:abstractNumId w:val="24"/>
  </w:num>
  <w:num w:numId="11" w16cid:durableId="1886865783">
    <w:abstractNumId w:val="10"/>
  </w:num>
  <w:num w:numId="12" w16cid:durableId="812596485">
    <w:abstractNumId w:val="4"/>
  </w:num>
  <w:num w:numId="13" w16cid:durableId="651716177">
    <w:abstractNumId w:val="12"/>
  </w:num>
  <w:num w:numId="14" w16cid:durableId="2032871235">
    <w:abstractNumId w:val="14"/>
  </w:num>
  <w:num w:numId="15" w16cid:durableId="2030329722">
    <w:abstractNumId w:val="2"/>
  </w:num>
  <w:num w:numId="16" w16cid:durableId="106242469">
    <w:abstractNumId w:val="19"/>
  </w:num>
  <w:num w:numId="17" w16cid:durableId="2033411570">
    <w:abstractNumId w:val="17"/>
  </w:num>
  <w:num w:numId="18" w16cid:durableId="9607653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6441608">
    <w:abstractNumId w:val="25"/>
  </w:num>
  <w:num w:numId="20" w16cid:durableId="1527018017">
    <w:abstractNumId w:val="30"/>
  </w:num>
  <w:num w:numId="21" w16cid:durableId="963728142">
    <w:abstractNumId w:val="20"/>
  </w:num>
  <w:num w:numId="22" w16cid:durableId="38629612">
    <w:abstractNumId w:val="26"/>
  </w:num>
  <w:num w:numId="23" w16cid:durableId="1716152718">
    <w:abstractNumId w:val="28"/>
  </w:num>
  <w:num w:numId="24" w16cid:durableId="1034576466">
    <w:abstractNumId w:val="22"/>
  </w:num>
  <w:num w:numId="25" w16cid:durableId="1012684174">
    <w:abstractNumId w:val="7"/>
  </w:num>
  <w:num w:numId="26" w16cid:durableId="1694108625">
    <w:abstractNumId w:val="3"/>
  </w:num>
  <w:num w:numId="27" w16cid:durableId="250117600">
    <w:abstractNumId w:val="15"/>
  </w:num>
  <w:num w:numId="28" w16cid:durableId="1326863417">
    <w:abstractNumId w:val="27"/>
  </w:num>
  <w:num w:numId="29" w16cid:durableId="1635866694">
    <w:abstractNumId w:val="21"/>
  </w:num>
  <w:num w:numId="30" w16cid:durableId="1311207709">
    <w:abstractNumId w:val="29"/>
  </w:num>
  <w:num w:numId="31" w16cid:durableId="768501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E1993"/>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E52E2"/>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166"/>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53409"/>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308D"/>
    <w:rsid w:val="00DB429B"/>
    <w:rsid w:val="00DB79FC"/>
    <w:rsid w:val="00DC38F8"/>
    <w:rsid w:val="00DC4473"/>
    <w:rsid w:val="00DC5EF2"/>
    <w:rsid w:val="00DC65E1"/>
    <w:rsid w:val="00DE3C71"/>
    <w:rsid w:val="00DE7D63"/>
    <w:rsid w:val="00E00A37"/>
    <w:rsid w:val="00E00B3B"/>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8F8B0"/>
  <w15:chartTrackingRefBased/>
  <w15:docId w15:val="{48A8A07F-D234-5B4B-B117-F6E4C1B5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