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62C74C9" w14:textId="77777777">
        <w:tblPrEx>
          <w:tblCellMar>
            <w:top w:w="0" w:type="dxa"/>
            <w:bottom w:w="0" w:type="dxa"/>
          </w:tblCellMar>
        </w:tblPrEx>
        <w:trPr>
          <w:gridBefore w:val="1"/>
          <w:wBefore w:w="16" w:type="dxa"/>
        </w:trPr>
        <w:tc>
          <w:tcPr>
            <w:tcW w:w="1326" w:type="dxa"/>
            <w:tcBorders>
              <w:bottom w:val="single" w:sz="12" w:space="0" w:color="000000"/>
            </w:tcBorders>
          </w:tcPr>
          <w:p w14:paraId="62F448B6" w14:textId="77777777" w:rsidR="00897705" w:rsidRDefault="0079666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EC9FF72" wp14:editId="747C015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0966314" w14:textId="77777777" w:rsidR="00897705" w:rsidRDefault="00796665">
            <w:r>
              <w:rPr>
                <w:noProof/>
                <w:sz w:val="20"/>
              </w:rPr>
              <w:drawing>
                <wp:anchor distT="0" distB="0" distL="114300" distR="114300" simplePos="0" relativeHeight="251657216" behindDoc="0" locked="1" layoutInCell="1" allowOverlap="0" wp14:anchorId="725B7B2A" wp14:editId="58A6078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463E4DC" w14:textId="77777777" w:rsidR="00897705" w:rsidRPr="00D56F36" w:rsidRDefault="00897705">
            <w:pPr>
              <w:jc w:val="right"/>
              <w:rPr>
                <w:rFonts w:ascii="Univers" w:hAnsi="Univers"/>
                <w:b/>
                <w:sz w:val="32"/>
              </w:rPr>
            </w:pPr>
            <w:r w:rsidRPr="00D56F36">
              <w:rPr>
                <w:rFonts w:ascii="Univers" w:hAnsi="Univers"/>
                <w:b/>
                <w:sz w:val="32"/>
              </w:rPr>
              <w:t>CBD</w:t>
            </w:r>
          </w:p>
          <w:p w14:paraId="774FA9A7" w14:textId="77777777" w:rsidR="00897705" w:rsidRPr="00F849C4" w:rsidRDefault="00897705" w:rsidP="00F23A65">
            <w:pPr>
              <w:jc w:val="center"/>
              <w:rPr>
                <w:rFonts w:ascii="Univers" w:hAnsi="Univers"/>
                <w:b/>
                <w:i/>
                <w:sz w:val="32"/>
              </w:rPr>
            </w:pPr>
          </w:p>
        </w:tc>
      </w:tr>
      <w:tr w:rsidR="00897705" w14:paraId="2DDC7523" w14:textId="77777777">
        <w:tblPrEx>
          <w:tblCellMar>
            <w:top w:w="0" w:type="dxa"/>
            <w:bottom w:w="0" w:type="dxa"/>
          </w:tblCellMar>
        </w:tblPrEx>
        <w:trPr>
          <w:cantSplit/>
          <w:trHeight w:val="1693"/>
        </w:trPr>
        <w:tc>
          <w:tcPr>
            <w:tcW w:w="6629" w:type="dxa"/>
            <w:gridSpan w:val="4"/>
            <w:tcBorders>
              <w:bottom w:val="single" w:sz="36" w:space="0" w:color="000000"/>
            </w:tcBorders>
          </w:tcPr>
          <w:p w14:paraId="32892C4C" w14:textId="77777777" w:rsidR="00897705" w:rsidRPr="00F849C4" w:rsidRDefault="00796665">
            <w:pPr>
              <w:ind w:right="1422"/>
              <w:rPr>
                <w:i/>
              </w:rPr>
            </w:pPr>
            <w:r w:rsidRPr="00F849C4">
              <w:rPr>
                <w:i/>
                <w:noProof/>
              </w:rPr>
              <w:drawing>
                <wp:inline distT="0" distB="0" distL="0" distR="0" wp14:anchorId="67A8C9D1" wp14:editId="515351F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3751AF4" w14:textId="77777777" w:rsidR="00897705" w:rsidRPr="00507938" w:rsidRDefault="00897705">
            <w:r w:rsidRPr="00507938">
              <w:t>Distr.</w:t>
            </w:r>
          </w:p>
          <w:p w14:paraId="4E97D716" w14:textId="77777777" w:rsidR="00897705" w:rsidRPr="00507938" w:rsidRDefault="00897705">
            <w:r w:rsidRPr="00507938">
              <w:t>GENERAL</w:t>
            </w:r>
          </w:p>
          <w:p w14:paraId="322335AB" w14:textId="77777777" w:rsidR="00897705" w:rsidRPr="00507938" w:rsidRDefault="00897705"/>
          <w:p w14:paraId="0BCEB053" w14:textId="77777777" w:rsidR="0020504B" w:rsidRPr="00507938" w:rsidRDefault="00897705">
            <w:r w:rsidRPr="00507938">
              <w:t>UNEP/CBD/COP/</w:t>
            </w:r>
            <w:r w:rsidR="00754AC7">
              <w:t>DEC/IX/</w:t>
            </w:r>
            <w:r w:rsidR="00414F4C">
              <w:t>35</w:t>
            </w:r>
          </w:p>
          <w:p w14:paraId="134F1368" w14:textId="77777777" w:rsidR="00897705" w:rsidRDefault="003B05AF">
            <w:r>
              <w:t xml:space="preserve">9 October </w:t>
            </w:r>
            <w:r w:rsidR="00920DEF">
              <w:t>2008</w:t>
            </w:r>
          </w:p>
          <w:p w14:paraId="5BA8398C" w14:textId="77777777" w:rsidR="00920DEF" w:rsidRPr="00507938" w:rsidRDefault="00920DEF"/>
          <w:p w14:paraId="5FB4959C" w14:textId="77777777" w:rsidR="00897705" w:rsidRPr="00507938" w:rsidRDefault="00897705">
            <w:r w:rsidRPr="00507938">
              <w:t>ORIGINAL:  ENGLISH</w:t>
            </w:r>
          </w:p>
        </w:tc>
      </w:tr>
    </w:tbl>
    <w:p w14:paraId="7D869607" w14:textId="77777777" w:rsidR="00897705" w:rsidRDefault="00897705">
      <w:pPr>
        <w:pStyle w:val="Cornernotation"/>
      </w:pPr>
      <w:r>
        <w:t>CONFERENCE OF THE PARTIES TO THE CONVENTION ON BIOLOGICAL DIVERSITY</w:t>
      </w:r>
    </w:p>
    <w:p w14:paraId="2F369456" w14:textId="77777777" w:rsidR="00897705" w:rsidRDefault="00897705">
      <w:pPr>
        <w:pStyle w:val="Cornernotation"/>
      </w:pPr>
      <w:r>
        <w:t>Ninth meeting</w:t>
      </w:r>
    </w:p>
    <w:p w14:paraId="5BE58294" w14:textId="77777777" w:rsidR="009D0896" w:rsidRDefault="00897705">
      <w:pPr>
        <w:pStyle w:val="Cornernotation"/>
        <w:ind w:right="3973"/>
      </w:pPr>
      <w:r>
        <w:t>Bonn, 19–30 May 2008</w:t>
      </w:r>
    </w:p>
    <w:p w14:paraId="0ECF51B8" w14:textId="77777777" w:rsidR="0020504B" w:rsidRDefault="00414F4C">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2</w:t>
      </w:r>
    </w:p>
    <w:p w14:paraId="427EAD2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10C66D12" w14:textId="77777777" w:rsidR="00414F4C" w:rsidRPr="00A31B85" w:rsidRDefault="00414F4C" w:rsidP="00414F4C">
      <w:pPr>
        <w:pStyle w:val="Decision"/>
        <w:rPr>
          <w:caps w:val="0"/>
        </w:rPr>
      </w:pPr>
      <w:bookmarkStart w:id="4" w:name="_Toc201733872"/>
      <w:bookmarkStart w:id="5" w:name="_Toc201736249"/>
      <w:r w:rsidRPr="00A31B85">
        <w:rPr>
          <w:caps w:val="0"/>
          <w:szCs w:val="22"/>
        </w:rPr>
        <w:t>IX/35.</w:t>
      </w:r>
      <w:r w:rsidRPr="00A31B85">
        <w:rPr>
          <w:caps w:val="0"/>
          <w:szCs w:val="22"/>
        </w:rPr>
        <w:tab/>
      </w:r>
      <w:r w:rsidRPr="00A31B85">
        <w:rPr>
          <w:caps w:val="0"/>
        </w:rPr>
        <w:t>Date and venue of the tenth meeting of the Conference of the Parties</w:t>
      </w:r>
      <w:bookmarkEnd w:id="4"/>
      <w:bookmarkEnd w:id="5"/>
    </w:p>
    <w:p w14:paraId="2752F739" w14:textId="77777777" w:rsidR="00414F4C" w:rsidRPr="00BD535A" w:rsidRDefault="00414F4C" w:rsidP="00414F4C">
      <w:pPr>
        <w:pStyle w:val="BodyText"/>
        <w:rPr>
          <w:rFonts w:ascii="Arial" w:hAnsi="Arial"/>
        </w:rPr>
      </w:pPr>
      <w:r w:rsidRPr="00BD535A">
        <w:rPr>
          <w:rStyle w:val="Emphasis"/>
          <w:color w:val="000000"/>
          <w:sz w:val="24"/>
        </w:rPr>
        <w:t>The Conference of the Parties to the Convention on Biological Diversity</w:t>
      </w:r>
    </w:p>
    <w:p w14:paraId="34E31B93" w14:textId="77777777" w:rsidR="00414F4C" w:rsidRDefault="00414F4C" w:rsidP="00414F4C">
      <w:pPr>
        <w:pStyle w:val="BodyText"/>
        <w:rPr>
          <w:rFonts w:ascii="Arial Unicode MS" w:hAnsi="Arial Unicode MS"/>
        </w:rPr>
      </w:pPr>
      <w:r>
        <w:t>1.</w:t>
      </w:r>
      <w:r>
        <w:tab/>
      </w:r>
      <w:r>
        <w:rPr>
          <w:i/>
        </w:rPr>
        <w:t xml:space="preserve">Welcomes </w:t>
      </w:r>
      <w:r>
        <w:t>the generous offer of the Government of Japan to host the fifth meeting of the Conference of the Parties serving as the meeting of the Parties to the Cartagena Protocol on Biosafety and the tenth meeting of the Conference of the Parties to the Convention on Biological Diversity;</w:t>
      </w:r>
    </w:p>
    <w:p w14:paraId="07A5B664" w14:textId="77777777" w:rsidR="00414F4C" w:rsidRDefault="00414F4C" w:rsidP="00414F4C">
      <w:pPr>
        <w:pStyle w:val="BodyText"/>
      </w:pPr>
      <w:r>
        <w:t>2.</w:t>
      </w:r>
      <w:r>
        <w:tab/>
      </w:r>
      <w:r>
        <w:rPr>
          <w:i/>
        </w:rPr>
        <w:t>Decides</w:t>
      </w:r>
      <w:r>
        <w:t xml:space="preserve"> that the fifth meeting of the Conference of the Parties serving as the meeting of the Parties to the Cartagena Protocol on Biosafety and the tenth meeting of the Parties to the Convention on Biological Diversity will be held in the City of Nagoya, </w:t>
      </w:r>
      <w:r w:rsidRPr="009816B8">
        <w:rPr>
          <w:szCs w:val="22"/>
          <w:lang w:val="en-US"/>
        </w:rPr>
        <w:t>Aichi Prefecture,</w:t>
      </w:r>
      <w:r w:rsidRPr="009816B8">
        <w:rPr>
          <w:sz w:val="20"/>
          <w:lang w:val="en-US"/>
        </w:rPr>
        <w:t xml:space="preserve"> </w:t>
      </w:r>
      <w:r>
        <w:t>Japan, from 11 to 15 October and 18 to 29 October 2010, respectively, and that the high level segment will be held on 27-29 October 2010;</w:t>
      </w:r>
    </w:p>
    <w:p w14:paraId="7B52C196" w14:textId="77777777" w:rsidR="00414F4C" w:rsidRDefault="00414F4C" w:rsidP="00414F4C">
      <w:pPr>
        <w:pStyle w:val="BodyText"/>
      </w:pPr>
      <w:r>
        <w:t>3.</w:t>
      </w:r>
      <w:r>
        <w:tab/>
      </w:r>
      <w:r>
        <w:rPr>
          <w:i/>
        </w:rPr>
        <w:t>Calls</w:t>
      </w:r>
      <w:r>
        <w:t xml:space="preserve"> </w:t>
      </w:r>
      <w:r>
        <w:rPr>
          <w:i/>
        </w:rPr>
        <w:t>on</w:t>
      </w:r>
      <w:r>
        <w:t xml:space="preserve"> Parties to contribute to the Special Voluntary Trust Fund for Facilitating Participation of Parties in the Convention Process (BZ) and to the Special Voluntary Trust Fund for Facilitating Participation of Parties in the Protocol (BI) adequate resources in a timely manner to ensure the full participation of developing country Parties, in particular the least developed countries and small island developing States among them, as well as Parties with economies in transition;</w:t>
      </w:r>
    </w:p>
    <w:p w14:paraId="30D99E97" w14:textId="77777777" w:rsidR="00414F4C" w:rsidRDefault="00414F4C" w:rsidP="00414F4C">
      <w:pPr>
        <w:pStyle w:val="BodyText"/>
      </w:pPr>
      <w:r>
        <w:t>4.</w:t>
      </w:r>
      <w:r>
        <w:tab/>
      </w:r>
      <w:r>
        <w:rPr>
          <w:i/>
        </w:rPr>
        <w:t>Invites</w:t>
      </w:r>
      <w:r>
        <w:t xml:space="preserve"> interested Parties to notify the Executive Secretary of their offers to host the eleventh meeting of the Conference of the Parties as soon as possible.</w:t>
      </w:r>
    </w:p>
    <w:p w14:paraId="27A5CD84"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7A0A" w14:textId="77777777" w:rsidR="009872E5" w:rsidRDefault="009872E5">
      <w:r>
        <w:separator/>
      </w:r>
    </w:p>
  </w:endnote>
  <w:endnote w:type="continuationSeparator" w:id="0">
    <w:p w14:paraId="7F8138E8" w14:textId="77777777" w:rsidR="009872E5" w:rsidRDefault="00987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E4FD"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174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FCEF"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541D"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BA02"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9A8E" w14:textId="77777777" w:rsidR="009872E5" w:rsidRDefault="009872E5">
      <w:r>
        <w:separator/>
      </w:r>
    </w:p>
  </w:footnote>
  <w:footnote w:type="continuationSeparator" w:id="0">
    <w:p w14:paraId="2BFBE6BB" w14:textId="77777777" w:rsidR="009872E5" w:rsidRDefault="00987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649C" w14:textId="77777777" w:rsidR="00622C68" w:rsidRDefault="00622C68">
    <w:pPr>
      <w:pStyle w:val="Header"/>
    </w:pPr>
    <w:r>
      <w:t>UNEP/CBD/COP/DEC/IX/</w:t>
    </w:r>
    <w:r w:rsidR="00455B8E">
      <w:t>10</w:t>
    </w:r>
  </w:p>
  <w:p w14:paraId="3984774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55B8E">
      <w:rPr>
        <w:noProof/>
      </w:rPr>
      <w:t>2</w:t>
    </w:r>
    <w:r w:rsidRPr="0067729E">
      <w:fldChar w:fldCharType="end"/>
    </w:r>
  </w:p>
  <w:p w14:paraId="29E0F15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3D4E" w14:textId="77777777" w:rsidR="003600D1" w:rsidRDefault="003600D1" w:rsidP="00F1275C">
    <w:pPr>
      <w:pStyle w:val="Header"/>
      <w:ind w:left="6490"/>
    </w:pPr>
    <w:r>
      <w:t>UNEP/CBD/COP/DEC/IX/</w:t>
    </w:r>
    <w:r w:rsidR="00F1275C">
      <w:t>15</w:t>
    </w:r>
  </w:p>
  <w:p w14:paraId="3DFE9042"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69F1134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591743362">
    <w:abstractNumId w:val="7"/>
  </w:num>
  <w:num w:numId="2" w16cid:durableId="1185245122">
    <w:abstractNumId w:val="12"/>
  </w:num>
  <w:num w:numId="3" w16cid:durableId="948007512">
    <w:abstractNumId w:val="8"/>
  </w:num>
  <w:num w:numId="4" w16cid:durableId="1746146395">
    <w:abstractNumId w:val="15"/>
  </w:num>
  <w:num w:numId="5" w16cid:durableId="197399366">
    <w:abstractNumId w:val="17"/>
  </w:num>
  <w:num w:numId="6" w16cid:durableId="574820452">
    <w:abstractNumId w:val="0"/>
  </w:num>
  <w:num w:numId="7" w16cid:durableId="2030833088">
    <w:abstractNumId w:val="22"/>
  </w:num>
  <w:num w:numId="8" w16cid:durableId="652413292">
    <w:abstractNumId w:val="10"/>
  </w:num>
  <w:num w:numId="9" w16cid:durableId="592980799">
    <w:abstractNumId w:val="11"/>
  </w:num>
  <w:num w:numId="10" w16cid:durableId="1217200404">
    <w:abstractNumId w:val="23"/>
  </w:num>
  <w:num w:numId="11" w16cid:durableId="45036667">
    <w:abstractNumId w:val="9"/>
  </w:num>
  <w:num w:numId="12" w16cid:durableId="184757644">
    <w:abstractNumId w:val="4"/>
  </w:num>
  <w:num w:numId="13" w16cid:durableId="545068695">
    <w:abstractNumId w:val="11"/>
  </w:num>
  <w:num w:numId="14" w16cid:durableId="1307586601">
    <w:abstractNumId w:val="13"/>
  </w:num>
  <w:num w:numId="15" w16cid:durableId="1438334985">
    <w:abstractNumId w:val="2"/>
  </w:num>
  <w:num w:numId="16" w16cid:durableId="1452673201">
    <w:abstractNumId w:val="18"/>
  </w:num>
  <w:num w:numId="17" w16cid:durableId="263541159">
    <w:abstractNumId w:val="16"/>
  </w:num>
  <w:num w:numId="18" w16cid:durableId="8458255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2314484">
    <w:abstractNumId w:val="24"/>
  </w:num>
  <w:num w:numId="20" w16cid:durableId="217978275">
    <w:abstractNumId w:val="28"/>
  </w:num>
  <w:num w:numId="21" w16cid:durableId="806627186">
    <w:abstractNumId w:val="19"/>
  </w:num>
  <w:num w:numId="22" w16cid:durableId="218134035">
    <w:abstractNumId w:val="25"/>
  </w:num>
  <w:num w:numId="23" w16cid:durableId="263880067">
    <w:abstractNumId w:val="27"/>
  </w:num>
  <w:num w:numId="24" w16cid:durableId="1682315867">
    <w:abstractNumId w:val="21"/>
  </w:num>
  <w:num w:numId="25" w16cid:durableId="1009865029">
    <w:abstractNumId w:val="6"/>
  </w:num>
  <w:num w:numId="26" w16cid:durableId="352920442">
    <w:abstractNumId w:val="3"/>
  </w:num>
  <w:num w:numId="27" w16cid:durableId="1045758930">
    <w:abstractNumId w:val="14"/>
  </w:num>
  <w:num w:numId="28" w16cid:durableId="1366833965">
    <w:abstractNumId w:val="26"/>
  </w:num>
  <w:num w:numId="29" w16cid:durableId="19831921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05AF"/>
    <w:rsid w:val="003B2638"/>
    <w:rsid w:val="003C134A"/>
    <w:rsid w:val="003F710F"/>
    <w:rsid w:val="004051C5"/>
    <w:rsid w:val="00412045"/>
    <w:rsid w:val="00414F4C"/>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C099D"/>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96665"/>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2E5"/>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005D"/>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AADB0"/>
  <w15:chartTrackingRefBased/>
  <w15:docId w15:val="{BC468368-703E-CE47-BFCD-273504A9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