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6C814">
      <w:pPr>
        <w:spacing w:before="0" w:after="0" w:line="720" w:lineRule="exact"/>
        <w:jc w:val="center"/>
      </w:pPr>
      <w:r>
        <w:rPr>
          <w:rFonts w:ascii="Times New Roman" w:hAnsi="Times New Roman" w:eastAsia="宋体"/>
          <w:b/>
          <w:sz w:val="44"/>
        </w:rPr>
        <w:t>工器具管理系统·微信小程序化与上云扩容项目方案报告</w:t>
      </w:r>
    </w:p>
    <w:p w14:paraId="2F7F7DD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sz w:val="32"/>
        </w:rPr>
        <w:t>一、项目背景</w:t>
      </w:r>
    </w:p>
    <w:p w14:paraId="4361511A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当前，部门内各区的工具、备件、消耗品管理仍以传统手工登记台账为主，存在登记繁琐、查找困难、过程不可追溯等问题。本项目拟在现有工器具管理系统基础上，将移动端入口升级为微信小程序，并对服务器与存储进行上云扩容，推动管理从手工台账走向数字化、从单点操作走向全流程闭环、从 PC 使用走向移动可扫，实现"统一管理、降本增效、全程可溯"三大价值。</w:t>
      </w:r>
    </w:p>
    <w:p w14:paraId="04392B3E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（一）业务主线</w:t>
      </w:r>
    </w:p>
    <w:p w14:paraId="6DA6921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以"数字化台账 + 全流程扫码"替代传统手工登记台账，覆盖工具、备件、消耗品的领用、归还、盘点和审批全生命周期，所有操作全程留痕、可追溯。</w:t>
      </w:r>
    </w:p>
    <w:p w14:paraId="65CB98D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（二）核心业务域</w:t>
      </w:r>
    </w:p>
    <w:p w14:paraId="3D9ED038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1.基础台账：工具、备件、消耗品数字化台账，支持分类编码查询；</w:t>
      </w:r>
    </w:p>
    <w:p w14:paraId="4D74377C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2.领用流程：购物车→工单→主管审批→出库→归还清单→归还/关闭闭环；</w:t>
      </w:r>
    </w:p>
    <w:p w14:paraId="2A709C2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3.盘点管理：创建盘点单→扫码录入实盘数→完成落账三阶段；</w:t>
      </w:r>
    </w:p>
    <w:p w14:paraId="6E011DB0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4.库位与流水：仓库→货架→货位三级库位管理，全量库存流水追溯；</w:t>
      </w:r>
    </w:p>
    <w:p w14:paraId="1DD47975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5.工具箱管理：装箱/拆箱、条形码管理、统一扫码。</w:t>
      </w:r>
    </w:p>
    <w:p w14:paraId="0D8624A9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sz w:val="32"/>
        </w:rPr>
        <w:t>二、项目现状</w:t>
      </w:r>
    </w:p>
    <w:p w14:paraId="71E631A7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（一）系统现状</w:t>
      </w:r>
    </w:p>
    <w:p w14:paraId="3C6811FC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现有系统已完成开发并投入使用：</w:t>
      </w:r>
    </w:p>
    <w:p w14:paraId="4387ADBB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1.后端基于成熟的 Node.js 技术栈，支持多进程稳定运行；</w:t>
      </w:r>
    </w:p>
    <w:p w14:paraId="017D61F7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2.已具备 PC 端与手机网页端双端形态，业务功能覆盖完整；</w:t>
      </w:r>
    </w:p>
    <w:p w14:paraId="137921F8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3.数据与图片存储于</w:t>
      </w:r>
      <w:r>
        <w:rPr>
          <w:rFonts w:hint="eastAsia" w:ascii="Times New Roman" w:hAnsi="Times New Roman" w:eastAsia="仿宋_GB2312"/>
          <w:sz w:val="32"/>
          <w:lang w:val="en-US" w:eastAsia="zh-CN"/>
        </w:rPr>
        <w:t>云端</w:t>
      </w:r>
      <w:r>
        <w:rPr>
          <w:rFonts w:ascii="Times New Roman" w:hAnsi="Times New Roman" w:eastAsia="仿宋_GB2312"/>
          <w:sz w:val="32"/>
        </w:rPr>
        <w:t>，配有</w:t>
      </w:r>
      <w:r>
        <w:rPr>
          <w:rFonts w:hint="eastAsia" w:ascii="Times New Roman" w:hAnsi="Times New Roman" w:eastAsia="仿宋_GB2312"/>
          <w:sz w:val="32"/>
          <w:lang w:val="en-US" w:eastAsia="zh-CN"/>
        </w:rPr>
        <w:t>定期</w:t>
      </w:r>
      <w:r>
        <w:rPr>
          <w:rFonts w:ascii="Times New Roman" w:hAnsi="Times New Roman" w:eastAsia="仿宋_GB2312"/>
          <w:sz w:val="32"/>
        </w:rPr>
        <w:t>备份机制；</w:t>
      </w:r>
    </w:p>
    <w:p w14:paraId="7D1FA1A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4.生产环境已部署上线。</w:t>
      </w:r>
    </w:p>
    <w:p w14:paraId="3C71E34F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（二）手机网页版的主要劣势</w:t>
      </w:r>
    </w:p>
    <w:p w14:paraId="53B9AB1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手机网页版虽已可用，但受限于浏览器形态，制约现场使用：</w:t>
      </w:r>
    </w:p>
    <w:p w14:paraId="5AEE17B4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1.扫码能力弱且不稳定：浏览器授权受限、弱光环境识别差，无法调用</w:t>
      </w:r>
      <w:r>
        <w:rPr>
          <w:rFonts w:hint="eastAsia" w:ascii="Times New Roman" w:hAnsi="Times New Roman" w:eastAsia="仿宋_GB2312"/>
          <w:sz w:val="32"/>
          <w:lang w:val="en-US" w:eastAsia="zh-CN"/>
        </w:rPr>
        <w:t>手机</w:t>
      </w:r>
      <w:r>
        <w:rPr>
          <w:rFonts w:ascii="Times New Roman" w:hAnsi="Times New Roman" w:eastAsia="仿宋_GB2312"/>
          <w:sz w:val="32"/>
        </w:rPr>
        <w:t>原生扫码，直接影响现场作业效率；</w:t>
      </w:r>
    </w:p>
    <w:p w14:paraId="7E434697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2.无统一入口：</w:t>
      </w:r>
      <w:r>
        <w:rPr>
          <w:rFonts w:hint="eastAsia" w:ascii="Times New Roman" w:hAnsi="Times New Roman" w:eastAsia="仿宋_GB2312"/>
          <w:sz w:val="32"/>
          <w:lang w:val="en-US" w:eastAsia="zh-CN"/>
        </w:rPr>
        <w:t>每次使用</w:t>
      </w:r>
      <w:r>
        <w:rPr>
          <w:rFonts w:ascii="Times New Roman" w:hAnsi="Times New Roman" w:eastAsia="仿宋_GB2312"/>
          <w:sz w:val="32"/>
        </w:rPr>
        <w:t>需手动输入网址访问，</w:t>
      </w:r>
      <w:r>
        <w:rPr>
          <w:rFonts w:hint="eastAsia" w:ascii="Times New Roman" w:hAnsi="Times New Roman" w:eastAsia="仿宋_GB2312"/>
          <w:sz w:val="32"/>
          <w:lang w:val="en-US" w:eastAsia="zh-CN"/>
        </w:rPr>
        <w:t>登录系统</w:t>
      </w:r>
      <w:r>
        <w:rPr>
          <w:rFonts w:ascii="Times New Roman" w:hAnsi="Times New Roman" w:eastAsia="仿宋_GB2312"/>
          <w:sz w:val="32"/>
        </w:rPr>
        <w:t>体验</w:t>
      </w:r>
      <w:r>
        <w:rPr>
          <w:rFonts w:hint="eastAsia" w:ascii="Times New Roman" w:hAnsi="Times New Roman" w:eastAsia="仿宋_GB2312"/>
          <w:sz w:val="32"/>
          <w:lang w:val="en-US" w:eastAsia="zh-CN"/>
        </w:rPr>
        <w:t>差</w:t>
      </w:r>
      <w:r>
        <w:rPr>
          <w:rFonts w:ascii="Times New Roman" w:hAnsi="Times New Roman" w:eastAsia="仿宋_GB2312"/>
          <w:sz w:val="32"/>
        </w:rPr>
        <w:t>；</w:t>
      </w:r>
    </w:p>
    <w:p w14:paraId="431B022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3.无原生能力支撑：缺少消息推送、离线缓存等能力，审批与预警无法主动触达用户；</w:t>
      </w:r>
    </w:p>
    <w:p w14:paraId="41532D69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4.浏览器兼容风险：存在授权失败、白屏等问题，使用不稳定；</w:t>
      </w:r>
    </w:p>
    <w:p w14:paraId="71B02FD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5.性能体验不足：长列表场景卡顿，缺乏原生导航体验，高频操作体验差；</w:t>
      </w:r>
    </w:p>
    <w:p w14:paraId="2D931B1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（三）已有基础</w:t>
      </w:r>
    </w:p>
    <w:p w14:paraId="331D432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1.后端微信登录能力已具备，复用成本低；</w:t>
      </w:r>
    </w:p>
    <w:p w14:paraId="7FCCFCC9">
      <w:pPr>
        <w:spacing w:before="0" w:after="0" w:line="560" w:lineRule="exact"/>
        <w:ind w:firstLine="640" w:firstLineChars="200"/>
        <w:jc w:val="both"/>
      </w:pPr>
      <w:r>
        <w:rPr>
          <w:rFonts w:hint="eastAsia" w:ascii="Times New Roman" w:hAnsi="Times New Roman" w:eastAsia="仿宋_GB2312"/>
          <w:sz w:val="32"/>
          <w:lang w:val="en-US" w:eastAsia="zh-CN"/>
        </w:rPr>
        <w:t>2</w:t>
      </w:r>
      <w:r>
        <w:rPr>
          <w:rFonts w:ascii="Times New Roman" w:hAnsi="Times New Roman" w:eastAsia="仿宋_GB2312"/>
          <w:sz w:val="32"/>
        </w:rPr>
        <w:t>.计划以个人主体注册小程序，可免去企业认证费用。</w:t>
      </w:r>
    </w:p>
    <w:p w14:paraId="6B2B8AB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sz w:val="32"/>
        </w:rPr>
        <w:t>三、需求</w:t>
      </w:r>
    </w:p>
    <w:p w14:paraId="06B27480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（一）需求一：移动端升级为微信小程序</w:t>
      </w:r>
    </w:p>
    <w:p w14:paraId="3CDCB9F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保留现有全部业务功能，将手机网页端入口升级为微信小程序。升级后扫码直接调用系统相机，提供统一入口并支持订阅消息主动推送，从根本上解决扫码能力弱、无统一入口、无原生能力、登录态脆弱等痛点。</w:t>
      </w:r>
    </w:p>
    <w:p w14:paraId="204E205B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（二）需求二：服务器与存储上云扩容</w:t>
      </w:r>
    </w:p>
    <w:p w14:paraId="675561B9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面向多区多人并发场景，需更高规格的服务器与更大存储空间：</w:t>
      </w:r>
    </w:p>
    <w:p w14:paraId="391DE45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1.计算与内存：支撑多区多人并发使用（2 核起步、8G 内存）；</w:t>
      </w:r>
    </w:p>
    <w:p w14:paraId="2EA177FF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2.磁盘与数据：满足数据与图片持续增长（磁盘 150G）；</w:t>
      </w:r>
    </w:p>
    <w:p w14:paraId="7BD4502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3.带宽保障：10M 带宽保障多端访问流畅；</w:t>
      </w:r>
    </w:p>
    <w:p w14:paraId="5456F444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4.登录会话：保障微信登录会话稳定；</w:t>
      </w:r>
    </w:p>
    <w:p w14:paraId="55780234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5.存储策略：不采购云数据库，数据与图片每日备份同步至对象存储（COS 50GB）异地存放，兼顾成本与安全。</w:t>
      </w:r>
    </w:p>
    <w:p w14:paraId="03CF8389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（三）合规需求</w:t>
      </w:r>
    </w:p>
    <w:p w14:paraId="32F98F1D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1..cn 域名完成 ICP 备案，满足合规要求；</w:t>
      </w:r>
    </w:p>
    <w:p w14:paraId="573D88F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2.配置免费 SSL 证书，实现全站 HTTPS 加密访问。</w:t>
      </w:r>
    </w:p>
    <w:p w14:paraId="28E6FAD4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sz w:val="32"/>
        </w:rPr>
        <w:t>四、设计方案</w:t>
      </w:r>
    </w:p>
    <w:p w14:paraId="3040F7EF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（一）总体架构</w:t>
      </w:r>
    </w:p>
    <w:p w14:paraId="1F16D938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整体架构为：微信小程序（跨端框架）→ HTTPS 已备案域名 → 轻量应用服务器（2 核 8G / 10M 带宽 / 磁盘 150G，有状态部署）→ 本机数据库 + 每日备份同步对象存储（COS 50GB）。全程不采购云数据库。</w:t>
      </w:r>
    </w:p>
    <w:p w14:paraId="03554DBB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（二）改造要点</w:t>
      </w:r>
    </w:p>
    <w:p w14:paraId="121CE470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1.页面迁移：现有页面整体迁移至小程序，业务功能零丢失；</w:t>
      </w:r>
    </w:p>
    <w:p w14:paraId="2579544F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2.扫码改造：升级为</w:t>
      </w:r>
      <w:r>
        <w:rPr>
          <w:rFonts w:hint="eastAsia" w:ascii="Times New Roman" w:hAnsi="Times New Roman" w:eastAsia="仿宋_GB2312"/>
          <w:sz w:val="32"/>
          <w:lang w:val="en-US" w:eastAsia="zh-CN"/>
        </w:rPr>
        <w:t>通过微信小程序固有组件。</w:t>
      </w:r>
      <w:r>
        <w:rPr>
          <w:rFonts w:ascii="Times New Roman" w:hAnsi="Times New Roman" w:eastAsia="仿宋_GB2312"/>
          <w:sz w:val="32"/>
        </w:rPr>
        <w:t>直调系统相机，提升弱光环境识别能力；</w:t>
      </w:r>
    </w:p>
    <w:p w14:paraId="21819934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3.登录复用：复用现有微信登录能力，成本低、风险小；</w:t>
      </w:r>
    </w:p>
    <w:p w14:paraId="54F8F7D9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4.消息提醒：接入订阅消息，实现审批与预警主动推送；</w:t>
      </w:r>
    </w:p>
    <w:p w14:paraId="4F458149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（三）服务器与存储</w:t>
      </w:r>
    </w:p>
    <w:p w14:paraId="6B95FBE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1.服务器扩容：现有应用原样迁入新服务器，零改造即可运行；</w:t>
      </w:r>
    </w:p>
    <w:p w14:paraId="3A67B85E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2.存储上云：数据与图片每日备份自动同步至 COS（50GB），避免本机故障导致备份数据一并丢失；</w:t>
      </w:r>
    </w:p>
    <w:p w14:paraId="79315F8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3.成本策略：不采购云数据库，数据仍存本机，兼顾成本与安全。</w:t>
      </w:r>
    </w:p>
    <w:p w14:paraId="53922E4B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（四）域名与备案</w:t>
      </w:r>
    </w:p>
    <w:p w14:paraId="1714703C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1.使用已持有的 .cn 域名办理 ICP 备案，个人备</w:t>
      </w:r>
      <w:r>
        <w:rPr>
          <w:rFonts w:hint="eastAsia" w:ascii="Times New Roman" w:hAnsi="Times New Roman" w:eastAsia="仿宋_GB2312"/>
          <w:sz w:val="32"/>
          <w:lang w:val="en-US" w:eastAsia="zh-CN"/>
        </w:rPr>
        <w:t>42元</w:t>
      </w:r>
      <w:r>
        <w:rPr>
          <w:rFonts w:ascii="Times New Roman" w:hAnsi="Times New Roman" w:eastAsia="仿宋_GB2312"/>
          <w:sz w:val="32"/>
        </w:rPr>
        <w:t>，周期约 7~20 个工作日；</w:t>
      </w:r>
    </w:p>
    <w:p w14:paraId="3D259845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2.配置免费 SSL 证书，实现全站 HTTPS；</w:t>
      </w:r>
    </w:p>
    <w:p w14:paraId="53F62AD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3.完成小程序合法域名配置，保证正常访问。</w:t>
      </w:r>
    </w:p>
    <w:p w14:paraId="48779478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</w:t>
      </w:r>
      <w:r>
        <w:rPr>
          <w:rFonts w:hint="eastAsia" w:ascii="Times New Roman" w:hAnsi="Times New Roman" w:eastAsia="楷体_GB2312"/>
          <w:sz w:val="32"/>
          <w:lang w:val="en-US" w:eastAsia="zh-CN"/>
        </w:rPr>
        <w:t>五</w:t>
      </w:r>
      <w:r>
        <w:rPr>
          <w:rFonts w:ascii="Times New Roman" w:hAnsi="Times New Roman" w:eastAsia="楷体_GB2312"/>
          <w:sz w:val="32"/>
        </w:rPr>
        <w:t>）实施工期</w:t>
      </w:r>
    </w:p>
    <w:p w14:paraId="353FF6F0">
      <w:pPr>
        <w:spacing w:before="0" w:after="0" w:line="560" w:lineRule="exact"/>
        <w:ind w:firstLine="640" w:firstLineChars="200"/>
        <w:jc w:val="both"/>
        <w:rPr>
          <w:rFonts w:hint="default" w:eastAsia="仿宋_GB2312"/>
          <w:lang w:val="en-US" w:eastAsia="zh-CN"/>
        </w:rPr>
      </w:pPr>
      <w:r>
        <w:rPr>
          <w:rFonts w:ascii="Times New Roman" w:hAnsi="Times New Roman" w:eastAsia="仿宋_GB2312"/>
          <w:sz w:val="32"/>
        </w:rPr>
        <w:t xml:space="preserve">项目关键路径为备案（7~20 个工作日）与微信小程序审核（1~7 个工作日）。开发工作与备案并行推进，纯开发工作量约 </w:t>
      </w:r>
      <w:r>
        <w:rPr>
          <w:rFonts w:hint="eastAsia" w:ascii="Times New Roman" w:hAnsi="Times New Roman" w:eastAsia="仿宋_GB2312"/>
          <w:sz w:val="32"/>
          <w:lang w:val="en-US" w:eastAsia="zh-CN"/>
        </w:rPr>
        <w:t>2~5</w:t>
      </w:r>
      <w:r>
        <w:rPr>
          <w:rFonts w:ascii="Times New Roman" w:hAnsi="Times New Roman" w:eastAsia="仿宋_GB2312"/>
          <w:sz w:val="32"/>
        </w:rPr>
        <w:t xml:space="preserve"> 日。整体周期约 </w:t>
      </w:r>
      <w:r>
        <w:rPr>
          <w:rFonts w:hint="eastAsia" w:ascii="Times New Roman" w:hAnsi="Times New Roman" w:eastAsia="仿宋_GB2312"/>
          <w:sz w:val="32"/>
          <w:lang w:val="en-US" w:eastAsia="zh-CN"/>
        </w:rPr>
        <w:t>20</w:t>
      </w:r>
      <w:r>
        <w:rPr>
          <w:rFonts w:ascii="Times New Roman" w:hAnsi="Times New Roman" w:eastAsia="仿宋_GB2312"/>
          <w:sz w:val="32"/>
        </w:rPr>
        <w:t>~</w:t>
      </w:r>
      <w:r>
        <w:rPr>
          <w:rFonts w:hint="eastAsia" w:ascii="Times New Roman" w:hAnsi="Times New Roman" w:eastAsia="仿宋_GB2312"/>
          <w:sz w:val="32"/>
          <w:lang w:val="en-US" w:eastAsia="zh-CN"/>
        </w:rPr>
        <w:t>30</w:t>
      </w:r>
      <w:r>
        <w:rPr>
          <w:rFonts w:ascii="Times New Roman" w:hAnsi="Times New Roman" w:eastAsia="仿宋_GB2312"/>
          <w:sz w:val="32"/>
        </w:rPr>
        <w:t xml:space="preserve"> 个</w:t>
      </w:r>
      <w:r>
        <w:rPr>
          <w:rFonts w:hint="eastAsia" w:ascii="Times New Roman" w:hAnsi="Times New Roman" w:eastAsia="仿宋_GB2312"/>
          <w:sz w:val="32"/>
          <w:lang w:val="en-US" w:eastAsia="zh-CN"/>
        </w:rPr>
        <w:t>工作日。小程序审核未通过前可继续使用手机网页版。</w:t>
      </w:r>
    </w:p>
    <w:p w14:paraId="40AB1B3B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sz w:val="32"/>
        </w:rPr>
        <w:t>五、费用明细</w:t>
      </w:r>
    </w:p>
    <w:p w14:paraId="18E26A2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sz w:val="32"/>
        </w:rPr>
        <w:t>本项目采用"低成本上云"策略，不采购云数据库，整体费用可控。费用构成如下。</w:t>
      </w:r>
    </w:p>
    <w:p w14:paraId="7D95916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（一）月度费用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01012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37A2E81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黑体"/>
                <w:b/>
                <w:sz w:val="28"/>
                <w:szCs w:val="32"/>
              </w:rPr>
              <w:t>项目</w:t>
            </w:r>
          </w:p>
        </w:tc>
        <w:tc>
          <w:tcPr>
            <w:tcW w:w="2948" w:type="dxa"/>
            <w:vAlign w:val="center"/>
          </w:tcPr>
          <w:p w14:paraId="1366B9AA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黑体"/>
                <w:b/>
                <w:sz w:val="28"/>
                <w:szCs w:val="32"/>
              </w:rPr>
              <w:t>规格</w:t>
            </w:r>
          </w:p>
        </w:tc>
        <w:tc>
          <w:tcPr>
            <w:tcW w:w="2948" w:type="dxa"/>
            <w:vAlign w:val="center"/>
          </w:tcPr>
          <w:p w14:paraId="2FC8011C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黑体"/>
                <w:b/>
                <w:sz w:val="28"/>
                <w:szCs w:val="32"/>
              </w:rPr>
              <w:t>月费参考</w:t>
            </w:r>
          </w:p>
        </w:tc>
      </w:tr>
      <w:tr w14:paraId="7450C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68E2A33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轻量应用服务器</w:t>
            </w:r>
          </w:p>
        </w:tc>
        <w:tc>
          <w:tcPr>
            <w:tcW w:w="2948" w:type="dxa"/>
            <w:vAlign w:val="center"/>
          </w:tcPr>
          <w:p w14:paraId="2F5AA4E0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2 核 8G / 10M 带宽 / 磁盘 150G</w:t>
            </w:r>
          </w:p>
        </w:tc>
        <w:tc>
          <w:tcPr>
            <w:tcW w:w="2948" w:type="dxa"/>
            <w:vAlign w:val="center"/>
          </w:tcPr>
          <w:p w14:paraId="1BE676D8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140 元</w:t>
            </w:r>
          </w:p>
        </w:tc>
      </w:tr>
      <w:tr w14:paraId="33BDC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1C22BA3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数据存储</w:t>
            </w:r>
          </w:p>
        </w:tc>
        <w:tc>
          <w:tcPr>
            <w:tcW w:w="2948" w:type="dxa"/>
            <w:vAlign w:val="center"/>
          </w:tcPr>
          <w:p w14:paraId="3A39E6B5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本机存储（含每日备份）</w:t>
            </w:r>
          </w:p>
        </w:tc>
        <w:tc>
          <w:tcPr>
            <w:tcW w:w="2948" w:type="dxa"/>
            <w:vAlign w:val="center"/>
          </w:tcPr>
          <w:p w14:paraId="67FC9165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0 元</w:t>
            </w:r>
          </w:p>
        </w:tc>
      </w:tr>
      <w:tr w14:paraId="4BB6F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6635E59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开发调试</w:t>
            </w:r>
          </w:p>
        </w:tc>
        <w:tc>
          <w:tcPr>
            <w:tcW w:w="2948" w:type="dxa"/>
            <w:vAlign w:val="center"/>
          </w:tcPr>
          <w:p w14:paraId="3987993D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AI 调试 Token（开发与调试需要）</w:t>
            </w:r>
          </w:p>
        </w:tc>
        <w:tc>
          <w:tcPr>
            <w:tcW w:w="2948" w:type="dxa"/>
            <w:vAlign w:val="center"/>
          </w:tcPr>
          <w:p w14:paraId="517D194C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30 元</w:t>
            </w:r>
          </w:p>
        </w:tc>
      </w:tr>
      <w:tr w14:paraId="49674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6464A8A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对象存储 COS</w:t>
            </w:r>
          </w:p>
        </w:tc>
        <w:tc>
          <w:tcPr>
            <w:tcW w:w="2948" w:type="dxa"/>
            <w:vAlign w:val="center"/>
          </w:tcPr>
          <w:p w14:paraId="467D1305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标准存储 50GB</w:t>
            </w:r>
          </w:p>
        </w:tc>
        <w:tc>
          <w:tcPr>
            <w:tcW w:w="2948" w:type="dxa"/>
            <w:vAlign w:val="center"/>
          </w:tcPr>
          <w:p w14:paraId="53968903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6.5 元</w:t>
            </w:r>
          </w:p>
        </w:tc>
      </w:tr>
      <w:tr w14:paraId="1D343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1A311A1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/>
                <w:sz w:val="28"/>
                <w:szCs w:val="32"/>
              </w:rPr>
              <w:t>合计</w:t>
            </w:r>
          </w:p>
        </w:tc>
        <w:tc>
          <w:tcPr>
            <w:tcW w:w="2948" w:type="dxa"/>
            <w:vAlign w:val="center"/>
          </w:tcPr>
          <w:p w14:paraId="265F6F88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—</w:t>
            </w:r>
          </w:p>
        </w:tc>
        <w:tc>
          <w:tcPr>
            <w:tcW w:w="2948" w:type="dxa"/>
            <w:vAlign w:val="center"/>
          </w:tcPr>
          <w:p w14:paraId="1FF9DB89">
            <w:pPr>
              <w:spacing w:line="320" w:lineRule="exact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仿宋_GB2312"/>
                <w:b/>
                <w:sz w:val="28"/>
                <w:szCs w:val="32"/>
              </w:rPr>
              <w:t>176.5 元</w:t>
            </w:r>
          </w:p>
        </w:tc>
      </w:tr>
    </w:tbl>
    <w:p w14:paraId="5E89918E"/>
    <w:p w14:paraId="26CDD8A2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楷体_GB2312"/>
          <w:sz w:val="32"/>
        </w:rPr>
        <w:t>（二）年度费用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554D5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7AB61217">
            <w:pPr>
              <w:spacing w:line="320" w:lineRule="exact"/>
              <w:jc w:val="center"/>
              <w:rPr>
                <w:rFonts w:ascii="Times New Roman" w:hAnsi="Times New Roman" w:eastAsia="黑体"/>
                <w:b/>
                <w:sz w:val="28"/>
                <w:szCs w:val="32"/>
              </w:rPr>
            </w:pPr>
            <w:r>
              <w:rPr>
                <w:rFonts w:ascii="Times New Roman" w:hAnsi="Times New Roman" w:eastAsia="黑体"/>
                <w:b/>
                <w:sz w:val="28"/>
                <w:szCs w:val="32"/>
              </w:rPr>
              <w:t>项目</w:t>
            </w:r>
          </w:p>
        </w:tc>
        <w:tc>
          <w:tcPr>
            <w:tcW w:w="4422" w:type="dxa"/>
          </w:tcPr>
          <w:p w14:paraId="1F6EC804">
            <w:pPr>
              <w:spacing w:line="320" w:lineRule="exact"/>
              <w:jc w:val="center"/>
              <w:rPr>
                <w:rFonts w:ascii="Times New Roman" w:hAnsi="Times New Roman" w:eastAsia="黑体"/>
                <w:b/>
                <w:sz w:val="28"/>
                <w:szCs w:val="32"/>
              </w:rPr>
            </w:pPr>
            <w:r>
              <w:rPr>
                <w:rFonts w:ascii="Times New Roman" w:hAnsi="Times New Roman" w:eastAsia="黑体"/>
                <w:b/>
                <w:sz w:val="28"/>
                <w:szCs w:val="32"/>
              </w:rPr>
              <w:t>费用</w:t>
            </w:r>
          </w:p>
        </w:tc>
      </w:tr>
      <w:tr w14:paraId="1E1A3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32415F9E">
            <w:pPr>
              <w:spacing w:line="320" w:lineRule="exact"/>
              <w:jc w:val="center"/>
              <w:rPr>
                <w:rFonts w:ascii="Times New Roman" w:hAnsi="Times New Roman" w:eastAsia="仿宋_GB2312"/>
                <w:b w:val="0"/>
                <w:sz w:val="28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月度费用合计（月费 × 12）</w:t>
            </w:r>
          </w:p>
        </w:tc>
        <w:tc>
          <w:tcPr>
            <w:tcW w:w="4422" w:type="dxa"/>
          </w:tcPr>
          <w:p w14:paraId="35BB97A5">
            <w:pPr>
              <w:spacing w:line="320" w:lineRule="exact"/>
              <w:jc w:val="center"/>
              <w:rPr>
                <w:rFonts w:ascii="Times New Roman" w:hAnsi="Times New Roman" w:eastAsia="仿宋_GB2312"/>
                <w:b w:val="0"/>
                <w:sz w:val="28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2040 元</w:t>
            </w:r>
          </w:p>
        </w:tc>
      </w:tr>
      <w:tr w14:paraId="76DF3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2056374F"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微信认证费用</w:t>
            </w:r>
          </w:p>
        </w:tc>
        <w:tc>
          <w:tcPr>
            <w:tcW w:w="4422" w:type="dxa"/>
          </w:tcPr>
          <w:p w14:paraId="08D092B7"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30</w:t>
            </w:r>
          </w:p>
        </w:tc>
      </w:tr>
      <w:tr w14:paraId="5A6CD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64ACFE72">
            <w:pPr>
              <w:spacing w:line="320" w:lineRule="exact"/>
              <w:jc w:val="center"/>
              <w:rPr>
                <w:rFonts w:ascii="Times New Roman" w:hAnsi="Times New Roman" w:eastAsia="仿宋_GB2312"/>
                <w:b w:val="0"/>
                <w:sz w:val="28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.cn 域名（首年）</w:t>
            </w:r>
          </w:p>
        </w:tc>
        <w:tc>
          <w:tcPr>
            <w:tcW w:w="4422" w:type="dxa"/>
          </w:tcPr>
          <w:p w14:paraId="66EE21B5">
            <w:pPr>
              <w:spacing w:line="320" w:lineRule="exact"/>
              <w:jc w:val="center"/>
              <w:rPr>
                <w:rFonts w:ascii="Times New Roman" w:hAnsi="Times New Roman" w:eastAsia="仿宋_GB2312"/>
                <w:b w:val="0"/>
                <w:sz w:val="28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42 元</w:t>
            </w:r>
          </w:p>
        </w:tc>
      </w:tr>
      <w:tr w14:paraId="05260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5F5397D1">
            <w:pPr>
              <w:spacing w:line="320" w:lineRule="exact"/>
              <w:jc w:val="center"/>
              <w:rPr>
                <w:rFonts w:ascii="Times New Roman" w:hAnsi="Times New Roman" w:eastAsia="仿宋_GB2312"/>
                <w:b w:val="0"/>
                <w:sz w:val="28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年度合计</w:t>
            </w:r>
          </w:p>
        </w:tc>
        <w:tc>
          <w:tcPr>
            <w:tcW w:w="4422" w:type="dxa"/>
          </w:tcPr>
          <w:p w14:paraId="090472B7">
            <w:pPr>
              <w:spacing w:line="320" w:lineRule="exact"/>
              <w:jc w:val="center"/>
              <w:rPr>
                <w:rFonts w:ascii="Times New Roman" w:hAnsi="Times New Roman" w:eastAsia="仿宋_GB2312"/>
                <w:b w:val="0"/>
                <w:sz w:val="28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sz w:val="28"/>
                <w:szCs w:val="32"/>
              </w:rPr>
              <w:t>2082 元</w:t>
            </w:r>
          </w:p>
        </w:tc>
      </w:tr>
    </w:tbl>
    <w:p w14:paraId="2F57AF43"/>
    <w:p w14:paraId="25076EC3"/>
    <w:p w14:paraId="4D680546">
      <w:pPr>
        <w:spacing w:before="0" w:after="0" w:line="560" w:lineRule="exact"/>
        <w:ind w:right="1280"/>
        <w:jc w:val="right"/>
      </w:pPr>
      <w:r>
        <w:rPr>
          <w:rFonts w:ascii="Times New Roman" w:hAnsi="Times New Roman" w:eastAsia="仿宋_GB2312"/>
          <w:sz w:val="32"/>
        </w:rPr>
        <w:t>2026 年 8 月 6 日</w:t>
      </w:r>
    </w:p>
    <w:p w14:paraId="23657E13"/>
    <w:p w14:paraId="61AC335F">
      <w:pPr>
        <w:spacing w:before="0" w:after="0" w:line="560" w:lineRule="exact"/>
        <w:ind w:firstLine="440" w:firstLineChars="200"/>
        <w:jc w:val="both"/>
      </w:pPr>
      <w:bookmarkStart w:id="0" w:name="_GoBack"/>
      <w:bookmarkEnd w:id="0"/>
    </w:p>
    <w:sectPr>
      <w:footerReference r:id="rId5" w:type="default"/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69E66">
    <w:pPr>
      <w:pStyle w:val="24"/>
      <w:spacing w:line="280" w:lineRule="exact"/>
      <w:jc w:val="center"/>
    </w:pPr>
    <w:r>
      <w:rPr>
        <w:rFonts w:ascii="Times New Roman" w:hAnsi="Times New Roman" w:eastAsia="宋体"/>
        <w:sz w:val="28"/>
      </w:rPr>
      <w:t xml:space="preserve">— </w:t>
    </w:r>
    <w:r>
      <w:rPr>
        <w:rFonts w:ascii="Times New Roman" w:hAnsi="Times New Roman" w:eastAsia="宋体"/>
        <w:sz w:val="28"/>
      </w:rPr>
      <w:fldChar w:fldCharType="begin"/>
    </w:r>
    <w:r>
      <w:rPr>
        <w:rFonts w:ascii="Times New Roman" w:hAnsi="Times New Roman" w:eastAsia="宋体"/>
        <w:sz w:val="28"/>
      </w:rPr>
      <w:instrText xml:space="preserve"> PAGE </w:instrText>
    </w:r>
    <w:r>
      <w:rPr>
        <w:rFonts w:ascii="Times New Roman" w:hAnsi="Times New Roman" w:eastAsia="宋体"/>
        <w:sz w:val="28"/>
      </w:rPr>
      <w:fldChar w:fldCharType="end"/>
    </w:r>
    <w:r>
      <w:rPr>
        <w:rFonts w:ascii="Times New Roman" w:hAnsi="Times New Roman" w:eastAsia="宋体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43A"/>
    <w:rsid w:val="00AA1D8D"/>
    <w:rsid w:val="00B47730"/>
    <w:rsid w:val="00CB0664"/>
    <w:rsid w:val="00FC693F"/>
    <w:rsid w:val="02186A33"/>
    <w:rsid w:val="0E5232CD"/>
    <w:rsid w:val="121F3E0E"/>
    <w:rsid w:val="13AF4D1D"/>
    <w:rsid w:val="234A05BF"/>
    <w:rsid w:val="2EAE5EA6"/>
    <w:rsid w:val="31413001"/>
    <w:rsid w:val="34C24459"/>
    <w:rsid w:val="561346BC"/>
    <w:rsid w:val="583F3E8F"/>
    <w:rsid w:val="637F3391"/>
    <w:rsid w:val="651D2E62"/>
    <w:rsid w:val="7C8C6A09"/>
    <w:rsid w:val="7ED5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2673</Words>
  <Characters>2915</Characters>
  <Lines>0</Lines>
  <Paragraphs>0</Paragraphs>
  <TotalTime>3</TotalTime>
  <ScaleCrop>false</ScaleCrop>
  <LinksUpToDate>false</LinksUpToDate>
  <CharactersWithSpaces>3056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黑岩</cp:lastModifiedBy>
  <dcterms:modified xsi:type="dcterms:W3CDTF">2026-08-06T08:42:49Z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eyJoZGlkIjoiMzEwNTM5NzYwMDRjMzkwZTVkZjY2ODkwMGIxNGU0OTUiLCJ1c2VySWQiOiIyNzUzMDcxMzcifQ==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38D4019F284D4BE3A799B8345213F7AE_12</vt:lpwstr>
  </property>
</Properties>
</file>