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000003"/>
        <w:ind/>
      </w:pPr>
      <w:r>
        <w:rPr>
          <w:rFonts w:hint="eastAsia"/>
        </w:rPr>
        <w:t>路线B · 原生小程序开发实施计划（可执行版）</w:t>
      </w:r>
    </w:p>
    <w:p>
      <w:pPr>
        <w:spacing w:after="120"/>
        <w:ind w:left="240"/>
      </w:pPr>
      <w:r>
        <w:rPr>
          <w:rFonts w:hint="eastAsia"/>
        </w:rPr>
        <w:t xml:space="preserve">基于 `路线B_原生小程序迁移清单.md` 细化，把 U01–U05 拆成 </w:t>
      </w:r>
      <w:r>
        <w:rPr>
          <w:rFonts w:hint="eastAsia"/>
          <w:b w:val="1"/>
          <w:bCs w:val="1"/>
        </w:rPr>
        <w:t>Sprint + 每日任务 + 文件级改动 + 验收标准</w:t>
      </w:r>
      <w:r>
        <w:rPr>
          <w:rFonts w:hint="eastAsia"/>
        </w:rPr>
        <w:t>。</w:t>
      </w:r>
    </w:p>
    <w:p>
      <w:pPr>
        <w:spacing w:after="120"/>
        <w:ind w:left="240"/>
      </w:pPr>
      <w:r>
        <w:rPr>
          <w:rFonts w:hint="eastAsia"/>
        </w:rPr>
        <w:t>技术前提不变：uni-app（Vue3+Vite+TS）新增 `miniapp/` 目录；后端 26+ 接口零改动复用；数据存服务器本机 db.json；主体域名 `.cn`（已可备案）；小程序个人主体（免费）。</w:t>
      </w:r>
    </w:p>
    <w:p>
      <w:pPr>
        <w:spacing w:after="120"/>
        <w:ind w:left="240"/>
      </w:pPr>
      <w:r>
        <w:rPr>
          <w:rFonts w:hint="eastAsia"/>
        </w:rPr>
        <w:t>工期口径：纯开发 11–12 人日（2 人并行约 6–8 自然日）；</w:t>
      </w:r>
      <w:r>
        <w:rPr>
          <w:rFonts w:hint="eastAsia"/>
          <w:b w:val="1"/>
          <w:bCs w:val="1"/>
        </w:rPr>
        <w:t>整体日历 50–85 天</w:t>
      </w:r>
      <w:r>
        <w:rPr>
          <w:rFonts w:hint="eastAsia"/>
        </w:rPr>
        <w:t>（关键路径 = 备案 7–20 工 + 微信审核 1–7 工，开发与备案可并行）。</w:t>
      </w:r>
    </w:p>
    <w:p>
      <w:pPr>
        <w:pBdr>
          <w:bottom w:val="single" w:color="2E75B6" w:sz="6" w:space="1"/>
        </w:pBdr>
        <w:spacing w:before="80" w:after="80"/>
        <w:ind/>
      </w:pPr>
    </w:p>
    <w:p>
      <w:pPr>
        <w:pStyle w:val="000004"/>
        <w:ind/>
      </w:pPr>
      <w:r>
        <w:rPr>
          <w:rFonts w:hint="eastAsia"/>
        </w:rPr>
        <w:t>0. 并行关系总览</w:t>
      </w:r>
    </w:p>
    <w:p>
      <w:pPr>
        <w:spacing w:after="80"/>
        <w:ind/>
      </w:pPr>
      <w:r>
        <w:t>```</w:t>
      </w:r>
    </w:p>
    <w:p>
      <w:pPr>
        <w:spacing w:after="80"/>
        <w:ind/>
      </w:pPr>
      <w:r>
        <w:rPr>
          <w:rFonts w:hint="eastAsia"/>
        </w:rPr>
        <w:t>[硬前置·可并行启动]  ICP备案(.cn, 7-20工)  ─┐</w:t>
      </w:r>
    </w:p>
    <w:p>
      <w:pPr>
        <w:spacing w:after="80"/>
        <w:ind/>
      </w:pPr>
      <w:r>
        <w:rPr>
          <w:rFonts w:hint="eastAsia"/>
        </w:rPr>
        <w:t>├─→ 审核发布(1-7工) ─→ 上线</w:t>
      </w:r>
    </w:p>
    <w:p>
      <w:pPr>
        <w:spacing w:after="80"/>
        <w:ind/>
      </w:pPr>
      <w:r>
        <w:rPr>
          <w:rFonts w:hint="eastAsia"/>
        </w:rPr>
        <w:t>[Sprint 1-5 开发]     工程→数据层→业务页→辅助页→登录联调 ─┘</w:t>
      </w:r>
    </w:p>
    <w:p>
      <w:pPr>
        <w:spacing w:after="80"/>
        <w:ind/>
      </w:pPr>
      <w:r>
        <w:t>```</w:t>
      </w:r>
    </w:p>
    <w:p>
      <w:pPr>
        <w:spacing w:after="120"/>
        <w:ind w:left="240"/>
      </w:pPr>
      <w:r>
        <w:rPr>
          <w:rFonts w:hint="eastAsia"/>
        </w:rPr>
        <w:t>备案一启动就立刻开工 Sprint 1，</w:t>
      </w:r>
      <w:r>
        <w:rPr>
          <w:rFonts w:hint="eastAsia"/>
          <w:b w:val="1"/>
          <w:bCs w:val="1"/>
        </w:rPr>
        <w:t>不要等备案通过再写代码</w:t>
      </w:r>
      <w:r>
        <w:rPr>
          <w:rFonts w:hint="eastAsia"/>
        </w:rPr>
        <w:t>——开发完正好备案也下来了。</w:t>
      </w:r>
    </w:p>
    <w:p>
      <w:pPr>
        <w:pBdr>
          <w:bottom w:val="single" w:color="2E75B6" w:sz="6" w:space="1"/>
        </w:pBdr>
        <w:spacing w:before="80" w:after="80"/>
        <w:ind/>
      </w:pPr>
    </w:p>
    <w:p>
      <w:pPr>
        <w:pStyle w:val="000004"/>
        <w:ind/>
      </w:pPr>
      <w:r>
        <w:rPr>
          <w:rFonts w:hint="eastAsia"/>
        </w:rPr>
        <w:t>1. Sprint 拆分与每日任务</w:t>
      </w:r>
    </w:p>
    <w:p>
      <w:pPr>
        <w:pStyle w:val="000005"/>
        <w:ind/>
      </w:pPr>
      <w:r>
        <w:rPr>
          <w:rFonts w:hint="eastAsia"/>
        </w:rPr>
        <w:t>S1 · 工程初始化（U01，1.5 人日）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/>
      </w:tblPr>
      <w:tblGrid>
        <w:gridCol w:w="3008"/>
        <w:gridCol w:w="3008"/>
        <w:gridCol w:w="3010"/>
      </w:tblGrid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任务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涉及文件 / 动作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验收标准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1.1 建 `miniapp/` 工程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`npm init` + uni-app Vue3+Vite+TS 模板；配 `manifest.json`（appid、小程序名称）、`vite.config.ts`、`tsconfig.json`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`npm run dev:mp-weixin` 能编译出 `dist/dev/mp-weixin`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1.2 路由与 tabBar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`pages.json`：注册全部页面 + 5 个 tabBar（首页/工具/物料/工单/我的）+ 分包 `subPackages`（admin×6、stock 流水）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HBuilderX/CLI 编译无路由报错；tabBar 图标就位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1.3 请求/存储/反馈底座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新增 `utils/request.ts`（`uni.request` 封装，baseURL 按 env 切换）、`utils/storage.ts`（抹平 localStorage→uni.getStorageSync）、`utils/feedback.ts`（showToast/showModal Promise 化）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单测：`request` 在 dev 走代理、prod 走 `https://api.你的.cn`；401 自动清 token 跳登录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1.4 类型与全局样式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拷贝 `types/index.ts`、`constants/material.ts`；写 `uni.scss` 主题变量（替代 Vant 主题 JS）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TS 编译通过；主题色生效</w:t>
            </w:r>
          </w:p>
        </w:tc>
      </w:tr>
    </w:tbl>
    <w:p>
      <w:pPr>
        <w:pStyle w:val="000005"/>
        <w:ind/>
      </w:pPr>
      <w:r>
        <w:rPr>
          <w:rFonts w:hint="eastAsia"/>
        </w:rPr>
        <w:t>S2 · 数据层与公共能力（U02，2 人日）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/>
      </w:tblPr>
      <w:tblGrid>
        <w:gridCol w:w="3008"/>
        <w:gridCol w:w="3008"/>
        <w:gridCol w:w="3010"/>
      </w:tblGrid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任务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涉及文件 / 动作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验收标准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2.1 API 层复用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拷贝 `api/index.ts`、`api/material.ts` 等；仅替换 axios 底层为 `utils/request.ts`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所有现有接口函数签名不变，dev 下能与后端联调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2.2 状态管理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拷贝 `store/auth`、`store/cart`、`store/scanHistory`（Pinia 直接兼容）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登录态、购物车、扫码历史在真机持久化正常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2.3 工具与 composables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拷贝 `utils/stock.ts`、`composables/useAutoLogout.ts`、`useMaterialList.ts`、`useInventoryEntered.ts`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逻辑无改写可直接用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2.4 🔴 扫码重写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  <w:b w:val="1"/>
                <w:bCs w:val="1"/>
              </w:rPr>
              <w:t>重写</w:t>
            </w:r>
            <w:r>
              <w:rPr>
                <w:rFonts w:hint="eastAsia"/>
              </w:rPr>
              <w:t xml:space="preserve"> `composables/useScanner.ts`（`uni.scanCode` + 手动输入兜底）、删除 `useBrightness.ts`（小程序无 torch/曝光 API，依赖系统相机）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调用 `uni.scanCode({scanType:['barCode','qrCode']})` 成功解析；扫码失败弹出手动输入框</w:t>
            </w:r>
          </w:p>
        </w:tc>
      </w:tr>
    </w:tbl>
    <w:p>
      <w:pPr>
        <w:pStyle w:val="000005"/>
        <w:ind/>
      </w:pPr>
      <w:r>
        <w:rPr>
          <w:rFonts w:hint="eastAsia"/>
        </w:rPr>
        <w:t>S3 · 核心业务页面（U03，4–5 人日）— 工作量最大</w:t>
      </w:r>
    </w:p>
    <w:p>
      <w:pPr>
        <w:spacing w:after="120"/>
        <w:ind w:left="240"/>
      </w:pPr>
      <w:r>
        <w:rPr>
          <w:rFonts w:hint="eastAsia"/>
        </w:rPr>
        <w:t>复用度低的优先做，避免后期返工。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/>
      </w:tblPr>
      <w:tblGrid>
        <w:gridCol w:w="1805"/>
        <w:gridCol w:w="1805"/>
        <w:gridCol w:w="1805"/>
        <w:gridCol w:w="1805"/>
        <w:gridCol w:w="1806"/>
      </w:tblGrid>
      <w:tr>
        <w:trPr>
          <w:wBefore/>
          <w:trHeight/>
        </w:trPr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优先级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页面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源文件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主要改动</w:t>
            </w:r>
          </w:p>
        </w:tc>
        <w:tc>
          <w:tcPr>
            <w:tcW w:w="1806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验收</w:t>
            </w:r>
          </w:p>
        </w:tc>
      </w:tr>
      <w:tr>
        <w:trPr>
          <w:wBefore/>
          <w:trHeight/>
        </w:trPr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P0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登录 `pages/login`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`Login.vue`(30%)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  <w:b w:val="1"/>
                <w:bCs w:val="1"/>
              </w:rPr>
              <w:t>重写</w:t>
            </w:r>
            <w:r>
              <w:rPr>
                <w:rFonts w:hint="eastAsia"/>
              </w:rPr>
              <w:t>：加微信授权按钮 → `wx.login` 拿 code → 调 `wx-login`</w:t>
            </w:r>
          </w:p>
        </w:tc>
        <w:tc>
          <w:tcPr>
            <w:tcW w:w="1806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微信一键登录拿到 JWT 并跳转首页</w:t>
            </w:r>
          </w:p>
        </w:tc>
      </w:tr>
      <w:tr>
        <w:trPr>
          <w:wBefore/>
          <w:trHeight/>
        </w:trPr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P0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扫码 `pages/scan`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`ScanTool.vue`(40%)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  <w:b w:val="1"/>
                <w:bCs w:val="1"/>
              </w:rPr>
              <w:t>重写</w:t>
            </w:r>
            <w:r>
              <w:rPr>
                <w:rFonts w:hint="eastAsia"/>
              </w:rPr>
              <w:t>：`useScanner` 接入；盘点/领用入口</w:t>
            </w:r>
          </w:p>
        </w:tc>
        <w:tc>
          <w:tcPr>
            <w:tcW w:w="1806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真机相机扫码解析设备码成功</w:t>
            </w:r>
          </w:p>
        </w:tc>
      </w:tr>
      <w:tr>
        <w:trPr>
          <w:wBefore/>
          <w:trHeight/>
        </w:trPr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P1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工具 `pages/tools`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`ToolManagement.vue`(1075行,75%)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模板换 uni 组件；筛选/弹窗改 `uni-popup`</w:t>
            </w:r>
          </w:p>
        </w:tc>
        <w:tc>
          <w:tcPr>
            <w:tcW w:w="1806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列表/筛选/详情可用</w:t>
            </w:r>
          </w:p>
        </w:tc>
      </w:tr>
      <w:tr>
        <w:trPr>
          <w:wBefore/>
          <w:trHeight/>
        </w:trPr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P1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工单 `pages/orders`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`OrderManagement.vue`(80%)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现场清点 `van-checkbox`→`uni-data-checkbox`</w:t>
            </w:r>
          </w:p>
        </w:tc>
        <w:tc>
          <w:tcPr>
            <w:tcW w:w="1806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领用现场清点提交成功</w:t>
            </w:r>
          </w:p>
        </w:tc>
      </w:tr>
      <w:tr>
        <w:trPr>
          <w:wBefore/>
          <w:trHeight/>
        </w:trPr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P1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物料×5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`SparePartList/ConsumableList/MaterialCenter/MaterialDispense` 等(80%)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数量输入 `van-stepper`→`uni-number-box`</w:t>
            </w:r>
          </w:p>
        </w:tc>
        <w:tc>
          <w:tcPr>
            <w:tcW w:w="1806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备件/消耗品 CRUD 正常</w:t>
            </w:r>
          </w:p>
        </w:tc>
      </w:tr>
      <w:tr>
        <w:trPr>
          <w:wBefore/>
          <w:trHeight/>
        </w:trPr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P1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盘点×5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`Inventory/Create/Scan/Result/Shelf`(55–85%)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`InventoryScan`/`InventoryShelf` 扫码重写；步进器换 `uni-number-box`</w:t>
            </w:r>
          </w:p>
        </w:tc>
        <w:tc>
          <w:tcPr>
            <w:tcW w:w="1806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创建盘库单→扫码录入→完成落账一致</w:t>
            </w:r>
          </w:p>
        </w:tc>
      </w:tr>
      <w:tr>
        <w:trPr>
          <w:wBefore/>
          <w:trHeight/>
        </w:trPr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P2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库存/领用篮/我的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`StockMovement/ShoppingCart/Profile`(85%)</w:t>
            </w:r>
          </w:p>
        </w:tc>
        <w:tc>
          <w:tcPr>
            <w:tcW w:w="1805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模板替换</w:t>
            </w:r>
          </w:p>
        </w:tc>
        <w:tc>
          <w:tcPr>
            <w:tcW w:w="1806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流水查看、购物车、个人页正常</w:t>
            </w:r>
          </w:p>
        </w:tc>
      </w:tr>
    </w:tbl>
    <w:p>
      <w:pPr>
        <w:pStyle w:val="000005"/>
        <w:ind/>
      </w:pPr>
      <w:r>
        <w:rPr>
          <w:rFonts w:hint="eastAsia"/>
        </w:rPr>
        <w:t>S4 · 辅助页与管理分包（U04，1.5 人日）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/>
      </w:tblPr>
      <w:tblGrid>
        <w:gridCol w:w="3008"/>
        <w:gridCol w:w="3008"/>
        <w:gridCol w:w="3010"/>
      </w:tblGrid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任务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涉及文件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验收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4.1 个人页与 6 个管理页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`Profile.vue` + `Category/Dept/Location/Shelf/User/Warehouse Management`(80%)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弹窗表单改 `uni-popup`；管理功能可用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4.2 分包收尾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`subPackages` 配 `admin/*` 与库存流水；主包 &lt; 2MB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编译提示主包体积达标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4.3 全局样式与组件收尾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`MaterialCard`、`ScanResultPopup` 等组件(80–85%)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UI 视觉对齐 H5 版</w:t>
            </w:r>
          </w:p>
        </w:tc>
      </w:tr>
    </w:tbl>
    <w:p>
      <w:pPr>
        <w:pStyle w:val="000005"/>
        <w:ind/>
      </w:pPr>
      <w:r>
        <w:rPr>
          <w:rFonts w:hint="eastAsia"/>
        </w:rPr>
        <w:t>S5 · 微信登录 + 集成调试（U05，2 人日）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/>
      </w:tblPr>
      <w:tblGrid>
        <w:gridCol w:w="3008"/>
        <w:gridCol w:w="3008"/>
        <w:gridCol w:w="3010"/>
      </w:tblGrid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任务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涉及文件 / 动作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验收标准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5.1 后端 wx-login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`backend/routes/auth.js` 新增 `POST /api/auth/wx-login`（jscode2session→openid→JWT 7d）；可选 `wx-bind-phone`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用 code 调用返回 access_token；`session_key` 不返回前端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5.2 数据层字段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`backend/routes/db.js` 的 `migrateDB()` 幂等补 `wx_openid/wx_unionid/wx_nickname/wx_avatar`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旧 db.json 启动自动补全字段不报错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5.3 授权流与联调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小程序登录页接 5.1；体验版联调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真机微信授权→登录→首页数据加载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5.4 真机验证与优化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真机扫码/相机、包体积、隐私指引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真机扫码秒出；主包合规；隐私声明含摄像头/相册</w:t>
            </w:r>
          </w:p>
        </w:tc>
      </w:tr>
    </w:tbl>
    <w:p>
      <w:pPr>
        <w:pBdr>
          <w:bottom w:val="single" w:color="2E75B6" w:sz="6" w:space="1"/>
        </w:pBdr>
        <w:spacing w:before="80" w:after="80"/>
        <w:ind/>
      </w:pPr>
    </w:p>
    <w:p>
      <w:pPr>
        <w:pStyle w:val="000004"/>
        <w:ind/>
      </w:pPr>
      <w:r>
        <w:rPr>
          <w:rFonts w:hint="eastAsia"/>
        </w:rPr>
        <w:t>2. 后端改动清单（具体到文件）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/>
      </w:tblPr>
      <w:tblGrid>
        <w:gridCol w:w="3008"/>
        <w:gridCol w:w="3008"/>
        <w:gridCol w:w="3010"/>
      </w:tblGrid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文件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改动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`backend/routes/auth.js`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新增 `router.post('/auth/wx-login', loginLimiter, ...)`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调微信 `jscode2session` 换 openid；按 openid 查/建用户；签发 JWT（复用现有 7d 逻辑）；接入 `loginLimiter` 限流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`backend/routes/auth.js`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（可选）新增 `router.post('/auth/wx-bind-phone', authenticate, ...)`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携带 JWT 绑手机号，关联现有账户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t>`backend/routes/db.js`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`migrateDB()` 补 `wx_*` 字段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幂等：`if (!u.wx_openid) u.wx_openid = ''`，兼容旧数据</w:t>
            </w:r>
          </w:p>
        </w:tc>
      </w:tr>
      <w:tr>
        <w:trPr>
          <w:wBefore/>
          <w:trHeight/>
        </w:trPr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环境变量</w:t>
            </w:r>
          </w:p>
        </w:tc>
        <w:tc>
          <w:tcPr>
            <w:tcW w:w="3008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新增 `WX_APPID` / `WX_SECRET`</w:t>
            </w:r>
          </w:p>
        </w:tc>
        <w:tc>
          <w:tcPr>
            <w:tcW w:w="301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  <w:b w:val="1"/>
                <w:bCs w:val="1"/>
              </w:rPr>
              <w:t>仅服务端</w:t>
            </w:r>
            <w:r>
              <w:rPr>
                <w:rFonts w:hint="eastAsia"/>
              </w:rPr>
              <w:t>，绝不进前端包</w:t>
            </w:r>
          </w:p>
        </w:tc>
      </w:tr>
    </w:tbl>
    <w:p>
      <w:pPr>
        <w:spacing w:after="120"/>
        <w:ind w:left="240"/>
      </w:pPr>
      <w:r>
        <w:rPr>
          <w:rFonts w:hint="eastAsia"/>
        </w:rPr>
        <w:t>其余 26+ 接口</w:t>
      </w:r>
      <w:r>
        <w:rPr>
          <w:rFonts w:hint="eastAsia"/>
          <w:b w:val="1"/>
          <w:bCs w:val="1"/>
        </w:rPr>
        <w:t>零改动</w:t>
      </w:r>
      <w:r>
        <w:rPr>
          <w:rFonts w:hint="eastAsia"/>
        </w:rPr>
        <w:t>——这是路线B 的最大省力点。</w:t>
      </w:r>
    </w:p>
    <w:p>
      <w:pPr>
        <w:pBdr>
          <w:bottom w:val="single" w:color="2E75B6" w:sz="6" w:space="1"/>
        </w:pBdr>
        <w:spacing w:before="80" w:after="80"/>
        <w:ind/>
      </w:pPr>
    </w:p>
    <w:p>
      <w:pPr>
        <w:pStyle w:val="000004"/>
        <w:ind/>
      </w:pPr>
      <w:r>
        <w:rPr>
          <w:rFonts w:hint="eastAsia"/>
        </w:rPr>
        <w:t>3. 验收总清单（提审前必过）</w:t>
      </w:r>
    </w:p>
    <w:p>
      <w:pPr>
        <w:pStyle w:val="00000a"/>
        <w:numPr>
          <w:ilvl w:val="0"/>
          <w:numId w:val="1"/>
        </w:numPr>
        <w:spacing w:after="60"/>
        <w:ind/>
      </w:pPr>
      <w:r>
        <w:rPr>
          <w:rFonts w:hint="eastAsia"/>
        </w:rPr>
        <w:t>[ ] `npm run build:mp-weixin` 编译通过，无 TS 错误</w:t>
      </w:r>
    </w:p>
    <w:p>
      <w:pPr>
        <w:pStyle w:val="00000a"/>
        <w:numPr>
          <w:ilvl w:val="0"/>
          <w:numId w:val="1"/>
        </w:numPr>
        <w:spacing w:after="60"/>
        <w:ind/>
      </w:pPr>
      <w:r>
        <w:rPr>
          <w:rFonts w:hint="eastAsia"/>
        </w:rPr>
        <w:t>[ ] 主包 &lt; 2MB，`admin/*` 与库存流水在分包</w:t>
      </w:r>
    </w:p>
    <w:p>
      <w:pPr>
        <w:pStyle w:val="00000a"/>
        <w:numPr>
          <w:ilvl w:val="0"/>
          <w:numId w:val="1"/>
        </w:numPr>
        <w:spacing w:after="60"/>
        <w:ind/>
      </w:pPr>
      <w:r>
        <w:rPr>
          <w:rFonts w:hint="eastAsia"/>
        </w:rPr>
        <w:t>[ ] 真机微信授权登录成功，JWT 持久化</w:t>
      </w:r>
    </w:p>
    <w:p>
      <w:pPr>
        <w:pStyle w:val="00000a"/>
        <w:numPr>
          <w:ilvl w:val="0"/>
          <w:numId w:val="1"/>
        </w:numPr>
        <w:spacing w:after="60"/>
        <w:ind/>
      </w:pPr>
      <w:r>
        <w:rPr>
          <w:rFonts w:hint="eastAsia"/>
        </w:rPr>
        <w:t>[ ] 真机 `uni.scanCode` 扫码解析设备码/物料码成功（含手动输入兜底）</w:t>
      </w:r>
    </w:p>
    <w:p>
      <w:pPr>
        <w:pStyle w:val="00000a"/>
        <w:numPr>
          <w:ilvl w:val="0"/>
          <w:numId w:val="1"/>
        </w:numPr>
        <w:spacing w:after="60"/>
        <w:ind/>
      </w:pPr>
      <w:r>
        <w:rPr>
          <w:rFonts w:hint="eastAsia"/>
        </w:rPr>
        <w:t>[ ] 借出/归还/盘点核心流程在真机跑通（数据落服务器 db.json）</w:t>
      </w:r>
    </w:p>
    <w:p>
      <w:pPr>
        <w:pStyle w:val="00000a"/>
        <w:numPr>
          <w:ilvl w:val="0"/>
          <w:numId w:val="1"/>
        </w:numPr>
        <w:spacing w:after="60"/>
        <w:ind/>
      </w:pPr>
      <w:r>
        <w:rPr>
          <w:rFonts w:hint="eastAsia"/>
        </w:rPr>
        <w:t>[ ] 图片上传走 `uni.uploadFile`，downloadFile 域名白名单配全</w:t>
      </w:r>
    </w:p>
    <w:p>
      <w:pPr>
        <w:pStyle w:val="00000a"/>
        <w:numPr>
          <w:ilvl w:val="0"/>
          <w:numId w:val="1"/>
        </w:numPr>
        <w:spacing w:after="60"/>
        <w:ind/>
      </w:pPr>
      <w:r>
        <w:rPr>
          <w:rFonts w:hint="eastAsia"/>
        </w:rPr>
        <w:t>[ ] 隐私保护指引声明：手机号、摄像头、相册</w:t>
      </w:r>
    </w:p>
    <w:p>
      <w:pPr>
        <w:pStyle w:val="00000a"/>
        <w:numPr>
          <w:ilvl w:val="0"/>
          <w:numId w:val="1"/>
        </w:numPr>
        <w:spacing w:after="60"/>
        <w:ind/>
      </w:pPr>
      <w:r>
        <w:rPr>
          <w:rFonts w:hint="eastAsia"/>
        </w:rPr>
        <w:t>[ ] 类目选「工具 &gt; 办公/管理」</w:t>
      </w:r>
    </w:p>
    <w:p>
      <w:pPr>
        <w:pStyle w:val="00000a"/>
        <w:numPr>
          <w:ilvl w:val="0"/>
          <w:numId w:val="1"/>
        </w:numPr>
        <w:spacing w:after="60"/>
        <w:ind/>
      </w:pPr>
      <w:r>
        <w:rPr>
          <w:rFonts w:hint="eastAsia"/>
        </w:rPr>
        <w:t>[ ] ICP 备案已通过，request/uploadFile/downloadFile 合法域名已配置（https + 已备案 .cn）</w:t>
      </w:r>
    </w:p>
    <w:p>
      <w:pPr>
        <w:pStyle w:val="00000a"/>
        <w:numPr>
          <w:ilvl w:val="0"/>
          <w:numId w:val="1"/>
        </w:numPr>
        <w:spacing w:after="60"/>
        <w:ind/>
      </w:pPr>
      <w:r>
        <w:rPr>
          <w:rFonts w:hint="eastAsia"/>
        </w:rPr>
        <w:t>[ ] 体验版清理测试数据后再提审</w:t>
      </w:r>
    </w:p>
    <w:p>
      <w:pPr>
        <w:pBdr>
          <w:bottom w:val="single" w:color="2E75B6" w:sz="6" w:space="1"/>
        </w:pBdr>
        <w:spacing w:before="80" w:after="80"/>
        <w:ind/>
      </w:pPr>
    </w:p>
    <w:p>
      <w:pPr>
        <w:pStyle w:val="000004"/>
        <w:ind/>
      </w:pPr>
      <w:r>
        <w:rPr>
          <w:rFonts w:hint="eastAsia"/>
        </w:rPr>
        <w:t>4. 风险与对策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/>
      </w:tblPr>
      <w:tblGrid>
        <w:gridCol w:w="4513"/>
        <w:gridCol w:w="4513"/>
      </w:tblGrid>
      <w:tr>
        <w:trPr>
          <w:wBefore/>
          <w:trHeight/>
        </w:trPr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风险</w:t>
            </w:r>
          </w:p>
        </w:tc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对策</w:t>
            </w:r>
          </w:p>
        </w:tc>
      </w:tr>
      <w:tr>
        <w:trPr>
          <w:wBefore/>
          <w:trHeight/>
        </w:trPr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主包超 2MB 提审失败</w:t>
            </w:r>
          </w:p>
        </w:tc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管理页/流水尽早分包；图片走 CDN/ COS 外链不进包</w:t>
            </w:r>
          </w:p>
        </w:tc>
      </w:tr>
      <w:tr>
        <w:trPr>
          <w:wBefore/>
          <w:trHeight/>
        </w:trPr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扫码弱光体验下降（无 torch）</w:t>
            </w:r>
          </w:p>
        </w:tc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依赖系统相机自动对焦；保留手动输入兜底，盘点场景够用</w:t>
            </w:r>
          </w:p>
        </w:tc>
      </w:tr>
      <w:tr>
        <w:trPr>
          <w:wBefore/>
          <w:trHeight/>
        </w:trPr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隐私指引漏声明被驳回</w:t>
            </w:r>
          </w:p>
        </w:tc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提交前按 §3 清单逐项勾选</w:t>
            </w:r>
          </w:p>
        </w:tc>
      </w:tr>
      <w:tr>
        <w:trPr>
          <w:wBefore/>
          <w:trHeight/>
        </w:trPr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备案延迟卡住上线</w:t>
            </w:r>
          </w:p>
        </w:tc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备案与开发并行启动；审核驳回预留 +1–7 工缓冲</w:t>
            </w:r>
          </w:p>
        </w:tc>
      </w:tr>
      <w:tr>
        <w:trPr>
          <w:wBefore/>
          <w:trHeight/>
        </w:trPr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Vant 组件逐个替换遗漏</w:t>
            </w:r>
          </w:p>
        </w:tc>
        <w:tc>
          <w:tcPr>
            <w:tcW w:w="4513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ind/>
            </w:pPr>
            <w:r>
              <w:rPr>
                <w:rFonts w:hint="eastAsia"/>
              </w:rPr>
              <w:t>按 `路线B_原生小程序迁移清单.md` 的 24 项映射表逐条核对</w:t>
            </w:r>
          </w:p>
        </w:tc>
      </w:tr>
    </w:tbl>
    <w:p>
      <w:pPr>
        <w:pBdr>
          <w:bottom w:val="single" w:color="2E75B6" w:sz="6" w:space="1"/>
        </w:pBdr>
        <w:spacing w:before="80" w:after="80"/>
        <w:ind/>
      </w:pPr>
    </w:p>
    <w:p>
      <w:pPr>
        <w:pStyle w:val="000004"/>
        <w:ind/>
      </w:pPr>
      <w:r>
        <w:rPr>
          <w:rFonts w:hint="eastAsia"/>
        </w:rPr>
        <w:t>5. 待业务方拍板的 2 项（影响 S3/S5 实现）</w:t>
      </w:r>
    </w:p>
    <w:p>
      <w:pPr>
        <w:spacing w:after="80"/>
        <w:ind/>
      </w:pPr>
      <w:r>
        <w:t xml:space="preserve">1. </w:t>
      </w:r>
      <w:r>
        <w:rPr>
          <w:rFonts w:hint="eastAsia"/>
          <w:b w:val="1"/>
          <w:bCs w:val="1"/>
        </w:rPr>
        <w:t>微信登录策略</w:t>
      </w:r>
      <w:r>
        <w:rPr>
          <w:rFonts w:hint="eastAsia"/>
        </w:rPr>
        <w:t>：任何人自动注册 staff / 仅管理员预绑定后登录</w:t>
      </w:r>
    </w:p>
    <w:p>
      <w:pPr>
        <w:spacing w:after="80"/>
        <w:ind/>
      </w:pPr>
      <w:r>
        <w:t xml:space="preserve">2. </w:t>
      </w:r>
      <w:r>
        <w:rPr>
          <w:rFonts w:hint="eastAsia"/>
          <w:b w:val="1"/>
          <w:bCs w:val="1"/>
        </w:rPr>
        <w:t>首次登录是否强制绑手机号</w:t>
      </w:r>
      <w:r>
        <w:rPr>
          <w:rFonts w:hint="eastAsia"/>
        </w:rPr>
        <w:t>：强制绑定现有账户 / 独立微信账号即可</w:t>
      </w:r>
    </w:p>
    <w:p>
      <w:pPr>
        <w:spacing w:after="80"/>
      </w:pPr>
      <w:r>
        <w:rPr>
          <w:rFonts w:hint="eastAsia"/>
        </w:rPr>
        <w:t>（主体=个人、数据=服务器本机、域名=.cn 均已定，无需再议。）</w:t>
      </w:r>
    </w:p>
    <w:sectPr>
      <w:footerReference r:id="rId6" w:type="default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after="0" w:line="240" w:lineRule="auto"/>
      </w:pPr>
      <w:r>
        <w:rPr>
          <w:rStyle w:val="000010"/>
        </w:rPr>
        <w:endnoteRef/>
      </w:r>
      <w:r>
        <w:continuationSeparator/>
      </w:r>
    </w:p>
  </w:endnote>
  <w:endnote w:type="separator" w:id="1">
    <w:p>
      <w:pPr>
        <w:spacing w:after="0" w:line="240" w:lineRule="auto"/>
      </w:pPr>
      <w:r>
        <w:rPr>
          <w:rStyle w:val="000010"/>
        </w:rPr>
        <w:endnoteRef/>
      </w:r>
      <w:r>
        <w:separator/>
      </w:r>
    </w:p>
  </w:endnote>
</w:endnotes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jc w:val="center"/>
    </w:pPr>
    <w:r>
      <w:rPr>
        <w:rFonts w:hint="eastAsia"/>
      </w:rPr>
      <w:t xml:space="preserve">第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Fonts w:hint="eastAsia"/>
      </w:rPr>
      <w:t xml:space="preserve"> 页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after="0" w:line="240" w:lineRule="auto"/>
      </w:pPr>
      <w:r>
        <w:rPr>
          <w:rStyle w:val="00000d"/>
        </w:rPr>
        <w:footnoteRef/>
      </w:r>
      <w:r>
        <w:continuationSeparator/>
      </w:r>
    </w:p>
  </w:footnote>
  <w:footnote w:type="separator" w:id="1">
    <w:p>
      <w:pPr>
        <w:spacing w:after="0" w:line="240" w:lineRule="auto"/>
      </w:pPr>
      <w:r>
        <w:rPr>
          <w:rStyle w:val="00000d"/>
        </w:rPr>
        <w:footnoteRef/>
      </w: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/>
        <w:ind w:left="420" w:hanging="240"/>
      </w:pPr>
      <w:rPr>
        <w:u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1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/>
  </w:docDefaults>
  <w:style w:type="character" w:styleId="00000d">
    <w:name w:val="footnote reference"/>
    <w:basedOn w:val="00000c"/>
    <w:uiPriority w:val="99"/>
    <w:semiHidden w:val="1"/>
    <w:unhideWhenUsed w:val="1"/>
    <w:rPr>
      <w:vertAlign w:val="superscript"/>
    </w:rPr>
  </w:style>
  <w:style w:type="paragraph" w:styleId="00000e">
    <w:name w:val="footnote text"/>
    <w:basedOn w:val="000002"/>
    <w:link w:val="00000f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000012">
    <w:name w:val="Endnote Text Char"/>
    <w:basedOn w:val="00000c"/>
    <w:link w:val="000011"/>
    <w:uiPriority w:val="99"/>
    <w:semiHidden w:val="1"/>
    <w:unhideWhenUsed w:val="1"/>
    <w:rPr>
      <w:sz w:val="20"/>
      <w:szCs w:val="20"/>
    </w:rPr>
  </w:style>
  <w:style w:type="paragraph" w:styleId="000007">
    <w:name w:val="Heading 5"/>
    <w:basedOn w:val="000002"/>
    <w:next w:val="000002"/>
    <w:qFormat w:val="1"/>
    <w:rPr>
      <w:color w:val="2E74B5"/>
    </w:rPr>
  </w:style>
  <w:style w:type="character" w:styleId="000010">
    <w:name w:val="endnote reference"/>
    <w:basedOn w:val="00000c"/>
    <w:uiPriority w:val="99"/>
    <w:semiHidden w:val="1"/>
    <w:unhideWhenUsed w:val="1"/>
    <w:rPr>
      <w:vertAlign w:val="superscript"/>
    </w:rPr>
  </w:style>
  <w:style w:type="paragraph" w:styleId="000006">
    <w:name w:val="Heading 4"/>
    <w:basedOn w:val="000002"/>
    <w:next w:val="000002"/>
    <w:qFormat w:val="1"/>
    <w:rPr>
      <w:i w:val="1"/>
      <w:iCs w:val="1"/>
      <w:color w:val="2E74B5"/>
    </w:rPr>
  </w:style>
  <w:style w:type="paragraph" w:styleId="000003">
    <w:name w:val="Heading 1"/>
    <w:basedOn w:val="000002"/>
    <w:next w:val="000002"/>
    <w:qFormat w:val="1"/>
    <w:pPr>
      <w:spacing w:before="320" w:after="200"/>
      <w:outlineLvl w:val="0"/>
    </w:pPr>
    <w:rPr>
      <w:rFonts w:ascii="Microsoft YaHei" w:hAnsi="Microsoft YaHei" w:eastAsia="Microsoft YaHei" w:cs="Microsoft YaHei"/>
      <w:b w:val="1"/>
      <w:bCs w:val="1"/>
      <w:color w:val="1F3864"/>
      <w:sz w:val="32"/>
      <w:szCs w:val="32"/>
    </w:rPr>
  </w:style>
  <w:style w:type="paragraph" w:styleId="000011">
    <w:name w:val="endnote text"/>
    <w:basedOn w:val="000002"/>
    <w:link w:val="000012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paragraph" w:styleId="000008">
    <w:name w:val="Heading 6"/>
    <w:basedOn w:val="000002"/>
    <w:next w:val="000002"/>
    <w:qFormat w:val="1"/>
    <w:rPr>
      <w:color w:val="1F4D78"/>
    </w:rPr>
  </w:style>
  <w:style w:type="character" w:styleId="00000f">
    <w:name w:val="Footnote Text Char"/>
    <w:basedOn w:val="00000c"/>
    <w:link w:val="00000e"/>
    <w:uiPriority w:val="99"/>
    <w:semiHidden w:val="1"/>
    <w:unhideWhenUsed w:val="1"/>
    <w:rPr>
      <w:sz w:val="20"/>
      <w:szCs w:val="20"/>
    </w:rPr>
  </w:style>
  <w:style w:type="paragraph" w:styleId="00000a">
    <w:name w:val="List Paragraph"/>
    <w:basedOn w:val="000002"/>
    <w:qFormat w:val="1"/>
  </w:style>
  <w:style w:type="paragraph" w:styleId="000009">
    <w:name w:val="Strong"/>
    <w:basedOn w:val="000002"/>
    <w:next w:val="000002"/>
    <w:qFormat w:val="1"/>
    <w:rPr>
      <w:b w:val="1"/>
      <w:bCs w:val="1"/>
    </w:rPr>
  </w:style>
  <w:style w:type="paragraph" w:styleId="000004">
    <w:name w:val="Heading 2"/>
    <w:basedOn w:val="000002"/>
    <w:next w:val="000002"/>
    <w:qFormat w:val="1"/>
    <w:pPr>
      <w:spacing w:before="240" w:after="140"/>
      <w:outlineLvl w:val="1"/>
    </w:pPr>
    <w:rPr>
      <w:rFonts w:ascii="Microsoft YaHei" w:hAnsi="Microsoft YaHei" w:eastAsia="Microsoft YaHei" w:cs="Microsoft YaHei"/>
      <w:b w:val="1"/>
      <w:bCs w:val="1"/>
      <w:color w:val="2E5B9A"/>
      <w:sz w:val="26"/>
      <w:szCs w:val="26"/>
    </w:rPr>
  </w:style>
  <w:style w:type="character" w:styleId="00000b">
    <w:name w:val="Hyperlink"/>
    <w:basedOn w:val="00000c"/>
    <w:uiPriority w:val="99"/>
    <w:unhideWhenUsed w:val="1"/>
    <w:rPr>
      <w:color w:val="0563C1"/>
      <w:u w:val="single"/>
    </w:rPr>
  </w:style>
  <w:style w:type="paragraph" w:styleId="000005">
    <w:name w:val="Heading 3"/>
    <w:basedOn w:val="000002"/>
    <w:next w:val="000002"/>
    <w:qFormat w:val="1"/>
    <w:pPr>
      <w:spacing w:before="180" w:after="100"/>
      <w:outlineLvl w:val="2"/>
    </w:pPr>
    <w:rPr>
      <w:rFonts w:ascii="Microsoft YaHei" w:hAnsi="Microsoft YaHei" w:eastAsia="Microsoft YaHei" w:cs="Microsoft YaHei"/>
      <w:b w:val="1"/>
      <w:bCs w:val="1"/>
      <w:color w:val="333333"/>
      <w:sz w:val="23"/>
      <w:szCs w:val="23"/>
    </w:rPr>
  </w:style>
  <w:style w:type="paragraph" w:styleId="000001">
    <w:name w:val="Title"/>
    <w:basedOn w:val="000002"/>
    <w:next w:val="000002"/>
    <w:qFormat w:val="1"/>
    <w:rPr>
      <w:sz w:val="56"/>
      <w:szCs w:val="5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endnotes" Target="endnotes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5" Type="http://schemas.openxmlformats.org/officeDocument/2006/relationships/numbering" Target="numbering.xml" /><Relationship Id="rId6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2026-08-06T10:11:02Z</dcterms:created>
  <dcterms:modified xsi:type="dcterms:W3CDTF">2026-08-06T10:11:02Z</dcterms:modified>
</cp:coreProperties>
</file>