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293B"/>
          <w:sz w:val="44"/>
        </w:rPr>
        <w:t>HGGAN Main Style Reference Sampling &amp; Long String Generation Analysis</w:t>
      </w:r>
    </w:p>
    <w:p>
      <w:r>
        <w:rPr>
          <w:b/>
        </w:rPr>
        <w:t xml:space="preserve">Checkpoint: </w:t>
      </w:r>
      <w:r>
        <w:t>best_fid_3.0260_main.pth (Epoch 56, Best FID: 3.0260, KID: 0.0633)</w:t>
        <w:br/>
      </w:r>
      <w:r>
        <w:rPr>
          <w:b/>
        </w:rPr>
        <w:t xml:space="preserve">Dataset: </w:t>
      </w:r>
      <w:r>
        <w:t>IAM Test Dataset (iam_test_64.hdf5, 25,432 samples across 161 writers)</w:t>
        <w:br/>
      </w:r>
      <w:r>
        <w:rPr>
          <w:b/>
        </w:rPr>
        <w:t xml:space="preserve">Architecture: </w:t>
      </w:r>
      <w:r>
        <w:t>Native 64px Global-Local Adversarial Model with Multi-Token Style Encoder (8x32 tokens)</w:t>
      </w:r>
    </w:p>
    <w:p>
      <w:pPr>
        <w:pStyle w:val="Heading1"/>
      </w:pPr>
      <w:r>
        <w:t>1. Executive Summary &amp; Objective</w:t>
      </w:r>
    </w:p>
    <w:p>
      <w:r>
        <w:t>This study systematically evaluates how the HGGAN Main (64px) generator and multi-token style encoder behave when conditioned on short, single-character, numeric, and punctuation reference images:</w:t>
        <w:br/>
        <w:t>1. Single Punctuation Marks ('.', ',', '?', '!', '"', '-')</w:t>
        <w:br/>
        <w:t>2. Single Digits ('1', '2', '3', '7', '8', '9')</w:t>
        <w:br/>
        <w:t>3. Multi-Digit Numbers ('37', '11', '17', '1604')</w:t>
        <w:br/>
        <w:t>4. Capitalized Letters / Words ('I', 'A', 'London')</w:t>
        <w:br/>
        <w:t>5. Full Word Controls (from matching authors) &amp; Unconditioned Baselines</w:t>
        <w:br/>
        <w:br/>
        <w:t>These styles were used to synthesize long target strings (13 to 50 characters) including words ('extraordinary', 'differentiation'), phrases ('Machine Learning'), and extended sentences ('the quick brown fox jumps over the lazy dog', 'Handwriting text generation with HGGAN in 2026.', 'Meeting at 10:30, room 402, with Dr. Watson.').</w:t>
      </w:r>
    </w:p>
    <w:p>
      <w:pPr>
        <w:pStyle w:val="Heading1"/>
      </w:pPr>
      <w:r>
        <w:t>2. Visual Showcases (Native x64 Resolution)</w:t>
      </w:r>
    </w:p>
    <w:p>
      <w:pPr>
        <w:pStyle w:val="Heading2"/>
      </w:pPr>
      <w:r>
        <w:t>Showcase 1: Full-Alphabet Long Sentence (43 Characters)</w:t>
      </w:r>
    </w:p>
    <w:p>
      <w:r>
        <w:rPr>
          <w:i/>
        </w:rPr>
        <w:t>Target: "the quick brown fox jumps over the lazy dog"</w:t>
      </w:r>
    </w:p>
    <w:p>
      <w:r>
        <w:drawing>
          <wp:inline xmlns:a="http://schemas.openxmlformats.org/drawingml/2006/main" xmlns:pic="http://schemas.openxmlformats.org/drawingml/2006/picture">
            <wp:extent cx="6400800" cy="6592186"/>
            <wp:docPr id="1" name="Picture 1"/>
            <wp:cNvGraphicFramePr>
              <a:graphicFrameLocks noChangeAspect="1"/>
            </wp:cNvGraphicFramePr>
            <a:graphic>
              <a:graphicData uri="http://schemas.openxmlformats.org/drawingml/2006/picture">
                <pic:pic>
                  <pic:nvPicPr>
                    <pic:cNvPr id="0" name="hggan_fine_grained_showcase_the_quick_brown_fox_jumps.png"/>
                    <pic:cNvPicPr/>
                  </pic:nvPicPr>
                  <pic:blipFill>
                    <a:blip r:embed="rId9"/>
                    <a:stretch>
                      <a:fillRect/>
                    </a:stretch>
                  </pic:blipFill>
                  <pic:spPr>
                    <a:xfrm>
                      <a:off x="0" y="0"/>
                      <a:ext cx="6400800" cy="6592186"/>
                    </a:xfrm>
                    <a:prstGeom prst="rect"/>
                  </pic:spPr>
                </pic:pic>
              </a:graphicData>
            </a:graphic>
          </wp:inline>
        </w:drawing>
      </w:r>
    </w:p>
    <w:p>
      <w:pPr>
        <w:pStyle w:val="Heading2"/>
      </w:pPr>
      <w:r>
        <w:t>Showcase 2: Complex 47-Character Alphanumeric &amp; Punctuation Sentence</w:t>
      </w:r>
    </w:p>
    <w:p>
      <w:r>
        <w:rPr>
          <w:i/>
        </w:rPr>
        <w:t>Target: "Handwriting text generation with HGGAN in 2026."</w:t>
      </w:r>
    </w:p>
    <w:p>
      <w:r>
        <w:drawing>
          <wp:inline xmlns:a="http://schemas.openxmlformats.org/drawingml/2006/main" xmlns:pic="http://schemas.openxmlformats.org/drawingml/2006/picture">
            <wp:extent cx="6400800" cy="6155888"/>
            <wp:docPr id="2" name="Picture 2"/>
            <wp:cNvGraphicFramePr>
              <a:graphicFrameLocks noChangeAspect="1"/>
            </wp:cNvGraphicFramePr>
            <a:graphic>
              <a:graphicData uri="http://schemas.openxmlformats.org/drawingml/2006/picture">
                <pic:pic>
                  <pic:nvPicPr>
                    <pic:cNvPr id="0" name="hggan_fine_grained_showcase_Handwriting_text_generati.png"/>
                    <pic:cNvPicPr/>
                  </pic:nvPicPr>
                  <pic:blipFill>
                    <a:blip r:embed="rId10"/>
                    <a:stretch>
                      <a:fillRect/>
                    </a:stretch>
                  </pic:blipFill>
                  <pic:spPr>
                    <a:xfrm>
                      <a:off x="0" y="0"/>
                      <a:ext cx="6400800" cy="6155888"/>
                    </a:xfrm>
                    <a:prstGeom prst="rect"/>
                  </pic:spPr>
                </pic:pic>
              </a:graphicData>
            </a:graphic>
          </wp:inline>
        </w:drawing>
      </w:r>
    </w:p>
    <w:p>
      <w:pPr>
        <w:pStyle w:val="Heading2"/>
      </w:pPr>
      <w:r>
        <w:t>Showcase 3: Single Long Word Generation (13 Characters)</w:t>
      </w:r>
    </w:p>
    <w:p>
      <w:r>
        <w:rPr>
          <w:i/>
        </w:rPr>
        <w:t>Target: "extraordinary"</w:t>
      </w:r>
    </w:p>
    <w:p>
      <w:r>
        <w:drawing>
          <wp:inline xmlns:a="http://schemas.openxmlformats.org/drawingml/2006/main" xmlns:pic="http://schemas.openxmlformats.org/drawingml/2006/picture">
            <wp:extent cx="6400800" cy="14072681"/>
            <wp:docPr id="3" name="Picture 3"/>
            <wp:cNvGraphicFramePr>
              <a:graphicFrameLocks noChangeAspect="1"/>
            </wp:cNvGraphicFramePr>
            <a:graphic>
              <a:graphicData uri="http://schemas.openxmlformats.org/drawingml/2006/picture">
                <pic:pic>
                  <pic:nvPicPr>
                    <pic:cNvPr id="0" name="hggan_fine_grained_showcase_extraordinary.png"/>
                    <pic:cNvPicPr/>
                  </pic:nvPicPr>
                  <pic:blipFill>
                    <a:blip r:embed="rId11"/>
                    <a:stretch>
                      <a:fillRect/>
                    </a:stretch>
                  </pic:blipFill>
                  <pic:spPr>
                    <a:xfrm>
                      <a:off x="0" y="0"/>
                      <a:ext cx="6400800" cy="14072681"/>
                    </a:xfrm>
                    <a:prstGeom prst="rect"/>
                  </pic:spPr>
                </pic:pic>
              </a:graphicData>
            </a:graphic>
          </wp:inline>
        </w:drawing>
      </w:r>
    </w:p>
    <w:p>
      <w:pPr>
        <w:pStyle w:val="Heading2"/>
      </w:pPr>
      <w:r>
        <w:t>Showcase 4: Multi-Author Style Transfer Comparison</w:t>
      </w:r>
    </w:p>
    <w:p>
      <w:r>
        <w:rPr>
          <w:i/>
        </w:rPr>
        <w:t>Comparing style consistency across 4 different writers under Punctuation vs Uppercase vs Full Word vs Unconditioned baselines.</w:t>
      </w:r>
    </w:p>
    <w:p>
      <w:r>
        <w:drawing>
          <wp:inline xmlns:a="http://schemas.openxmlformats.org/drawingml/2006/main" xmlns:pic="http://schemas.openxmlformats.org/drawingml/2006/picture">
            <wp:extent cx="6400800" cy="6812172"/>
            <wp:docPr id="4" name="Picture 4"/>
            <wp:cNvGraphicFramePr>
              <a:graphicFrameLocks noChangeAspect="1"/>
            </wp:cNvGraphicFramePr>
            <a:graphic>
              <a:graphicData uri="http://schemas.openxmlformats.org/drawingml/2006/picture">
                <pic:pic>
                  <pic:nvPicPr>
                    <pic:cNvPr id="0" name="hggan_master_comparison_the_quick_brown_fox_jumps.png"/>
                    <pic:cNvPicPr/>
                  </pic:nvPicPr>
                  <pic:blipFill>
                    <a:blip r:embed="rId12"/>
                    <a:stretch>
                      <a:fillRect/>
                    </a:stretch>
                  </pic:blipFill>
                  <pic:spPr>
                    <a:xfrm>
                      <a:off x="0" y="0"/>
                      <a:ext cx="6400800" cy="6812172"/>
                    </a:xfrm>
                    <a:prstGeom prst="rect"/>
                  </pic:spPr>
                </pic:pic>
              </a:graphicData>
            </a:graphic>
          </wp:inline>
        </w:drawing>
      </w:r>
    </w:p>
    <w:p>
      <w:pPr>
        <w:pStyle w:val="Heading1"/>
      </w:pPr>
      <w:r>
        <w:t>3. Quantitative Style Token Statistics</w:t>
      </w:r>
    </w:p>
    <w:p>
      <w:r>
        <w:t>In HGGAN Main, the StyleEncoder outputs an 8 x 32 tensor Z in R^(8x32):</w:t>
        <w:br/>
        <w:t>• Token 0 (z_0 in R^32): Global Style Context (modulates generator CCBN).</w:t>
        <w:br/>
        <w:t>• Tokens 1..7 (z_1:7 in R^(7x32)): Local Stroke Attentive Tokens (modulate character-level allographs via style_content_mix).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bottom w:w="80" w:type="dxa"/>
              <w:left w:w="100" w:type="dxa"/>
              <w:right w:w="100" w:type="dxa"/>
            </w:tcMar>
            <w:shd w:fill="1E293B"/>
          </w:tcPr>
          <w:p>
            <w:r>
              <w:rPr>
                <w:b/>
                <w:color w:val="FFFFFF"/>
              </w:rPr>
              <w:t>Reference Category</w:t>
            </w:r>
          </w:p>
        </w:tc>
        <w:tc>
          <w:tcPr>
            <w:tcW w:type="dxa" w:w="2016"/>
            <w:tcMar>
              <w:top w:w="80" w:type="dxa"/>
              <w:bottom w:w="80" w:type="dxa"/>
              <w:left w:w="100" w:type="dxa"/>
              <w:right w:w="100" w:type="dxa"/>
            </w:tcMar>
            <w:shd w:fill="1E293B"/>
          </w:tcPr>
          <w:p>
            <w:r>
              <w:rPr>
                <w:b/>
                <w:color w:val="FFFFFF"/>
              </w:rPr>
              <w:t>Count (N)</w:t>
            </w:r>
          </w:p>
        </w:tc>
        <w:tc>
          <w:tcPr>
            <w:tcW w:type="dxa" w:w="2016"/>
            <w:tcMar>
              <w:top w:w="80" w:type="dxa"/>
              <w:bottom w:w="80" w:type="dxa"/>
              <w:left w:w="100" w:type="dxa"/>
              <w:right w:w="100" w:type="dxa"/>
            </w:tcMar>
            <w:shd w:fill="1E293B"/>
          </w:tcPr>
          <w:p>
            <w:r>
              <w:rPr>
                <w:b/>
                <w:color w:val="FFFFFF"/>
              </w:rPr>
              <w:t>Global Norm (Mean ± Std)</w:t>
            </w:r>
          </w:p>
        </w:tc>
        <w:tc>
          <w:tcPr>
            <w:tcW w:type="dxa" w:w="2016"/>
            <w:tcMar>
              <w:top w:w="80" w:type="dxa"/>
              <w:bottom w:w="80" w:type="dxa"/>
              <w:left w:w="100" w:type="dxa"/>
              <w:right w:w="100" w:type="dxa"/>
            </w:tcMar>
            <w:shd w:fill="1E293B"/>
          </w:tcPr>
          <w:p>
            <w:r>
              <w:rPr>
                <w:b/>
                <w:color w:val="FFFFFF"/>
              </w:rPr>
              <w:t>Total Norm</w:t>
            </w:r>
          </w:p>
        </w:tc>
        <w:tc>
          <w:tcPr>
            <w:tcW w:type="dxa" w:w="2016"/>
            <w:tcMar>
              <w:top w:w="80" w:type="dxa"/>
              <w:bottom w:w="80" w:type="dxa"/>
              <w:left w:w="100" w:type="dxa"/>
              <w:right w:w="100" w:type="dxa"/>
            </w:tcMar>
            <w:shd w:fill="1E293B"/>
          </w:tcPr>
          <w:p>
            <w:r>
              <w:rPr>
                <w:b/>
                <w:color w:val="FFFFFF"/>
              </w:rPr>
              <w:t>Characteristic Quality</w:t>
            </w:r>
          </w:p>
        </w:tc>
      </w:tr>
      <w:tr>
        <w:tc>
          <w:tcPr>
            <w:tcW w:type="dxa" w:w="2016"/>
            <w:tcMar>
              <w:top w:w="80" w:type="dxa"/>
              <w:bottom w:w="80" w:type="dxa"/>
              <w:left w:w="100" w:type="dxa"/>
              <w:right w:w="100" w:type="dxa"/>
            </w:tcMar>
            <w:shd w:fill="F8FAFC"/>
          </w:tcPr>
          <w:p>
            <w:r>
              <w:t>Full Long Words (&gt;= 6 chars)</w:t>
            </w:r>
          </w:p>
        </w:tc>
        <w:tc>
          <w:tcPr>
            <w:tcW w:type="dxa" w:w="2016"/>
            <w:tcMar>
              <w:top w:w="80" w:type="dxa"/>
              <w:bottom w:w="80" w:type="dxa"/>
              <w:left w:w="100" w:type="dxa"/>
              <w:right w:w="100" w:type="dxa"/>
            </w:tcMar>
            <w:shd w:fill="F8FAFC"/>
          </w:tcPr>
          <w:p>
            <w:r>
              <w:t>50</w:t>
            </w:r>
          </w:p>
        </w:tc>
        <w:tc>
          <w:tcPr>
            <w:tcW w:type="dxa" w:w="2016"/>
            <w:tcMar>
              <w:top w:w="80" w:type="dxa"/>
              <w:bottom w:w="80" w:type="dxa"/>
              <w:left w:w="100" w:type="dxa"/>
              <w:right w:w="100" w:type="dxa"/>
            </w:tcMar>
            <w:shd w:fill="F8FAFC"/>
          </w:tcPr>
          <w:p>
            <w:r>
              <w:t>6.46 ± 1.43</w:t>
            </w:r>
          </w:p>
        </w:tc>
        <w:tc>
          <w:tcPr>
            <w:tcW w:type="dxa" w:w="2016"/>
            <w:tcMar>
              <w:top w:w="80" w:type="dxa"/>
              <w:bottom w:w="80" w:type="dxa"/>
              <w:left w:w="100" w:type="dxa"/>
              <w:right w:w="100" w:type="dxa"/>
            </w:tcMar>
            <w:shd w:fill="F8FAFC"/>
          </w:tcPr>
          <w:p>
            <w:r>
              <w:t>6.53</w:t>
            </w:r>
          </w:p>
        </w:tc>
        <w:tc>
          <w:tcPr>
            <w:tcW w:type="dxa" w:w="2016"/>
            <w:tcMar>
              <w:top w:w="80" w:type="dxa"/>
              <w:bottom w:w="80" w:type="dxa"/>
              <w:left w:w="100" w:type="dxa"/>
              <w:right w:w="100" w:type="dxa"/>
            </w:tcMar>
            <w:shd w:fill="F8FAFC"/>
          </w:tcPr>
          <w:p>
            <w:r>
              <w:t>Gold Standard: Exceptional fidelity, smooth ligatures, realistic ink pressure.</w:t>
            </w:r>
          </w:p>
        </w:tc>
      </w:tr>
      <w:tr>
        <w:tc>
          <w:tcPr>
            <w:tcW w:type="dxa" w:w="2016"/>
            <w:tcMar>
              <w:top w:w="80" w:type="dxa"/>
              <w:bottom w:w="80" w:type="dxa"/>
              <w:left w:w="100" w:type="dxa"/>
              <w:right w:w="100" w:type="dxa"/>
            </w:tcMar>
            <w:shd w:fill="FFFFFF"/>
          </w:tcPr>
          <w:p>
            <w:r>
              <w:t>Short Words (&lt;= 5 chars)</w:t>
            </w:r>
          </w:p>
        </w:tc>
        <w:tc>
          <w:tcPr>
            <w:tcW w:type="dxa" w:w="2016"/>
            <w:tcMar>
              <w:top w:w="80" w:type="dxa"/>
              <w:bottom w:w="80" w:type="dxa"/>
              <w:left w:w="100" w:type="dxa"/>
              <w:right w:w="100" w:type="dxa"/>
            </w:tcMar>
            <w:shd w:fill="FFFFFF"/>
          </w:tcPr>
          <w:p>
            <w:r>
              <w:t>50</w:t>
            </w:r>
          </w:p>
        </w:tc>
        <w:tc>
          <w:tcPr>
            <w:tcW w:type="dxa" w:w="2016"/>
            <w:tcMar>
              <w:top w:w="80" w:type="dxa"/>
              <w:bottom w:w="80" w:type="dxa"/>
              <w:left w:w="100" w:type="dxa"/>
              <w:right w:w="100" w:type="dxa"/>
            </w:tcMar>
            <w:shd w:fill="FFFFFF"/>
          </w:tcPr>
          <w:p>
            <w:r>
              <w:t>7.68 ± 1.61</w:t>
            </w:r>
          </w:p>
        </w:tc>
        <w:tc>
          <w:tcPr>
            <w:tcW w:type="dxa" w:w="2016"/>
            <w:tcMar>
              <w:top w:w="80" w:type="dxa"/>
              <w:bottom w:w="80" w:type="dxa"/>
              <w:left w:w="100" w:type="dxa"/>
              <w:right w:w="100" w:type="dxa"/>
            </w:tcMar>
            <w:shd w:fill="FFFFFF"/>
          </w:tcPr>
          <w:p>
            <w:r>
              <w:t>7.74</w:t>
            </w:r>
          </w:p>
        </w:tc>
        <w:tc>
          <w:tcPr>
            <w:tcW w:type="dxa" w:w="2016"/>
            <w:tcMar>
              <w:top w:w="80" w:type="dxa"/>
              <w:bottom w:w="80" w:type="dxa"/>
              <w:left w:w="100" w:type="dxa"/>
              <w:right w:w="100" w:type="dxa"/>
            </w:tcMar>
            <w:shd w:fill="FFFFFF"/>
          </w:tcPr>
          <w:p>
            <w:r>
              <w:t>High Fidelity: Crisp letter shapes and consistent baseline.</w:t>
            </w:r>
          </w:p>
        </w:tc>
      </w:tr>
      <w:tr>
        <w:tc>
          <w:tcPr>
            <w:tcW w:type="dxa" w:w="2016"/>
            <w:tcMar>
              <w:top w:w="80" w:type="dxa"/>
              <w:bottom w:w="80" w:type="dxa"/>
              <w:left w:w="100" w:type="dxa"/>
              <w:right w:w="100" w:type="dxa"/>
            </w:tcMar>
            <w:shd w:fill="F8FAFC"/>
          </w:tcPr>
          <w:p>
            <w:r>
              <w:t>Capitalized Words (London, Mr)</w:t>
            </w:r>
          </w:p>
        </w:tc>
        <w:tc>
          <w:tcPr>
            <w:tcW w:type="dxa" w:w="2016"/>
            <w:tcMar>
              <w:top w:w="80" w:type="dxa"/>
              <w:bottom w:w="80" w:type="dxa"/>
              <w:left w:w="100" w:type="dxa"/>
              <w:right w:w="100" w:type="dxa"/>
            </w:tcMar>
            <w:shd w:fill="F8FAFC"/>
          </w:tcPr>
          <w:p>
            <w:r>
              <w:t>50</w:t>
            </w:r>
          </w:p>
        </w:tc>
        <w:tc>
          <w:tcPr>
            <w:tcW w:type="dxa" w:w="2016"/>
            <w:tcMar>
              <w:top w:w="80" w:type="dxa"/>
              <w:bottom w:w="80" w:type="dxa"/>
              <w:left w:w="100" w:type="dxa"/>
              <w:right w:w="100" w:type="dxa"/>
            </w:tcMar>
            <w:shd w:fill="F8FAFC"/>
          </w:tcPr>
          <w:p>
            <w:r>
              <w:t>7.69 ± 2.33</w:t>
            </w:r>
          </w:p>
        </w:tc>
        <w:tc>
          <w:tcPr>
            <w:tcW w:type="dxa" w:w="2016"/>
            <w:tcMar>
              <w:top w:w="80" w:type="dxa"/>
              <w:bottom w:w="80" w:type="dxa"/>
              <w:left w:w="100" w:type="dxa"/>
              <w:right w:w="100" w:type="dxa"/>
            </w:tcMar>
            <w:shd w:fill="F8FAFC"/>
          </w:tcPr>
          <w:p>
            <w:r>
              <w:t>7.75</w:t>
            </w:r>
          </w:p>
        </w:tc>
        <w:tc>
          <w:tcPr>
            <w:tcW w:type="dxa" w:w="2016"/>
            <w:tcMar>
              <w:top w:w="80" w:type="dxa"/>
              <w:bottom w:w="80" w:type="dxa"/>
              <w:left w:w="100" w:type="dxa"/>
              <w:right w:w="100" w:type="dxa"/>
            </w:tcMar>
            <w:shd w:fill="F8FAFC"/>
          </w:tcPr>
          <w:p>
            <w:r>
              <w:t>High Fidelity: Natural ascender height and kerning.</w:t>
            </w:r>
          </w:p>
        </w:tc>
      </w:tr>
      <w:tr>
        <w:tc>
          <w:tcPr>
            <w:tcW w:type="dxa" w:w="2016"/>
            <w:tcMar>
              <w:top w:w="80" w:type="dxa"/>
              <w:bottom w:w="80" w:type="dxa"/>
              <w:left w:w="100" w:type="dxa"/>
              <w:right w:w="100" w:type="dxa"/>
            </w:tcMar>
            <w:shd w:fill="FFFFFF"/>
          </w:tcPr>
          <w:p>
            <w:r>
              <w:t>Single Digits ('1', '2', '3', '7', '8', '9')</w:t>
            </w:r>
          </w:p>
        </w:tc>
        <w:tc>
          <w:tcPr>
            <w:tcW w:type="dxa" w:w="2016"/>
            <w:tcMar>
              <w:top w:w="80" w:type="dxa"/>
              <w:bottom w:w="80" w:type="dxa"/>
              <w:left w:w="100" w:type="dxa"/>
              <w:right w:w="100" w:type="dxa"/>
            </w:tcMar>
            <w:shd w:fill="FFFFFF"/>
          </w:tcPr>
          <w:p>
            <w:r>
              <w:t>16</w:t>
            </w:r>
          </w:p>
        </w:tc>
        <w:tc>
          <w:tcPr>
            <w:tcW w:type="dxa" w:w="2016"/>
            <w:tcMar>
              <w:top w:w="80" w:type="dxa"/>
              <w:bottom w:w="80" w:type="dxa"/>
              <w:left w:w="100" w:type="dxa"/>
              <w:right w:w="100" w:type="dxa"/>
            </w:tcMar>
            <w:shd w:fill="FFFFFF"/>
          </w:tcPr>
          <w:p>
            <w:r>
              <w:t>8.42 ± 1.54</w:t>
            </w:r>
          </w:p>
        </w:tc>
        <w:tc>
          <w:tcPr>
            <w:tcW w:type="dxa" w:w="2016"/>
            <w:tcMar>
              <w:top w:w="80" w:type="dxa"/>
              <w:bottom w:w="80" w:type="dxa"/>
              <w:left w:w="100" w:type="dxa"/>
              <w:right w:w="100" w:type="dxa"/>
            </w:tcMar>
            <w:shd w:fill="FFFFFF"/>
          </w:tcPr>
          <w:p>
            <w:r>
              <w:t>8.48</w:t>
            </w:r>
          </w:p>
        </w:tc>
        <w:tc>
          <w:tcPr>
            <w:tcW w:type="dxa" w:w="2016"/>
            <w:tcMar>
              <w:top w:w="80" w:type="dxa"/>
              <w:bottom w:w="80" w:type="dxa"/>
              <w:left w:w="100" w:type="dxa"/>
              <w:right w:w="100" w:type="dxa"/>
            </w:tcMar>
            <w:shd w:fill="FFFFFF"/>
          </w:tcPr>
          <w:p>
            <w:r>
              <w:t>High Stylistic Diversity: Accurate transfer of pen slant, weight, and roundness.</w:t>
            </w:r>
          </w:p>
        </w:tc>
      </w:tr>
      <w:tr>
        <w:tc>
          <w:tcPr>
            <w:tcW w:type="dxa" w:w="2016"/>
            <w:tcMar>
              <w:top w:w="80" w:type="dxa"/>
              <w:bottom w:w="80" w:type="dxa"/>
              <w:left w:w="100" w:type="dxa"/>
              <w:right w:w="100" w:type="dxa"/>
            </w:tcMar>
            <w:shd w:fill="F8FAFC"/>
          </w:tcPr>
          <w:p>
            <w:r>
              <w:t>Multi-digit Numbers ('37', '11', '17')</w:t>
            </w:r>
          </w:p>
        </w:tc>
        <w:tc>
          <w:tcPr>
            <w:tcW w:type="dxa" w:w="2016"/>
            <w:tcMar>
              <w:top w:w="80" w:type="dxa"/>
              <w:bottom w:w="80" w:type="dxa"/>
              <w:left w:w="100" w:type="dxa"/>
              <w:right w:w="100" w:type="dxa"/>
            </w:tcMar>
            <w:shd w:fill="F8FAFC"/>
          </w:tcPr>
          <w:p>
            <w:r>
              <w:t>35</w:t>
            </w:r>
          </w:p>
        </w:tc>
        <w:tc>
          <w:tcPr>
            <w:tcW w:type="dxa" w:w="2016"/>
            <w:tcMar>
              <w:top w:w="80" w:type="dxa"/>
              <w:bottom w:w="80" w:type="dxa"/>
              <w:left w:w="100" w:type="dxa"/>
              <w:right w:w="100" w:type="dxa"/>
            </w:tcMar>
            <w:shd w:fill="F8FAFC"/>
          </w:tcPr>
          <w:p>
            <w:r>
              <w:t>8.64 ± 2.24</w:t>
            </w:r>
          </w:p>
        </w:tc>
        <w:tc>
          <w:tcPr>
            <w:tcW w:type="dxa" w:w="2016"/>
            <w:tcMar>
              <w:top w:w="80" w:type="dxa"/>
              <w:bottom w:w="80" w:type="dxa"/>
              <w:left w:w="100" w:type="dxa"/>
              <w:right w:w="100" w:type="dxa"/>
            </w:tcMar>
            <w:shd w:fill="F8FAFC"/>
          </w:tcPr>
          <w:p>
            <w:r>
              <w:t>8.70</w:t>
            </w:r>
          </w:p>
        </w:tc>
        <w:tc>
          <w:tcPr>
            <w:tcW w:type="dxa" w:w="2016"/>
            <w:tcMar>
              <w:top w:w="80" w:type="dxa"/>
              <w:bottom w:w="80" w:type="dxa"/>
              <w:left w:w="100" w:type="dxa"/>
              <w:right w:w="100" w:type="dxa"/>
            </w:tcMar>
            <w:shd w:fill="F8FAFC"/>
          </w:tcPr>
          <w:p>
            <w:r>
              <w:t>Clean &amp; Stable: Broad spatial support (64-160px) yields natural handwriting.</w:t>
            </w:r>
          </w:p>
        </w:tc>
      </w:tr>
      <w:tr>
        <w:tc>
          <w:tcPr>
            <w:tcW w:type="dxa" w:w="2016"/>
            <w:tcMar>
              <w:top w:w="80" w:type="dxa"/>
              <w:bottom w:w="80" w:type="dxa"/>
              <w:left w:w="100" w:type="dxa"/>
              <w:right w:w="100" w:type="dxa"/>
            </w:tcMar>
            <w:shd w:fill="FFFFFF"/>
          </w:tcPr>
          <w:p>
            <w:r>
              <w:t>Single Capital Letters ('I', 'A')</w:t>
            </w:r>
          </w:p>
        </w:tc>
        <w:tc>
          <w:tcPr>
            <w:tcW w:type="dxa" w:w="2016"/>
            <w:tcMar>
              <w:top w:w="80" w:type="dxa"/>
              <w:bottom w:w="80" w:type="dxa"/>
              <w:left w:w="100" w:type="dxa"/>
              <w:right w:w="100" w:type="dxa"/>
            </w:tcMar>
            <w:shd w:fill="FFFFFF"/>
          </w:tcPr>
          <w:p>
            <w:r>
              <w:t>50</w:t>
            </w:r>
          </w:p>
        </w:tc>
        <w:tc>
          <w:tcPr>
            <w:tcW w:type="dxa" w:w="2016"/>
            <w:tcMar>
              <w:top w:w="80" w:type="dxa"/>
              <w:bottom w:w="80" w:type="dxa"/>
              <w:left w:w="100" w:type="dxa"/>
              <w:right w:w="100" w:type="dxa"/>
            </w:tcMar>
            <w:shd w:fill="FFFFFF"/>
          </w:tcPr>
          <w:p>
            <w:r>
              <w:t>10.07 ± 2.24</w:t>
            </w:r>
          </w:p>
        </w:tc>
        <w:tc>
          <w:tcPr>
            <w:tcW w:type="dxa" w:w="2016"/>
            <w:tcMar>
              <w:top w:w="80" w:type="dxa"/>
              <w:bottom w:w="80" w:type="dxa"/>
              <w:left w:w="100" w:type="dxa"/>
              <w:right w:w="100" w:type="dxa"/>
            </w:tcMar>
            <w:shd w:fill="FFFFFF"/>
          </w:tcPr>
          <w:p>
            <w:r>
              <w:t>10.11</w:t>
            </w:r>
          </w:p>
        </w:tc>
        <w:tc>
          <w:tcPr>
            <w:tcW w:type="dxa" w:w="2016"/>
            <w:tcMar>
              <w:top w:w="80" w:type="dxa"/>
              <w:bottom w:w="80" w:type="dxa"/>
              <w:left w:w="100" w:type="dxa"/>
              <w:right w:w="100" w:type="dxa"/>
            </w:tcMar>
            <w:shd w:fill="FFFFFF"/>
          </w:tcPr>
          <w:p>
            <w:r>
              <w:t>Strong Downstroke Guidance: Solid letter structures.</w:t>
            </w:r>
          </w:p>
        </w:tc>
      </w:tr>
      <w:tr>
        <w:tc>
          <w:tcPr>
            <w:tcW w:type="dxa" w:w="2016"/>
            <w:tcMar>
              <w:top w:w="80" w:type="dxa"/>
              <w:bottom w:w="80" w:type="dxa"/>
              <w:left w:w="100" w:type="dxa"/>
              <w:right w:w="100" w:type="dxa"/>
            </w:tcMar>
            <w:shd w:fill="F8FAFC"/>
          </w:tcPr>
          <w:p>
            <w:r>
              <w:t>Punctuation Marks ('.', ',', '?', '!', '"')</w:t>
            </w:r>
          </w:p>
        </w:tc>
        <w:tc>
          <w:tcPr>
            <w:tcW w:type="dxa" w:w="2016"/>
            <w:tcMar>
              <w:top w:w="80" w:type="dxa"/>
              <w:bottom w:w="80" w:type="dxa"/>
              <w:left w:w="100" w:type="dxa"/>
              <w:right w:w="100" w:type="dxa"/>
            </w:tcMar>
            <w:shd w:fill="F8FAFC"/>
          </w:tcPr>
          <w:p>
            <w:r>
              <w:t>50</w:t>
            </w:r>
          </w:p>
        </w:tc>
        <w:tc>
          <w:tcPr>
            <w:tcW w:type="dxa" w:w="2016"/>
            <w:tcMar>
              <w:top w:w="80" w:type="dxa"/>
              <w:bottom w:w="80" w:type="dxa"/>
              <w:left w:w="100" w:type="dxa"/>
              <w:right w:w="100" w:type="dxa"/>
            </w:tcMar>
            <w:shd w:fill="F8FAFC"/>
          </w:tcPr>
          <w:p>
            <w:r>
              <w:t>9.73 ± 2.46</w:t>
            </w:r>
          </w:p>
        </w:tc>
        <w:tc>
          <w:tcPr>
            <w:tcW w:type="dxa" w:w="2016"/>
            <w:tcMar>
              <w:top w:w="80" w:type="dxa"/>
              <w:bottom w:w="80" w:type="dxa"/>
              <w:left w:w="100" w:type="dxa"/>
              <w:right w:w="100" w:type="dxa"/>
            </w:tcMar>
            <w:shd w:fill="F8FAFC"/>
          </w:tcPr>
          <w:p>
            <w:r>
              <w:t>9.79</w:t>
            </w:r>
          </w:p>
        </w:tc>
        <w:tc>
          <w:tcPr>
            <w:tcW w:type="dxa" w:w="2016"/>
            <w:tcMar>
              <w:top w:w="80" w:type="dxa"/>
              <w:bottom w:w="80" w:type="dxa"/>
              <w:left w:w="100" w:type="dxa"/>
              <w:right w:w="100" w:type="dxa"/>
            </w:tcMar>
            <w:shd w:fill="F8FAFC"/>
          </w:tcPr>
          <w:p>
            <w:r>
              <w:t>Bimodal: Directional marks (',', '?', '!') excel; isolated dots show elongation.</w:t>
            </w:r>
          </w:p>
        </w:tc>
      </w:tr>
    </w:tbl>
    <w:p>
      <w:pPr>
        <w:pStyle w:val="Heading1"/>
      </w:pPr>
      <w:r>
        <w:t>4. Key Architectural &amp; Empirical Insights</w:t>
      </w:r>
    </w:p>
    <w:p>
      <w:r>
        <w:t>1. Multi-Token Disentanglement (8x32 vs SpiS-GAN's 1x96):</w:t>
        <w:br/>
        <w:t xml:space="preserve">   HGGAN Main uses an 8-token representation where local tokens are extracted via cross-attention with fixed orthogonal slot anchors. Total style norm remains tightly bounded between 6.53 and 10.11 across all categories without exploding on short crops.</w:t>
        <w:br/>
        <w:br/>
        <w:t>2. Behavior on Punctuation Marks:</w:t>
        <w:br/>
        <w:t xml:space="preserve">   Directional marks (',', '?', '!', '"') produce exceptionally clean, high-resolution handwriting without background margin smudges. Isolated dots ('.') lack horizontal stroke context, resulting in vertical stroke elongation.</w:t>
        <w:br/>
        <w:br/>
        <w:t>3. High-Fidelity Style Transfer from Single Digits:</w:t>
        <w:br/>
        <w:t xml:space="preserve">   • Digit '1' (w13): Sharp forward cursive slant across 43-character sentences.</w:t>
        <w:br/>
        <w:t xml:space="preserve">   • Digit '2' (w29): Upright, rounded letters.</w:t>
        <w:br/>
        <w:t xml:space="preserve">   • Digit '3' (w34): Relaxed open-kerning lowercase cursive.</w:t>
        <w:br/>
        <w:t xml:space="preserve">   • Digit '7' (w32): Rich, dark, high-contrast strokes with natural ligatures.</w:t>
        <w:br/>
        <w:t xml:space="preserve">   • Digit '9' (w137): Ultra-thin ballpoint pen writing with delicate ascenders.</w:t>
        <w:br/>
        <w:br/>
        <w:t>4. Native 64-Pixel Resolution Advantages:</w:t>
        <w:br/>
        <w:t xml:space="preserve">   StyleFrequencyRefinement generates realistic high-frequency edge variations and pen-pressure gradients without pixelation artifacts.</w:t>
      </w:r>
    </w:p>
    <w:p>
      <w:pPr>
        <w:pStyle w:val="Heading1"/>
      </w:pPr>
      <w:r>
        <w:t>5. Direct Comparison: SpiS-GAN vs HGGAN Main</w:t>
      </w:r>
    </w:p>
    <w:tbl>
      <w:tblPr>
        <w:tblW w:type="auto" w:w="0"/>
        <w:jc w:val="center"/>
        <w:tblLook w:firstColumn="1" w:firstRow="1" w:lastColumn="0" w:lastRow="0" w:noHBand="0" w:noVBand="1" w:val="04A0"/>
      </w:tblPr>
      <w:tblGrid>
        <w:gridCol w:w="3360"/>
        <w:gridCol w:w="3360"/>
        <w:gridCol w:w="3360"/>
      </w:tblGrid>
      <w:tr>
        <w:tc>
          <w:tcPr>
            <w:tcW w:type="dxa" w:w="3360"/>
            <w:tcMar>
              <w:top w:w="80" w:type="dxa"/>
              <w:bottom w:w="80" w:type="dxa"/>
              <w:left w:w="100" w:type="dxa"/>
              <w:right w:w="100" w:type="dxa"/>
            </w:tcMar>
            <w:shd w:fill="1E293B"/>
          </w:tcPr>
          <w:p>
            <w:r>
              <w:rPr>
                <w:b/>
                <w:color w:val="FFFFFF"/>
              </w:rPr>
              <w:t>Dimension / Metric</w:t>
            </w:r>
          </w:p>
        </w:tc>
        <w:tc>
          <w:tcPr>
            <w:tcW w:type="dxa" w:w="3360"/>
            <w:tcMar>
              <w:top w:w="80" w:type="dxa"/>
              <w:bottom w:w="80" w:type="dxa"/>
              <w:left w:w="100" w:type="dxa"/>
              <w:right w:w="100" w:type="dxa"/>
            </w:tcMar>
            <w:shd w:fill="1E293B"/>
          </w:tcPr>
          <w:p>
            <w:r>
              <w:rPr>
                <w:b/>
                <w:color w:val="FFFFFF"/>
              </w:rPr>
              <w:t>SpiS-GAN (x32)</w:t>
            </w:r>
          </w:p>
        </w:tc>
        <w:tc>
          <w:tcPr>
            <w:tcW w:type="dxa" w:w="3360"/>
            <w:tcMar>
              <w:top w:w="80" w:type="dxa"/>
              <w:bottom w:w="80" w:type="dxa"/>
              <w:left w:w="100" w:type="dxa"/>
              <w:right w:w="100" w:type="dxa"/>
            </w:tcMar>
            <w:shd w:fill="1E293B"/>
          </w:tcPr>
          <w:p>
            <w:r>
              <w:rPr>
                <w:b/>
                <w:color w:val="FFFFFF"/>
              </w:rPr>
              <w:t>HGGAN Main (x64)</w:t>
            </w:r>
          </w:p>
        </w:tc>
      </w:tr>
      <w:tr>
        <w:tc>
          <w:tcPr>
            <w:tcW w:type="dxa" w:w="3360"/>
            <w:tcMar>
              <w:top w:w="80" w:type="dxa"/>
              <w:bottom w:w="80" w:type="dxa"/>
              <w:left w:w="100" w:type="dxa"/>
              <w:right w:w="100" w:type="dxa"/>
            </w:tcMar>
            <w:shd w:fill="F8FAFC"/>
          </w:tcPr>
          <w:p>
            <w:r>
              <w:t>Output Resolution</w:t>
            </w:r>
          </w:p>
        </w:tc>
        <w:tc>
          <w:tcPr>
            <w:tcW w:type="dxa" w:w="3360"/>
            <w:tcMar>
              <w:top w:w="80" w:type="dxa"/>
              <w:bottom w:w="80" w:type="dxa"/>
              <w:left w:w="100" w:type="dxa"/>
              <w:right w:w="100" w:type="dxa"/>
            </w:tcMar>
            <w:shd w:fill="F8FAFC"/>
          </w:tcPr>
          <w:p>
            <w:r>
              <w:t>32 x W</w:t>
            </w:r>
          </w:p>
        </w:tc>
        <w:tc>
          <w:tcPr>
            <w:tcW w:type="dxa" w:w="3360"/>
            <w:tcMar>
              <w:top w:w="80" w:type="dxa"/>
              <w:bottom w:w="80" w:type="dxa"/>
              <w:left w:w="100" w:type="dxa"/>
              <w:right w:w="100" w:type="dxa"/>
            </w:tcMar>
            <w:shd w:fill="F8FAFC"/>
          </w:tcPr>
          <w:p>
            <w:r>
              <w:t>64 x W (2x vertical detail)</w:t>
            </w:r>
          </w:p>
        </w:tc>
      </w:tr>
      <w:tr>
        <w:tc>
          <w:tcPr>
            <w:tcW w:type="dxa" w:w="3360"/>
            <w:tcMar>
              <w:top w:w="80" w:type="dxa"/>
              <w:bottom w:w="80" w:type="dxa"/>
              <w:left w:w="100" w:type="dxa"/>
              <w:right w:w="100" w:type="dxa"/>
            </w:tcMar>
            <w:shd w:fill="FFFFFF"/>
          </w:tcPr>
          <w:p>
            <w:r>
              <w:t>Best IAM FID</w:t>
            </w:r>
          </w:p>
        </w:tc>
        <w:tc>
          <w:tcPr>
            <w:tcW w:type="dxa" w:w="3360"/>
            <w:tcMar>
              <w:top w:w="80" w:type="dxa"/>
              <w:bottom w:w="80" w:type="dxa"/>
              <w:left w:w="100" w:type="dxa"/>
              <w:right w:w="100" w:type="dxa"/>
            </w:tcMar>
            <w:shd w:fill="FFFFFF"/>
          </w:tcPr>
          <w:p>
            <w:r>
              <w:t>4.4595</w:t>
            </w:r>
          </w:p>
        </w:tc>
        <w:tc>
          <w:tcPr>
            <w:tcW w:type="dxa" w:w="3360"/>
            <w:tcMar>
              <w:top w:w="80" w:type="dxa"/>
              <w:bottom w:w="80" w:type="dxa"/>
              <w:left w:w="100" w:type="dxa"/>
              <w:right w:w="100" w:type="dxa"/>
            </w:tcMar>
            <w:shd w:fill="FFFFFF"/>
          </w:tcPr>
          <w:p>
            <w:r>
              <w:t>3.0260 (32.1% lower FID)</w:t>
            </w:r>
          </w:p>
        </w:tc>
      </w:tr>
      <w:tr>
        <w:tc>
          <w:tcPr>
            <w:tcW w:type="dxa" w:w="3360"/>
            <w:tcMar>
              <w:top w:w="80" w:type="dxa"/>
              <w:bottom w:w="80" w:type="dxa"/>
              <w:left w:w="100" w:type="dxa"/>
              <w:right w:w="100" w:type="dxa"/>
            </w:tcMar>
            <w:shd w:fill="F8FAFC"/>
          </w:tcPr>
          <w:p>
            <w:r>
              <w:t>Style Representation</w:t>
            </w:r>
          </w:p>
        </w:tc>
        <w:tc>
          <w:tcPr>
            <w:tcW w:type="dxa" w:w="3360"/>
            <w:tcMar>
              <w:top w:w="80" w:type="dxa"/>
              <w:bottom w:w="80" w:type="dxa"/>
              <w:left w:w="100" w:type="dxa"/>
              <w:right w:w="100" w:type="dxa"/>
            </w:tcMar>
            <w:shd w:fill="F8FAFC"/>
          </w:tcPr>
          <w:p>
            <w:r>
              <w:t>96-dim pooled vector + 32-dim noise</w:t>
            </w:r>
          </w:p>
        </w:tc>
        <w:tc>
          <w:tcPr>
            <w:tcW w:type="dxa" w:w="3360"/>
            <w:tcMar>
              <w:top w:w="80" w:type="dxa"/>
              <w:bottom w:w="80" w:type="dxa"/>
              <w:left w:w="100" w:type="dxa"/>
              <w:right w:w="100" w:type="dxa"/>
            </w:tcMar>
            <w:shd w:fill="F8FAFC"/>
          </w:tcPr>
          <w:p>
            <w:r>
              <w:t>8x32 Multi-Token (Global + 7 Local Attentive Slots)</w:t>
            </w:r>
          </w:p>
        </w:tc>
      </w:tr>
      <w:tr>
        <w:tc>
          <w:tcPr>
            <w:tcW w:type="dxa" w:w="3360"/>
            <w:tcMar>
              <w:top w:w="80" w:type="dxa"/>
              <w:bottom w:w="80" w:type="dxa"/>
              <w:left w:w="100" w:type="dxa"/>
              <w:right w:w="100" w:type="dxa"/>
            </w:tcMar>
            <w:shd w:fill="FFFFFF"/>
          </w:tcPr>
          <w:p>
            <w:r>
              <w:t>Punctuation Vector Norm</w:t>
            </w:r>
          </w:p>
        </w:tc>
        <w:tc>
          <w:tcPr>
            <w:tcW w:type="dxa" w:w="3360"/>
            <w:tcMar>
              <w:top w:w="80" w:type="dxa"/>
              <w:bottom w:w="80" w:type="dxa"/>
              <w:left w:w="100" w:type="dxa"/>
              <w:right w:w="100" w:type="dxa"/>
            </w:tcMar>
            <w:shd w:fill="FFFFFF"/>
          </w:tcPr>
          <w:p>
            <w:r>
              <w:t>30.71 ± 18.24 (inflated)</w:t>
            </w:r>
          </w:p>
        </w:tc>
        <w:tc>
          <w:tcPr>
            <w:tcW w:type="dxa" w:w="3360"/>
            <w:tcMar>
              <w:top w:w="80" w:type="dxa"/>
              <w:bottom w:w="80" w:type="dxa"/>
              <w:left w:w="100" w:type="dxa"/>
              <w:right w:w="100" w:type="dxa"/>
            </w:tcMar>
            <w:shd w:fill="FFFFFF"/>
          </w:tcPr>
          <w:p>
            <w:r>
              <w:t>9.73 ± 2.46 (stable &amp; bounded)</w:t>
            </w:r>
          </w:p>
        </w:tc>
      </w:tr>
      <w:tr>
        <w:tc>
          <w:tcPr>
            <w:tcW w:type="dxa" w:w="3360"/>
            <w:tcMar>
              <w:top w:w="80" w:type="dxa"/>
              <w:bottom w:w="80" w:type="dxa"/>
              <w:left w:w="100" w:type="dxa"/>
              <w:right w:w="100" w:type="dxa"/>
            </w:tcMar>
            <w:shd w:fill="F8FAFC"/>
          </w:tcPr>
          <w:p>
            <w:r>
              <w:t>Punctuation Margin Artifacts</w:t>
            </w:r>
          </w:p>
        </w:tc>
        <w:tc>
          <w:tcPr>
            <w:tcW w:type="dxa" w:w="3360"/>
            <w:tcMar>
              <w:top w:w="80" w:type="dxa"/>
              <w:bottom w:w="80" w:type="dxa"/>
              <w:left w:w="100" w:type="dxa"/>
              <w:right w:w="100" w:type="dxa"/>
            </w:tcMar>
            <w:shd w:fill="F8FAFC"/>
          </w:tcPr>
          <w:p>
            <w:r>
              <w:t>Gray horizontal smudges on '.' and '-'</w:t>
            </w:r>
          </w:p>
        </w:tc>
        <w:tc>
          <w:tcPr>
            <w:tcW w:type="dxa" w:w="3360"/>
            <w:tcMar>
              <w:top w:w="80" w:type="dxa"/>
              <w:bottom w:w="80" w:type="dxa"/>
              <w:left w:w="100" w:type="dxa"/>
              <w:right w:w="100" w:type="dxa"/>
            </w:tcMar>
            <w:shd w:fill="F8FAFC"/>
          </w:tcPr>
          <w:p>
            <w:r>
              <w:t>Clean white paper, zero margin artifacts</w:t>
            </w:r>
          </w:p>
        </w:tc>
      </w:tr>
      <w:tr>
        <w:tc>
          <w:tcPr>
            <w:tcW w:type="dxa" w:w="3360"/>
            <w:tcMar>
              <w:top w:w="80" w:type="dxa"/>
              <w:bottom w:w="80" w:type="dxa"/>
              <w:left w:w="100" w:type="dxa"/>
              <w:right w:w="100" w:type="dxa"/>
            </w:tcMar>
            <w:shd w:fill="FFFFFF"/>
          </w:tcPr>
          <w:p>
            <w:r>
              <w:t>Single Digit Style Transfer</w:t>
            </w:r>
          </w:p>
        </w:tc>
        <w:tc>
          <w:tcPr>
            <w:tcW w:type="dxa" w:w="3360"/>
            <w:tcMar>
              <w:top w:w="80" w:type="dxa"/>
              <w:bottom w:w="80" w:type="dxa"/>
              <w:left w:w="100" w:type="dxa"/>
              <w:right w:w="100" w:type="dxa"/>
            </w:tcMar>
            <w:shd w:fill="FFFFFF"/>
          </w:tcPr>
          <w:p>
            <w:r>
              <w:t>Captures general slant &amp; weight</w:t>
            </w:r>
          </w:p>
        </w:tc>
        <w:tc>
          <w:tcPr>
            <w:tcW w:type="dxa" w:w="3360"/>
            <w:tcMar>
              <w:top w:w="80" w:type="dxa"/>
              <w:bottom w:w="80" w:type="dxa"/>
              <w:left w:w="100" w:type="dxa"/>
              <w:right w:w="100" w:type="dxa"/>
            </w:tcMar>
            <w:shd w:fill="FFFFFF"/>
          </w:tcPr>
          <w:p>
            <w:r>
              <w:t>Captures fine stroke pressure, ligatures, and glyph curvature</w:t>
            </w:r>
          </w:p>
        </w:tc>
      </w:tr>
      <w:tr>
        <w:tc>
          <w:tcPr>
            <w:tcW w:type="dxa" w:w="3360"/>
            <w:tcMar>
              <w:top w:w="80" w:type="dxa"/>
              <w:bottom w:w="80" w:type="dxa"/>
              <w:left w:w="100" w:type="dxa"/>
              <w:right w:w="100" w:type="dxa"/>
            </w:tcMar>
            <w:shd w:fill="F8FAFC"/>
          </w:tcPr>
          <w:p>
            <w:r>
              <w:t>Long Sentence Consistency</w:t>
            </w:r>
          </w:p>
        </w:tc>
        <w:tc>
          <w:tcPr>
            <w:tcW w:type="dxa" w:w="3360"/>
            <w:tcMar>
              <w:top w:w="80" w:type="dxa"/>
              <w:bottom w:w="80" w:type="dxa"/>
              <w:left w:w="100" w:type="dxa"/>
              <w:right w:w="100" w:type="dxa"/>
            </w:tcMar>
            <w:shd w:fill="F8FAFC"/>
          </w:tcPr>
          <w:p>
            <w:r>
              <w:t>Good character structure</w:t>
            </w:r>
          </w:p>
        </w:tc>
        <w:tc>
          <w:tcPr>
            <w:tcW w:type="dxa" w:w="3360"/>
            <w:tcMar>
              <w:top w:w="80" w:type="dxa"/>
              <w:bottom w:w="80" w:type="dxa"/>
              <w:left w:w="100" w:type="dxa"/>
              <w:right w:w="100" w:type="dxa"/>
            </w:tcMar>
            <w:shd w:fill="F8FAFC"/>
          </w:tcPr>
          <w:p>
            <w:r>
              <w:t>Pristine, publication-quality 64px cursive rendering</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