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E293B"/>
          <w:sz w:val="44"/>
        </w:rPr>
        <w:t>SpiS-GAN Style Reference Sampling &amp; Long String Generation Analysis</w:t>
      </w:r>
    </w:p>
    <w:p>
      <w:r>
        <w:rPr>
          <w:b/>
        </w:rPr>
        <w:t xml:space="preserve">Checkpoint: </w:t>
      </w:r>
      <w:r>
        <w:t>bestIAM.pth (Epoch 98, FID: 4.4595, KID: 0.0758)</w:t>
        <w:br/>
      </w:r>
      <w:r>
        <w:rPr>
          <w:b/>
        </w:rPr>
        <w:t xml:space="preserve">Dataset: </w:t>
      </w:r>
      <w:r>
        <w:t>IAM Test Dataset (iam_test_32.hdf5, 25,766 samples across 161 writers)</w:t>
        <w:br/>
      </w:r>
      <w:r>
        <w:rPr>
          <w:b/>
        </w:rPr>
        <w:t xml:space="preserve">Architecture: </w:t>
      </w:r>
      <w:r>
        <w:t>Native 32-pixel BigGAN StarSpiral Generator with SharedBackbone and StyleEncoder</w:t>
      </w:r>
    </w:p>
    <w:p>
      <w:pPr>
        <w:pStyle w:val="Heading1"/>
      </w:pPr>
      <w:r>
        <w:t>1. Executive Summary &amp; Objective</w:t>
      </w:r>
    </w:p>
    <w:p>
      <w:r>
        <w:t>This study systematically evaluates how SpiS-GAN behaves when style reference images are constrained to short, single-character, numeric, and punctuation reference images:</w:t>
        <w:br/>
        <w:t>1. Single Punctuation Marks ('.', ',', '?', '!', '"', '-')</w:t>
        <w:br/>
        <w:t>2. Single Digits ('1', '2', '3', '7', '8', '9')</w:t>
        <w:br/>
        <w:t>3. Multi-Digit Numbers ('1815', '1911', '1922', '1914')</w:t>
        <w:br/>
        <w:t>4. Capitalized Letters / Words ('I', 'A', 'London')</w:t>
        <w:br/>
        <w:t>5. Full Word Controls &amp; Unconditioned Baselines</w:t>
        <w:br/>
        <w:br/>
        <w:t>These styles were conditioned to synthesize long target strings (13 to 50 characters) to evaluate how well the StarSpiral Generator preserves stroke weight, slant, baseline stability, and legibility over long sequence lengths.</w:t>
      </w:r>
    </w:p>
    <w:p>
      <w:pPr>
        <w:pStyle w:val="Heading1"/>
      </w:pPr>
      <w:r>
        <w:t>2. Visual Showcases (Native x32 Resolution)</w:t>
      </w:r>
    </w:p>
    <w:p>
      <w:pPr>
        <w:pStyle w:val="Heading2"/>
      </w:pPr>
      <w:r>
        <w:t>Showcase 1: Full-Alphabet Long Sentence (43 Characters)</w:t>
      </w:r>
    </w:p>
    <w:p>
      <w:r>
        <w:rPr>
          <w:i/>
        </w:rPr>
        <w:t>Target: "the quick brown fox jumps over the lazy dog"</w:t>
      </w:r>
    </w:p>
    <w:p>
      <w:r>
        <w:drawing>
          <wp:inline xmlns:a="http://schemas.openxmlformats.org/drawingml/2006/main" xmlns:pic="http://schemas.openxmlformats.org/drawingml/2006/picture">
            <wp:extent cx="6400800" cy="7108638"/>
            <wp:docPr id="1" name="Picture 1"/>
            <wp:cNvGraphicFramePr>
              <a:graphicFrameLocks noChangeAspect="1"/>
            </wp:cNvGraphicFramePr>
            <a:graphic>
              <a:graphicData uri="http://schemas.openxmlformats.org/drawingml/2006/picture">
                <pic:pic>
                  <pic:nvPicPr>
                    <pic:cNvPr id="0" name="fine_grained_showcase_the_quick_brown_fox_jumps.png"/>
                    <pic:cNvPicPr/>
                  </pic:nvPicPr>
                  <pic:blipFill>
                    <a:blip r:embed="rId9"/>
                    <a:stretch>
                      <a:fillRect/>
                    </a:stretch>
                  </pic:blipFill>
                  <pic:spPr>
                    <a:xfrm>
                      <a:off x="0" y="0"/>
                      <a:ext cx="6400800" cy="7108638"/>
                    </a:xfrm>
                    <a:prstGeom prst="rect"/>
                  </pic:spPr>
                </pic:pic>
              </a:graphicData>
            </a:graphic>
          </wp:inline>
        </w:drawing>
      </w:r>
    </w:p>
    <w:p>
      <w:pPr>
        <w:pStyle w:val="Heading2"/>
      </w:pPr>
      <w:r>
        <w:t>Showcase 2: Complex 50-Character Alphanumeric &amp; Punctuation Sentence</w:t>
      </w:r>
    </w:p>
    <w:p>
      <w:r>
        <w:rPr>
          <w:i/>
        </w:rPr>
        <w:t>Target: "Handwriting text generation with SpiS-GAN in 2026."</w:t>
      </w:r>
    </w:p>
    <w:p>
      <w:r>
        <w:drawing>
          <wp:inline xmlns:a="http://schemas.openxmlformats.org/drawingml/2006/main" xmlns:pic="http://schemas.openxmlformats.org/drawingml/2006/picture">
            <wp:extent cx="6400800" cy="6428153"/>
            <wp:docPr id="2" name="Picture 2"/>
            <wp:cNvGraphicFramePr>
              <a:graphicFrameLocks noChangeAspect="1"/>
            </wp:cNvGraphicFramePr>
            <a:graphic>
              <a:graphicData uri="http://schemas.openxmlformats.org/drawingml/2006/picture">
                <pic:pic>
                  <pic:nvPicPr>
                    <pic:cNvPr id="0" name="fine_grained_showcase_Handwriting_text_generati.png"/>
                    <pic:cNvPicPr/>
                  </pic:nvPicPr>
                  <pic:blipFill>
                    <a:blip r:embed="rId10"/>
                    <a:stretch>
                      <a:fillRect/>
                    </a:stretch>
                  </pic:blipFill>
                  <pic:spPr>
                    <a:xfrm>
                      <a:off x="0" y="0"/>
                      <a:ext cx="6400800" cy="6428153"/>
                    </a:xfrm>
                    <a:prstGeom prst="rect"/>
                  </pic:spPr>
                </pic:pic>
              </a:graphicData>
            </a:graphic>
          </wp:inline>
        </w:drawing>
      </w:r>
    </w:p>
    <w:p>
      <w:pPr>
        <w:pStyle w:val="Heading2"/>
      </w:pPr>
      <w:r>
        <w:t>Showcase 3: Single Long Word Generation (13 Characters)</w:t>
      </w:r>
    </w:p>
    <w:p>
      <w:r>
        <w:rPr>
          <w:i/>
        </w:rPr>
        <w:t>Target: "extraordinary"</w:t>
      </w:r>
    </w:p>
    <w:p>
      <w:r>
        <w:drawing>
          <wp:inline xmlns:a="http://schemas.openxmlformats.org/drawingml/2006/main" xmlns:pic="http://schemas.openxmlformats.org/drawingml/2006/picture">
            <wp:extent cx="6400800" cy="13012006"/>
            <wp:docPr id="3" name="Picture 3"/>
            <wp:cNvGraphicFramePr>
              <a:graphicFrameLocks noChangeAspect="1"/>
            </wp:cNvGraphicFramePr>
            <a:graphic>
              <a:graphicData uri="http://schemas.openxmlformats.org/drawingml/2006/picture">
                <pic:pic>
                  <pic:nvPicPr>
                    <pic:cNvPr id="0" name="fine_grained_showcase_extraordinary.png"/>
                    <pic:cNvPicPr/>
                  </pic:nvPicPr>
                  <pic:blipFill>
                    <a:blip r:embed="rId11"/>
                    <a:stretch>
                      <a:fillRect/>
                    </a:stretch>
                  </pic:blipFill>
                  <pic:spPr>
                    <a:xfrm>
                      <a:off x="0" y="0"/>
                      <a:ext cx="6400800" cy="13012006"/>
                    </a:xfrm>
                    <a:prstGeom prst="rect"/>
                  </pic:spPr>
                </pic:pic>
              </a:graphicData>
            </a:graphic>
          </wp:inline>
        </w:drawing>
      </w:r>
    </w:p>
    <w:p>
      <w:pPr>
        <w:pStyle w:val="Heading2"/>
      </w:pPr>
      <w:r>
        <w:t>Showcase 4: Multi-Author Style Consistency Study</w:t>
      </w:r>
    </w:p>
    <w:p>
      <w:r>
        <w:rPr>
          <w:i/>
        </w:rPr>
        <w:t>Comparing style transfer across 4 different writers under Punctuation vs Uppercase vs Full Word vs Unconditioned baselines.</w:t>
      </w:r>
    </w:p>
    <w:p>
      <w:r>
        <w:drawing>
          <wp:inline xmlns:a="http://schemas.openxmlformats.org/drawingml/2006/main" xmlns:pic="http://schemas.openxmlformats.org/drawingml/2006/picture">
            <wp:extent cx="6400800" cy="7903821"/>
            <wp:docPr id="4" name="Picture 4"/>
            <wp:cNvGraphicFramePr>
              <a:graphicFrameLocks noChangeAspect="1"/>
            </wp:cNvGraphicFramePr>
            <a:graphic>
              <a:graphicData uri="http://schemas.openxmlformats.org/drawingml/2006/picture">
                <pic:pic>
                  <pic:nvPicPr>
                    <pic:cNvPr id="0" name="master_comparison_the_quick_brown_fox_jumps.png"/>
                    <pic:cNvPicPr/>
                  </pic:nvPicPr>
                  <pic:blipFill>
                    <a:blip r:embed="rId12"/>
                    <a:stretch>
                      <a:fillRect/>
                    </a:stretch>
                  </pic:blipFill>
                  <pic:spPr>
                    <a:xfrm>
                      <a:off x="0" y="0"/>
                      <a:ext cx="6400800" cy="7903821"/>
                    </a:xfrm>
                    <a:prstGeom prst="rect"/>
                  </pic:spPr>
                </pic:pic>
              </a:graphicData>
            </a:graphic>
          </wp:inline>
        </w:drawing>
      </w:r>
    </w:p>
    <w:p>
      <w:pPr>
        <w:pStyle w:val="Heading1"/>
      </w:pPr>
      <w:r>
        <w:t>3. Quantitative Style Vector Statistics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tcMar>
              <w:top w:w="80" w:type="dxa"/>
              <w:bottom w:w="80" w:type="dxa"/>
              <w:left w:w="100" w:type="dxa"/>
              <w:right w:w="100" w:type="dxa"/>
            </w:tcMar>
            <w:shd w:fill="1E293B"/>
          </w:tcPr>
          <w:p>
            <w:r>
              <w:rPr>
                <w:b/>
                <w:color w:val="FFFFFF"/>
              </w:rPr>
              <w:t>Reference Category</w:t>
            </w:r>
          </w:p>
        </w:tc>
        <w:tc>
          <w:tcPr>
            <w:tcW w:type="dxa" w:w="2016"/>
            <w:tcMar>
              <w:top w:w="80" w:type="dxa"/>
              <w:bottom w:w="80" w:type="dxa"/>
              <w:left w:w="100" w:type="dxa"/>
              <w:right w:w="100" w:type="dxa"/>
            </w:tcMar>
            <w:shd w:fill="1E293B"/>
          </w:tcPr>
          <w:p>
            <w:r>
              <w:rPr>
                <w:b/>
                <w:color w:val="FFFFFF"/>
              </w:rPr>
              <w:t>Count (N)</w:t>
            </w:r>
          </w:p>
        </w:tc>
        <w:tc>
          <w:tcPr>
            <w:tcW w:type="dxa" w:w="2016"/>
            <w:tcMar>
              <w:top w:w="80" w:type="dxa"/>
              <w:bottom w:w="80" w:type="dxa"/>
              <w:left w:w="100" w:type="dxa"/>
              <w:right w:w="100" w:type="dxa"/>
            </w:tcMar>
            <w:shd w:fill="1E293B"/>
          </w:tcPr>
          <w:p>
            <w:r>
              <w:rPr>
                <w:b/>
                <w:color w:val="FFFFFF"/>
              </w:rPr>
              <w:t>Mean L2 Norm ||mu||</w:t>
            </w:r>
          </w:p>
        </w:tc>
        <w:tc>
          <w:tcPr>
            <w:tcW w:type="dxa" w:w="2016"/>
            <w:tcMar>
              <w:top w:w="80" w:type="dxa"/>
              <w:bottom w:w="80" w:type="dxa"/>
              <w:left w:w="100" w:type="dxa"/>
              <w:right w:w="100" w:type="dxa"/>
            </w:tcMar>
            <w:shd w:fill="1E293B"/>
          </w:tcPr>
          <w:p>
            <w:r>
              <w:rPr>
                <w:b/>
                <w:color w:val="FFFFFF"/>
              </w:rPr>
              <w:t>Std Dev</w:t>
            </w:r>
          </w:p>
        </w:tc>
        <w:tc>
          <w:tcPr>
            <w:tcW w:type="dxa" w:w="2016"/>
            <w:tcMar>
              <w:top w:w="80" w:type="dxa"/>
              <w:bottom w:w="80" w:type="dxa"/>
              <w:left w:w="100" w:type="dxa"/>
              <w:right w:w="100" w:type="dxa"/>
            </w:tcMar>
            <w:shd w:fill="1E293B"/>
          </w:tcPr>
          <w:p>
            <w:r>
              <w:rPr>
                <w:b/>
                <w:color w:val="FFFFFF"/>
              </w:rPr>
              <w:t>Characteristic Quality</w:t>
            </w:r>
          </w:p>
        </w:tc>
      </w:tr>
      <w:tr>
        <w:tc>
          <w:tcPr>
            <w:tcW w:type="dxa" w:w="2016"/>
            <w:tcMar>
              <w:top w:w="80" w:type="dxa"/>
              <w:bottom w:w="80" w:type="dxa"/>
              <w:left w:w="100" w:type="dxa"/>
              <w:right w:w="100" w:type="dxa"/>
            </w:tcMar>
            <w:shd w:fill="F8FAFC"/>
          </w:tcPr>
          <w:p>
            <w:r>
              <w:t>Full Long Words (&gt;= 6 chars)</w:t>
            </w:r>
          </w:p>
        </w:tc>
        <w:tc>
          <w:tcPr>
            <w:tcW w:type="dxa" w:w="2016"/>
            <w:tcMar>
              <w:top w:w="80" w:type="dxa"/>
              <w:bottom w:w="80" w:type="dxa"/>
              <w:left w:w="100" w:type="dxa"/>
              <w:right w:w="100" w:type="dxa"/>
            </w:tcMar>
            <w:shd w:fill="F8FAFC"/>
          </w:tcPr>
          <w:p>
            <w:r>
              <w:t>50</w:t>
            </w:r>
          </w:p>
        </w:tc>
        <w:tc>
          <w:tcPr>
            <w:tcW w:type="dxa" w:w="2016"/>
            <w:tcMar>
              <w:top w:w="80" w:type="dxa"/>
              <w:bottom w:w="80" w:type="dxa"/>
              <w:left w:w="100" w:type="dxa"/>
              <w:right w:w="100" w:type="dxa"/>
            </w:tcMar>
            <w:shd w:fill="F8FAFC"/>
          </w:tcPr>
          <w:p>
            <w:r>
              <w:t>10.91</w:t>
            </w:r>
          </w:p>
        </w:tc>
        <w:tc>
          <w:tcPr>
            <w:tcW w:type="dxa" w:w="2016"/>
            <w:tcMar>
              <w:top w:w="80" w:type="dxa"/>
              <w:bottom w:w="80" w:type="dxa"/>
              <w:left w:w="100" w:type="dxa"/>
              <w:right w:w="100" w:type="dxa"/>
            </w:tcMar>
            <w:shd w:fill="F8FAFC"/>
          </w:tcPr>
          <w:p>
            <w:r>
              <w:t>± 2.16</w:t>
            </w:r>
          </w:p>
        </w:tc>
        <w:tc>
          <w:tcPr>
            <w:tcW w:type="dxa" w:w="2016"/>
            <w:tcMar>
              <w:top w:w="80" w:type="dxa"/>
              <w:bottom w:w="80" w:type="dxa"/>
              <w:left w:w="100" w:type="dxa"/>
              <w:right w:w="100" w:type="dxa"/>
            </w:tcMar>
            <w:shd w:fill="F8FAFC"/>
          </w:tcPr>
          <w:p>
            <w:r>
              <w:t>Gold Standard: Crisp, stable, uniform stroke weight, zero margin artifacts.</w:t>
            </w:r>
          </w:p>
        </w:tc>
      </w:tr>
      <w:tr>
        <w:tc>
          <w:tcPr>
            <w:tcW w:type="dxa" w:w="2016"/>
            <w:tcMar>
              <w:top w:w="80" w:type="dxa"/>
              <w:bottom w:w="80" w:type="dxa"/>
              <w:left w:w="100" w:type="dxa"/>
              <w:right w:w="100" w:type="dxa"/>
            </w:tcMar>
            <w:shd w:fill="FFFFFF"/>
          </w:tcPr>
          <w:p>
            <w:r>
              <w:t>Capitalized Words (London, Mr)</w:t>
            </w:r>
          </w:p>
        </w:tc>
        <w:tc>
          <w:tcPr>
            <w:tcW w:type="dxa" w:w="2016"/>
            <w:tcMar>
              <w:top w:w="80" w:type="dxa"/>
              <w:bottom w:w="80" w:type="dxa"/>
              <w:left w:w="100" w:type="dxa"/>
              <w:right w:w="100" w:type="dxa"/>
            </w:tcMar>
            <w:shd w:fill="FFFFFF"/>
          </w:tcPr>
          <w:p>
            <w:r>
              <w:t>50</w:t>
            </w:r>
          </w:p>
        </w:tc>
        <w:tc>
          <w:tcPr>
            <w:tcW w:type="dxa" w:w="2016"/>
            <w:tcMar>
              <w:top w:w="80" w:type="dxa"/>
              <w:bottom w:w="80" w:type="dxa"/>
              <w:left w:w="100" w:type="dxa"/>
              <w:right w:w="100" w:type="dxa"/>
            </w:tcMar>
            <w:shd w:fill="FFFFFF"/>
          </w:tcPr>
          <w:p>
            <w:r>
              <w:t>11.55</w:t>
            </w:r>
          </w:p>
        </w:tc>
        <w:tc>
          <w:tcPr>
            <w:tcW w:type="dxa" w:w="2016"/>
            <w:tcMar>
              <w:top w:w="80" w:type="dxa"/>
              <w:bottom w:w="80" w:type="dxa"/>
              <w:left w:w="100" w:type="dxa"/>
              <w:right w:w="100" w:type="dxa"/>
            </w:tcMar>
            <w:shd w:fill="FFFFFF"/>
          </w:tcPr>
          <w:p>
            <w:r>
              <w:t>± 2.74</w:t>
            </w:r>
          </w:p>
        </w:tc>
        <w:tc>
          <w:tcPr>
            <w:tcW w:type="dxa" w:w="2016"/>
            <w:tcMar>
              <w:top w:w="80" w:type="dxa"/>
              <w:bottom w:w="80" w:type="dxa"/>
              <w:left w:w="100" w:type="dxa"/>
              <w:right w:w="100" w:type="dxa"/>
            </w:tcMar>
            <w:shd w:fill="FFFFFF"/>
          </w:tcPr>
          <w:p>
            <w:r>
              <w:t>High Fidelity: Smooth letter spacing and crisp baselines.</w:t>
            </w:r>
          </w:p>
        </w:tc>
      </w:tr>
      <w:tr>
        <w:tc>
          <w:tcPr>
            <w:tcW w:type="dxa" w:w="2016"/>
            <w:tcMar>
              <w:top w:w="80" w:type="dxa"/>
              <w:bottom w:w="80" w:type="dxa"/>
              <w:left w:w="100" w:type="dxa"/>
              <w:right w:w="100" w:type="dxa"/>
            </w:tcMar>
            <w:shd w:fill="F8FAFC"/>
          </w:tcPr>
          <w:p>
            <w:r>
              <w:t>Short Words (&lt;= 5 chars)</w:t>
            </w:r>
          </w:p>
        </w:tc>
        <w:tc>
          <w:tcPr>
            <w:tcW w:type="dxa" w:w="2016"/>
            <w:tcMar>
              <w:top w:w="80" w:type="dxa"/>
              <w:bottom w:w="80" w:type="dxa"/>
              <w:left w:w="100" w:type="dxa"/>
              <w:right w:w="100" w:type="dxa"/>
            </w:tcMar>
            <w:shd w:fill="F8FAFC"/>
          </w:tcPr>
          <w:p>
            <w:r>
              <w:t>50</w:t>
            </w:r>
          </w:p>
        </w:tc>
        <w:tc>
          <w:tcPr>
            <w:tcW w:type="dxa" w:w="2016"/>
            <w:tcMar>
              <w:top w:w="80" w:type="dxa"/>
              <w:bottom w:w="80" w:type="dxa"/>
              <w:left w:w="100" w:type="dxa"/>
              <w:right w:w="100" w:type="dxa"/>
            </w:tcMar>
            <w:shd w:fill="F8FAFC"/>
          </w:tcPr>
          <w:p>
            <w:r>
              <w:t>13.51</w:t>
            </w:r>
          </w:p>
        </w:tc>
        <w:tc>
          <w:tcPr>
            <w:tcW w:type="dxa" w:w="2016"/>
            <w:tcMar>
              <w:top w:w="80" w:type="dxa"/>
              <w:bottom w:w="80" w:type="dxa"/>
              <w:left w:w="100" w:type="dxa"/>
              <w:right w:w="100" w:type="dxa"/>
            </w:tcMar>
            <w:shd w:fill="F8FAFC"/>
          </w:tcPr>
          <w:p>
            <w:r>
              <w:t>± 3.35</w:t>
            </w:r>
          </w:p>
        </w:tc>
        <w:tc>
          <w:tcPr>
            <w:tcW w:type="dxa" w:w="2016"/>
            <w:tcMar>
              <w:top w:w="80" w:type="dxa"/>
              <w:bottom w:w="80" w:type="dxa"/>
              <w:left w:w="100" w:type="dxa"/>
              <w:right w:w="100" w:type="dxa"/>
            </w:tcMar>
            <w:shd w:fill="F8FAFC"/>
          </w:tcPr>
          <w:p>
            <w:r>
              <w:t>High Fidelity: Slight variance in stroke thickness.</w:t>
            </w:r>
          </w:p>
        </w:tc>
      </w:tr>
      <w:tr>
        <w:tc>
          <w:tcPr>
            <w:tcW w:type="dxa" w:w="2016"/>
            <w:tcMar>
              <w:top w:w="80" w:type="dxa"/>
              <w:bottom w:w="80" w:type="dxa"/>
              <w:left w:w="100" w:type="dxa"/>
              <w:right w:w="100" w:type="dxa"/>
            </w:tcMar>
            <w:shd w:fill="FFFFFF"/>
          </w:tcPr>
          <w:p>
            <w:r>
              <w:t>Multi-digit Numbers ('1815', '1911')</w:t>
            </w:r>
          </w:p>
        </w:tc>
        <w:tc>
          <w:tcPr>
            <w:tcW w:type="dxa" w:w="2016"/>
            <w:tcMar>
              <w:top w:w="80" w:type="dxa"/>
              <w:bottom w:w="80" w:type="dxa"/>
              <w:left w:w="100" w:type="dxa"/>
              <w:right w:w="100" w:type="dxa"/>
            </w:tcMar>
            <w:shd w:fill="FFFFFF"/>
          </w:tcPr>
          <w:p>
            <w:r>
              <w:t>35</w:t>
            </w:r>
          </w:p>
        </w:tc>
        <w:tc>
          <w:tcPr>
            <w:tcW w:type="dxa" w:w="2016"/>
            <w:tcMar>
              <w:top w:w="80" w:type="dxa"/>
              <w:bottom w:w="80" w:type="dxa"/>
              <w:left w:w="100" w:type="dxa"/>
              <w:right w:w="100" w:type="dxa"/>
            </w:tcMar>
            <w:shd w:fill="FFFFFF"/>
          </w:tcPr>
          <w:p>
            <w:r>
              <w:t>15.40</w:t>
            </w:r>
          </w:p>
        </w:tc>
        <w:tc>
          <w:tcPr>
            <w:tcW w:type="dxa" w:w="2016"/>
            <w:tcMar>
              <w:top w:w="80" w:type="dxa"/>
              <w:bottom w:w="80" w:type="dxa"/>
              <w:left w:w="100" w:type="dxa"/>
              <w:right w:w="100" w:type="dxa"/>
            </w:tcMar>
            <w:shd w:fill="FFFFFF"/>
          </w:tcPr>
          <w:p>
            <w:r>
              <w:t>± 5.45</w:t>
            </w:r>
          </w:p>
        </w:tc>
        <w:tc>
          <w:tcPr>
            <w:tcW w:type="dxa" w:w="2016"/>
            <w:tcMar>
              <w:top w:w="80" w:type="dxa"/>
              <w:bottom w:w="80" w:type="dxa"/>
              <w:left w:w="100" w:type="dxa"/>
              <w:right w:w="100" w:type="dxa"/>
            </w:tcMar>
            <w:shd w:fill="FFFFFF"/>
          </w:tcPr>
          <w:p>
            <w:r>
              <w:t>High Quality: Broad spatial support (40-80px) yields natural cursive flow.</w:t>
            </w:r>
          </w:p>
        </w:tc>
      </w:tr>
      <w:tr>
        <w:tc>
          <w:tcPr>
            <w:tcW w:type="dxa" w:w="2016"/>
            <w:tcMar>
              <w:top w:w="80" w:type="dxa"/>
              <w:bottom w:w="80" w:type="dxa"/>
              <w:left w:w="100" w:type="dxa"/>
              <w:right w:w="100" w:type="dxa"/>
            </w:tcMar>
            <w:shd w:fill="F8FAFC"/>
          </w:tcPr>
          <w:p>
            <w:r>
              <w:t>Single Capital Letters ('I', 'A')</w:t>
            </w:r>
          </w:p>
        </w:tc>
        <w:tc>
          <w:tcPr>
            <w:tcW w:type="dxa" w:w="2016"/>
            <w:tcMar>
              <w:top w:w="80" w:type="dxa"/>
              <w:bottom w:w="80" w:type="dxa"/>
              <w:left w:w="100" w:type="dxa"/>
              <w:right w:w="100" w:type="dxa"/>
            </w:tcMar>
            <w:shd w:fill="F8FAFC"/>
          </w:tcPr>
          <w:p>
            <w:r>
              <w:t>50</w:t>
            </w:r>
          </w:p>
        </w:tc>
        <w:tc>
          <w:tcPr>
            <w:tcW w:type="dxa" w:w="2016"/>
            <w:tcMar>
              <w:top w:w="80" w:type="dxa"/>
              <w:bottom w:w="80" w:type="dxa"/>
              <w:left w:w="100" w:type="dxa"/>
              <w:right w:w="100" w:type="dxa"/>
            </w:tcMar>
            <w:shd w:fill="F8FAFC"/>
          </w:tcPr>
          <w:p>
            <w:r>
              <w:t>15.59</w:t>
            </w:r>
          </w:p>
        </w:tc>
        <w:tc>
          <w:tcPr>
            <w:tcW w:type="dxa" w:w="2016"/>
            <w:tcMar>
              <w:top w:w="80" w:type="dxa"/>
              <w:bottom w:w="80" w:type="dxa"/>
              <w:left w:w="100" w:type="dxa"/>
              <w:right w:w="100" w:type="dxa"/>
            </w:tcMar>
            <w:shd w:fill="F8FAFC"/>
          </w:tcPr>
          <w:p>
            <w:r>
              <w:t>± 7.03</w:t>
            </w:r>
          </w:p>
        </w:tc>
        <w:tc>
          <w:tcPr>
            <w:tcW w:type="dxa" w:w="2016"/>
            <w:tcMar>
              <w:top w:w="80" w:type="dxa"/>
              <w:bottom w:w="80" w:type="dxa"/>
              <w:left w:w="100" w:type="dxa"/>
              <w:right w:w="100" w:type="dxa"/>
            </w:tcMar>
            <w:shd w:fill="F8FAFC"/>
          </w:tcPr>
          <w:p>
            <w:r>
              <w:t>Good: Strong vertical downstroke guidance; occasional contrast elevation.</w:t>
            </w:r>
          </w:p>
        </w:tc>
      </w:tr>
      <w:tr>
        <w:tc>
          <w:tcPr>
            <w:tcW w:type="dxa" w:w="2016"/>
            <w:tcMar>
              <w:top w:w="80" w:type="dxa"/>
              <w:bottom w:w="80" w:type="dxa"/>
              <w:left w:w="100" w:type="dxa"/>
              <w:right w:w="100" w:type="dxa"/>
            </w:tcMar>
            <w:shd w:fill="FFFFFF"/>
          </w:tcPr>
          <w:p>
            <w:r>
              <w:t>Single Digits ('1', '2', '3', '7', '8', '9')</w:t>
            </w:r>
          </w:p>
        </w:tc>
        <w:tc>
          <w:tcPr>
            <w:tcW w:type="dxa" w:w="2016"/>
            <w:tcMar>
              <w:top w:w="80" w:type="dxa"/>
              <w:bottom w:w="80" w:type="dxa"/>
              <w:left w:w="100" w:type="dxa"/>
              <w:right w:w="100" w:type="dxa"/>
            </w:tcMar>
            <w:shd w:fill="FFFFFF"/>
          </w:tcPr>
          <w:p>
            <w:r>
              <w:t>25</w:t>
            </w:r>
          </w:p>
        </w:tc>
        <w:tc>
          <w:tcPr>
            <w:tcW w:type="dxa" w:w="2016"/>
            <w:tcMar>
              <w:top w:w="80" w:type="dxa"/>
              <w:bottom w:w="80" w:type="dxa"/>
              <w:left w:w="100" w:type="dxa"/>
              <w:right w:w="100" w:type="dxa"/>
            </w:tcMar>
            <w:shd w:fill="FFFFFF"/>
          </w:tcPr>
          <w:p>
            <w:r>
              <w:t>17.51</w:t>
            </w:r>
          </w:p>
        </w:tc>
        <w:tc>
          <w:tcPr>
            <w:tcW w:type="dxa" w:w="2016"/>
            <w:tcMar>
              <w:top w:w="80" w:type="dxa"/>
              <w:bottom w:w="80" w:type="dxa"/>
              <w:left w:w="100" w:type="dxa"/>
              <w:right w:w="100" w:type="dxa"/>
            </w:tcMar>
            <w:shd w:fill="FFFFFF"/>
          </w:tcPr>
          <w:p>
            <w:r>
              <w:t>± 5.45</w:t>
            </w:r>
          </w:p>
        </w:tc>
        <w:tc>
          <w:tcPr>
            <w:tcW w:type="dxa" w:w="2016"/>
            <w:tcMar>
              <w:top w:w="80" w:type="dxa"/>
              <w:bottom w:w="80" w:type="dxa"/>
              <w:left w:w="100" w:type="dxa"/>
              <w:right w:w="100" w:type="dxa"/>
            </w:tcMar>
            <w:shd w:fill="FFFFFF"/>
          </w:tcPr>
          <w:p>
            <w:r>
              <w:t>Distinct Style Transfer: Each digit imparts a distinct stroke curvature / slant.</w:t>
            </w:r>
          </w:p>
        </w:tc>
      </w:tr>
      <w:tr>
        <w:tc>
          <w:tcPr>
            <w:tcW w:type="dxa" w:w="2016"/>
            <w:tcMar>
              <w:top w:w="80" w:type="dxa"/>
              <w:bottom w:w="80" w:type="dxa"/>
              <w:left w:w="100" w:type="dxa"/>
              <w:right w:w="100" w:type="dxa"/>
            </w:tcMar>
            <w:shd w:fill="F8FAFC"/>
          </w:tcPr>
          <w:p>
            <w:r>
              <w:t>Punctuation Marks ('.', ',', '?', '!', '"')</w:t>
            </w:r>
          </w:p>
        </w:tc>
        <w:tc>
          <w:tcPr>
            <w:tcW w:type="dxa" w:w="2016"/>
            <w:tcMar>
              <w:top w:w="80" w:type="dxa"/>
              <w:bottom w:w="80" w:type="dxa"/>
              <w:left w:w="100" w:type="dxa"/>
              <w:right w:w="100" w:type="dxa"/>
            </w:tcMar>
            <w:shd w:fill="F8FAFC"/>
          </w:tcPr>
          <w:p>
            <w:r>
              <w:t>50</w:t>
            </w:r>
          </w:p>
        </w:tc>
        <w:tc>
          <w:tcPr>
            <w:tcW w:type="dxa" w:w="2016"/>
            <w:tcMar>
              <w:top w:w="80" w:type="dxa"/>
              <w:bottom w:w="80" w:type="dxa"/>
              <w:left w:w="100" w:type="dxa"/>
              <w:right w:w="100" w:type="dxa"/>
            </w:tcMar>
            <w:shd w:fill="F8FAFC"/>
          </w:tcPr>
          <w:p>
            <w:r>
              <w:t>30.71</w:t>
            </w:r>
          </w:p>
        </w:tc>
        <w:tc>
          <w:tcPr>
            <w:tcW w:type="dxa" w:w="2016"/>
            <w:tcMar>
              <w:top w:w="80" w:type="dxa"/>
              <w:bottom w:w="80" w:type="dxa"/>
              <w:left w:w="100" w:type="dxa"/>
              <w:right w:w="100" w:type="dxa"/>
            </w:tcMar>
            <w:shd w:fill="F8FAFC"/>
          </w:tcPr>
          <w:p>
            <w:r>
              <w:t>± 18.24</w:t>
            </w:r>
          </w:p>
        </w:tc>
        <w:tc>
          <w:tcPr>
            <w:tcW w:type="dxa" w:w="2016"/>
            <w:tcMar>
              <w:top w:w="80" w:type="dxa"/>
              <w:bottom w:w="80" w:type="dxa"/>
              <w:left w:w="100" w:type="dxa"/>
              <w:right w:w="100" w:type="dxa"/>
            </w:tcMar>
            <w:shd w:fill="F8FAFC"/>
          </w:tcPr>
          <w:p>
            <w:r>
              <w:t>Volatile / Out-of-Distribution: ~3x higher norm; causes background smudging.</w:t>
            </w:r>
          </w:p>
        </w:tc>
      </w:tr>
    </w:tbl>
    <w:p>
      <w:pPr>
        <w:pStyle w:val="Heading1"/>
      </w:pPr>
      <w:r>
        <w:t>4. Key Findings &amp; Mechanistic Insights</w:t>
      </w:r>
    </w:p>
    <w:p>
      <w:r>
        <w:t>1. The Punctuation Pooling Anomaly (L=1 Problem):</w:t>
        <w:br/>
        <w:t xml:space="preserve">   In SpiS-GAN's StyleEncoder, spatial pooling divides the sum of feature columns by L = floor(W / 16). For a 16px wide crop containing a single dot, L = 1. Without multi-character averaging, background padding dominates, pushing ||mu|| to ~30.71 and causing horizontal gray margin smudges across generated sentences.</w:t>
        <w:br/>
        <w:br/>
        <w:t>2. Stroke-Rich Punctuation Succeeds (',' and '?'):</w:t>
        <w:br/>
        <w:t xml:space="preserve">   When punctuation contains directional trajectories (such as the sharp tail of a comma), the encoder successfully captures pen pressure and slant, producing bold, high-contrast cursive.</w:t>
        <w:br/>
        <w:br/>
        <w:t>3. Single Digits Act as Potent Style Priors:</w:t>
        <w:br/>
        <w:t xml:space="preserve">   • Digit '1': Sharp italicized cursive slant.</w:t>
        <w:br/>
        <w:t xml:space="preserve">   • Digit '2': Open, airy, rounded lowercase letter shapes.</w:t>
        <w:br/>
        <w:t xml:space="preserve">   • Digit '3': Upright, block-like lowercase font structures.</w:t>
        <w:br/>
        <w:t xml:space="preserve">   • Digit '7': Dark, high-pressure cursive script.</w:t>
        <w:br/>
        <w:t xml:space="preserve">   • Digit '9': Delicate, thin pen-pressure handwriting.</w:t>
        <w:br/>
        <w:br/>
        <w:t>4. StarSpiral Long-Range Stability:</w:t>
        <w:br/>
        <w:t xml:space="preserve">   The StarSpiral spatial attention modules preserve stroke width and slant uniformly across 50 characters.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