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500"/>
      </w:pPr>
      <w:r>
        <w:drawing>
          <wp:inline distT="0" distB="0" distL="0" distR="0">
            <wp:extent cx="18669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416ba9" w:sz="12" w:space="10"/>
        </w:pBdr>
        <w:spacing w:after="40"/>
      </w:pPr>
      <w:r>
        <w:rPr>
          <w:rFonts w:ascii="Segoe UI Semibold" w:cs="Segoe UI Semibold" w:eastAsia="Segoe UI Semibold" w:hAnsi="Segoe UI Semibold"/>
          <w:b/>
          <w:bCs/>
          <w:color w:val="1c355e"/>
          <w:sz w:val="46"/>
          <w:szCs w:val="46"/>
        </w:rPr>
        <w:t xml:space="preserve">Network Topology Visualizer</w:t>
      </w:r>
    </w:p>
    <w:p>
      <w:pPr>
        <w:spacing w:after="360"/>
      </w:pPr>
      <w:r>
        <w:rPr>
          <w:rFonts w:ascii="Segoe UI" w:cs="Segoe UI" w:eastAsia="Segoe UI" w:hAnsi="Segoe UI"/>
          <w:color w:val="54709c"/>
          <w:sz w:val="26"/>
          <w:szCs w:val="26"/>
        </w:rPr>
        <w:t xml:space="preserve">Product Requirements Document</w:t>
      </w:r>
    </w:p>
    <w:p>
      <w:pPr>
        <w:spacing w:after="50"/>
      </w:pPr>
      <w:r>
        <w:rPr>
          <w:rFonts w:ascii="Consolas" w:cs="Consolas" w:eastAsia="Consolas" w:hAnsi="Consolas"/>
          <w:color w:val="93a9c9"/>
          <w:sz w:val="20"/>
          <w:szCs w:val="20"/>
        </w:rPr>
        <w:t xml:space="preserve">Status: Draft · Prototype v1.5</w:t>
      </w:r>
    </w:p>
    <w:p>
      <w:pPr>
        <w:spacing w:after="50"/>
      </w:pPr>
      <w:r>
        <w:rPr>
          <w:rFonts w:ascii="Consolas" w:cs="Consolas" w:eastAsia="Consolas" w:hAnsi="Consolas"/>
          <w:color w:val="93a9c9"/>
          <w:sz w:val="20"/>
          <w:szCs w:val="20"/>
        </w:rPr>
        <w:t xml:space="preserve">Author: Ron Mangune  ·  Contributor: Joey Cassillas</w:t>
      </w:r>
    </w:p>
    <w:p>
      <w:pPr>
        <w:spacing w:after="50"/>
      </w:pPr>
      <w:r>
        <w:rPr>
          <w:rFonts w:ascii="Consolas" w:cs="Consolas" w:eastAsia="Consolas" w:hAnsi="Consolas"/>
          <w:color w:val="93a9c9"/>
          <w:sz w:val="20"/>
          <w:szCs w:val="20"/>
        </w:rPr>
        <w:t xml:space="preserve">Date: July 21, 2026</w:t>
      </w:r>
    </w:p>
    <w:p>
      <w:r>
        <w:br w:type="page"/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1 · Overview</w:t>
      </w:r>
    </w:p>
    <w:p>
      <w:pPr>
        <w:spacing w:after="120" w:line="274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The Network Topology Visualizer is an offline, single-file web application that turns network device configuration files into an interactive, hierarchical topology map. It is built for network engineers who today reconstruct diagrams by hand every time a site changes, and for the organizations that need those diagrams to be accurate, current, and consistent across many locations.</w:t>
      </w:r>
    </w:p>
    <w:p>
      <w:pPr>
        <w:spacing w:after="120" w:line="274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The guiding principle is simple: </w:t>
      </w: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the configuration draws the diagram.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 Every device and every link shown must trace back to evidence in an uploaded file — nothing is invented, assumed, or guessed.</w:t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2 · Problem Statement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Documentation drift.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Diagrams are drawn once and fall out of date the moment a circuit, VLAN, or device changes; the config is the source of truth but the picture is hand-made.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Slow, manual effort.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Rebuilding a topology in Visio or draw.io is repetitive work that scales poorly across many similar sites.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Inconsistency at scale.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Branch and franchise networks should look identical site to site, but small deviations creep in and there is no fast way to compare them.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Trust.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Auto-generated diagrams are only useful if the engineer can trust that every element reflects the real configuration, not a tool's assumption.</w:t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3 · Goals &amp; Non-Goals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Generate an accurate, hierarchical topology from uploaded configuration files with zero manual drawing.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Show only what the files support; make every device and link traceable to its source.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Capture the industry-standard data engineers read off a live device (WAN, L3, L2, ports, VLANs, neighbors).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Run fully offline as a single file, safe for handling sensitive running-configs.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Standardize multi-site builds from a reusable template.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Non-Goals (this release)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Live device polling (SNMP/API) — configuration-file input only for now.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Configuration editing or push-back to devices; the tool is read-only.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Real-time monitoring, alerting, or performance metrics.</w:t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4 · Target Users &amp; Use Cases</w:t>
      </w:r>
    </w:p>
    <w:tbl>
      <w:tblPr>
        <w:tblW w:type="dxa" w:w="10080"/>
        <w:tblBorders>
          <w:top w:val="single" w:color="ccd8ea" w:sz="2"/>
          <w:left w:val="single" w:color="ccd8ea" w:sz="2"/>
          <w:bottom w:val="single" w:color="ccd8ea" w:sz="2"/>
          <w:right w:val="single" w:color="ccd8ea" w:sz="2"/>
          <w:insideH w:val="single" w:color="ccd8ea" w:sz="2"/>
          <w:insideV w:val="single" w:color="ccd8ea" w:sz="2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758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</w:tr>
      <w:tr>
        <w:tc>
          <w:tcPr>
            <w:tcW w:type="dxa" w:w="2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Network engineer</w:t>
            </w:r>
          </w:p>
        </w:tc>
        <w:tc>
          <w:tcPr>
            <w:tcW w:type="dxa" w:w="75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Drop in a site's configs and get an accurate diagram in seconds for troubleshooting or documentation.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Solutions architect</w:t>
            </w:r>
          </w:p>
        </w:tc>
        <w:tc>
          <w:tcPr>
            <w:tcW w:type="dxa" w:w="75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Stamp standardized multi-site builds from a template and validate new sites against the standard.</w:t>
            </w:r>
          </w:p>
        </w:tc>
      </w:tr>
      <w:tr>
        <w:tc>
          <w:tcPr>
            <w:tcW w:type="dxa" w:w="2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NOC / support</w:t>
            </w:r>
          </w:p>
        </w:tc>
        <w:tc>
          <w:tcPr>
            <w:tcW w:type="dxa" w:w="75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Open a site's exported topology during an incident to see the device hierarchy, IPs, and circuit IDs at a glance.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Onboarding / audit</w:t>
            </w:r>
          </w:p>
        </w:tc>
        <w:tc>
          <w:tcPr>
            <w:tcW w:type="dxa" w:w="75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Verify what is actually deployed at a location against what documentation claims.</w:t>
            </w:r>
          </w:p>
        </w:tc>
      </w:tr>
    </w:tbl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5 · Functional Requirements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5.1 Data Input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Accept </w:t>
      </w:r>
      <w:r>
        <w:rPr>
          <w:rFonts w:ascii="Consolas" w:cs="Consolas" w:eastAsia="Consolas" w:hAnsi="Consolas"/>
          <w:color w:val="1c355e"/>
          <w:sz w:val="21"/>
          <w:szCs w:val="21"/>
        </w:rPr>
        <w:t xml:space="preserve">JSON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 in a normalized device schema, and raw text configs (</w:t>
      </w:r>
      <w:r>
        <w:rPr>
          <w:rFonts w:ascii="Consolas" w:cs="Consolas" w:eastAsia="Consolas" w:hAnsi="Consolas"/>
          <w:color w:val="1c355e"/>
          <w:sz w:val="21"/>
          <w:szCs w:val="21"/>
        </w:rPr>
        <w:t xml:space="preserve">.txt/.cfg/.conf/.log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, Cisco IOS-style, FortiOS, Juniper).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Support upload button and drag-and-drop; accept multiple files at once and mix formats in one load.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Parse strictly literally — extract only values physically present in the file; never fabricate.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Honor optional directives (</w:t>
      </w:r>
      <w:r>
        <w:rPr>
          <w:rFonts w:ascii="Consolas" w:cs="Consolas" w:eastAsia="Consolas" w:hAnsi="Consolas"/>
          <w:color w:val="1c355e"/>
          <w:sz w:val="21"/>
          <w:szCs w:val="21"/>
        </w:rPr>
        <w:t xml:space="preserve">! topo-id / topo-type / topo-uplink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) as authoritative overrides.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5.2 Data Extracted (per device)</w:t>
      </w:r>
    </w:p>
    <w:tbl>
      <w:tblPr>
        <w:tblW w:type="dxa" w:w="10080"/>
        <w:tblBorders>
          <w:top w:val="single" w:color="ccd8ea" w:sz="2"/>
          <w:left w:val="single" w:color="ccd8ea" w:sz="2"/>
          <w:bottom w:val="single" w:color="ccd8ea" w:sz="2"/>
          <w:right w:val="single" w:color="ccd8ea" w:sz="2"/>
          <w:insideH w:val="single" w:color="ccd8ea" w:sz="2"/>
          <w:insideV w:val="single" w:color="ccd8ea" w:sz="2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88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2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Identity</w:t>
            </w:r>
          </w:p>
        </w:tc>
        <w:tc>
          <w:tcPr>
            <w:tcW w:type="dxa" w:w="78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vendor · model · serial · OS/firmware · uptime · mgmt IP · MAC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WAN</w:t>
            </w:r>
          </w:p>
        </w:tc>
        <w:tc>
          <w:tcPr>
            <w:tcW w:type="dxa" w:w="78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public IP · gateway · circuit ID · NAT · overlay · SLA</w:t>
            </w:r>
          </w:p>
        </w:tc>
      </w:tr>
      <w:tr>
        <w:tc>
          <w:tcPr>
            <w:tcW w:type="dxa" w:w="22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Routing (L3)</w:t>
            </w:r>
          </w:p>
        </w:tc>
        <w:tc>
          <w:tcPr>
            <w:tcW w:type="dxa" w:w="78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router-id · AS number · OSPF/BGP/EIGRP/static · default route · HSRP/VRRP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Switching (L2)</w:t>
            </w:r>
          </w:p>
        </w:tc>
        <w:tc>
          <w:tcPr>
            <w:tcW w:type="dxa" w:w="78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VLAN database · STP mode/root/priority · VTP · EtherChannel · stack · PoE</w:t>
            </w:r>
          </w:p>
        </w:tc>
      </w:tr>
      <w:tr>
        <w:tc>
          <w:tcPr>
            <w:tcW w:type="dxa" w:w="22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Ports</w:t>
            </w:r>
          </w:p>
        </w:tc>
        <w:tc>
          <w:tcPr>
            <w:tcW w:type="dxa" w:w="78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name · description · configured IP (incl. secondary/DHCP/loopback) · VLAN · speed/duplex · state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Neighbors</w:t>
            </w:r>
          </w:p>
        </w:tc>
        <w:tc>
          <w:tcPr>
            <w:tcW w:type="dxa" w:w="78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CDP / LLDP adjacencies (local port ↔ remote device &amp; port)</w:t>
            </w:r>
          </w:p>
        </w:tc>
      </w:tr>
    </w:tbl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5.3 Hierarchy &amp; Linking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Order rows by config evidence, strongest first: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gateway ownership → CDP/LLDP neighbors → declared/manual uplinks → device type as fallback.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Derive an INTERNET node when a config proves a WAN edge (default route + WAN interface); mark it derived and removable.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Promote unambiguous evidence to solid links so uploads self-assemble into a connected diagram; ambiguous evidence stays dotted and labeled.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Auto-correct backwards-declared links and flag them; never silently obey a reversed link.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Guarantee canonical vertical order (cloud → router → SD-WAN → switch → AP → endpoint) that no misclassification can invert.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5.4 Visualization &amp; Interaction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Tiered top-down layout with color-coded device classes and a legend; collapse empty tiers.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Click any device for a detail panel (identity, WAN/LAN, L3/L2, ports, neighbors, links, source file).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Label link ends with port names, descriptions (including circuit ID), and IPs; show VLANs beside devices.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Search/filter by hostname, IP, or MAC; WAN-side overview table; dark/light themes.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Manual overrides for device type and uplink; changes re-tier instantly and persist on export.</w:t>
      </w:r>
    </w:p>
    <w:p>
      <w:pPr>
        <w:pStyle w:val="Heading2"/>
        <w:spacing w:after="80" w:before="200"/>
      </w:pPr>
      <w:r>
        <w:rPr>
          <w:rFonts w:ascii="Segoe UI Semibold" w:cs="Segoe UI Semibold" w:eastAsia="Segoe UI Semibold" w:hAnsi="Segoe UI Semibold"/>
          <w:b/>
          <w:bCs/>
          <w:color w:val="416ba9"/>
          <w:sz w:val="22"/>
          <w:szCs w:val="22"/>
        </w:rPr>
        <w:t xml:space="preserve">5.5 Templates &amp; Export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Stamp a standard site from a single site number (consistent naming and non-overlapping addressing).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Export the full topology (parsed devices, promotions, and manual edits) to JSON for re-loading.</w:t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6 · Non-Functional Requirements</w:t>
      </w:r>
    </w:p>
    <w:tbl>
      <w:tblPr>
        <w:tblW w:type="dxa" w:w="10080"/>
        <w:tblBorders>
          <w:top w:val="single" w:color="ccd8ea" w:sz="2"/>
          <w:left w:val="single" w:color="ccd8ea" w:sz="2"/>
          <w:bottom w:val="single" w:color="ccd8ea" w:sz="2"/>
          <w:right w:val="single" w:color="ccd8ea" w:sz="2"/>
          <w:insideH w:val="single" w:color="ccd8ea" w:sz="2"/>
          <w:insideV w:val="single" w:color="ccd8ea" w:sz="2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58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Security / privacy</w:t>
            </w:r>
          </w:p>
        </w:tc>
        <w:tc>
          <w:tcPr>
            <w:tcW w:type="dxa" w:w="75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Fully client-side; no config data leaves the browser. No server, no telemetry.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5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Single self-contained HTML file; runs from a share, laptop, or air-gapped host with no install.</w:t>
            </w:r>
          </w:p>
        </w:tc>
      </w:tr>
      <w:tr>
        <w:tc>
          <w:tcPr>
            <w:tcW w:type="dxa" w:w="2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Trust / traceability</w:t>
            </w:r>
          </w:p>
        </w:tc>
        <w:tc>
          <w:tcPr>
            <w:tcW w:type="dxa" w:w="75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Every device and link traceable to a source file or explicit evidence; inferred links visually distinct.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5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Render a typical single-site topology (tens of devices) near-instantly in a modern browser.</w:t>
            </w:r>
          </w:p>
        </w:tc>
      </w:tr>
      <w:tr>
        <w:tc>
          <w:tcPr>
            <w:tcW w:type="dxa" w:w="2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Extensibility</w:t>
            </w:r>
          </w:p>
        </w:tc>
        <w:tc>
          <w:tcPr>
            <w:tcW w:type="dxa" w:w="75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New vendor support = a new parser to the same normalized schema; UI and map unchanged.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Branding</w:t>
            </w:r>
          </w:p>
        </w:tc>
        <w:tc>
          <w:tcPr>
            <w:tcW w:type="dxa" w:w="75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Coeo identity on the application shell; functional colors reserved for encoding device data.</w:t>
            </w:r>
          </w:p>
        </w:tc>
      </w:tr>
    </w:tbl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7 · Success Metrics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Time to produce an accurate site diagram reduced from ~30+ minutes (manual) to under 2 minutes.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≥ 95% of links on a validated site are correctly established from evidence without manual fixes.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Zero fabricated devices or links — every element traceable (verified on sample and real configs).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color w:val="1c355e"/>
          <w:sz w:val="21"/>
          <w:szCs w:val="21"/>
        </w:rPr>
        <w:t xml:space="preserve">Adoption: engineers choose the tool over manual diagramming for routine documentation.</w:t>
      </w:r>
    </w:p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8 · Release Plan</w:t>
      </w:r>
    </w:p>
    <w:tbl>
      <w:tblPr>
        <w:tblW w:type="dxa" w:w="10080"/>
        <w:tblBorders>
          <w:top w:val="single" w:color="ccd8ea" w:sz="2"/>
          <w:left w:val="single" w:color="ccd8ea" w:sz="2"/>
          <w:bottom w:val="single" w:color="ccd8ea" w:sz="2"/>
          <w:right w:val="single" w:color="ccd8ea" w:sz="2"/>
          <w:insideH w:val="single" w:color="ccd8ea" w:sz="2"/>
          <w:insideV w:val="single" w:color="ccd8ea" w:sz="2"/>
        </w:tblBorders>
      </w:tblPr>
      <w:tblGrid>
        <w:gridCol w:w="2100"/>
        <w:gridCol w:w="4500"/>
        <w:gridCol w:w="3480"/>
      </w:tblGrid>
      <w:tr>
        <w:trPr>
          <w:tblHeader/>
        </w:trPr>
        <w:tc>
          <w:tcPr>
            <w:tcW w:type="dxa" w:w="210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480"/>
            <w:shd w:fill="1c355e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4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Schema, JSON + text ingest, tiered map, detail panels, evidence linking, WAN overview, templates, Coeo branding, credits</w:t>
            </w:r>
          </w:p>
        </w:tc>
        <w:tc>
          <w:tcPr>
            <w:tcW w:type="dxa" w:w="34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Prototype v1.5 (built)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2 — Vendor fit</w:t>
            </w:r>
          </w:p>
        </w:tc>
        <w:tc>
          <w:tcPr>
            <w:tcW w:type="dxa" w:w="4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Tune parsers against real sanitized configs for deployed vendors; validate vs known-good diagrams</w:t>
            </w:r>
          </w:p>
        </w:tc>
        <w:tc>
          <w:tcPr>
            <w:tcW w:type="dxa" w:w="34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21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3 — Ground truth</w:t>
            </w:r>
          </w:p>
        </w:tc>
        <w:tc>
          <w:tcPr>
            <w:tcW w:type="dxa" w:w="450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Prioritize CDP/LLDP ingest; optional SNMP/API discovery for live topology</w:t>
            </w:r>
          </w:p>
        </w:tc>
        <w:tc>
          <w:tcPr>
            <w:tcW w:type="dxa" w:w="3480"/>
            <w:shd w:fill="eef4fb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c355e"/>
                <w:sz w:val="18"/>
                <w:szCs w:val="18"/>
              </w:rPr>
              <w:t xml:space="preserve">4 — Scale &amp; governance</w:t>
            </w:r>
          </w:p>
        </w:tc>
        <w:tc>
          <w:tcPr>
            <w:tcW w:type="dxa" w:w="450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Multi-site dashboards, drift detection vs template, role-based access &amp; audit</w:t>
            </w:r>
          </w:p>
        </w:tc>
        <w:tc>
          <w:tcPr>
            <w:tcW w:type="dxa" w:w="3480"/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4709c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1"/>
        <w:pBdr>
          <w:bottom w:val="single" w:color="416ba9" w:sz="6" w:space="6"/>
        </w:pBdr>
        <w:spacing w:after="130" w:before="300"/>
      </w:pPr>
      <w:r>
        <w:rPr>
          <w:rFonts w:ascii="Segoe UI Semibold" w:cs="Segoe UI Semibold" w:eastAsia="Segoe UI Semibold" w:hAnsi="Segoe UI Semibold"/>
          <w:b/>
          <w:bCs/>
          <w:color w:val="1c355e"/>
          <w:sz w:val="29"/>
          <w:szCs w:val="29"/>
        </w:rPr>
        <w:t xml:space="preserve">9 · Risks &amp; Open Questions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Vendor format variance.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Parsers are tuned to sample formats; real production configs may differ. Mitigation: Phase 2 tuning against sanitized real configs.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Config-only evidence gaps.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Configs alone don't always prove physical links. Mitigation: prioritize CDP/LLDP neighbor input as ground truth.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Ambiguous type/hierarchy.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Rare cases with no evidence rely on type fallback; resolved by the manual override and directives.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Segoe UI" w:cs="Segoe UI" w:eastAsia="Segoe UI" w:hAnsi="Segoe UI"/>
          <w:b/>
          <w:bCs/>
          <w:color w:val="1c355e"/>
          <w:sz w:val="21"/>
          <w:szCs w:val="21"/>
        </w:rPr>
        <w:t xml:space="preserve">Open question: </w:t>
      </w:r>
      <w:r>
        <w:rPr>
          <w:rFonts w:ascii="Segoe UI" w:cs="Segoe UI" w:eastAsia="Segoe UI" w:hAnsi="Segoe UI"/>
          <w:color w:val="1c355e"/>
          <w:sz w:val="21"/>
          <w:szCs w:val="21"/>
        </w:rPr>
        <w:t xml:space="preserve">Which vendors are in scope first, and can CDP/LLDP output be captured alongside each config?</w:t>
      </w:r>
    </w:p>
    <w:p>
      <w:pPr>
        <w:spacing w:after="200"/>
      </w:pPr>
    </w:p>
    <w:p>
      <w:pPr>
        <w:pBdr>
          <w:top w:val="single" w:color="ccd8ea" w:sz="4" w:space="8"/>
        </w:pBdr>
        <w:spacing w:before="200"/>
      </w:pPr>
      <w:r>
        <w:rPr>
          <w:rFonts w:ascii="Segoe UI" w:cs="Segoe UI" w:eastAsia="Segoe UI" w:hAnsi="Segoe UI"/>
          <w:i/>
          <w:iCs/>
          <w:color w:val="93a9c9"/>
          <w:sz w:val="17"/>
          <w:szCs w:val="17"/>
        </w:rPr>
        <w:t xml:space="preserve">Companion artifact: network_topology_map.html (runnable prototype, v1.5). This PRD describes intended product behavior; the prototype demonstrates 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3a9c9"/>
        <w:sz w:val="15"/>
        <w:szCs w:val="15"/>
      </w:rPr>
      <w:t xml:space="preserve">Network Topology Visualizer — PRD     </w:t>
    </w:r>
    <w:r>
      <w:rPr>
        <w:rFonts w:ascii="Segoe UI" w:cs="Segoe UI" w:eastAsia="Segoe UI" w:hAnsi="Segoe UI"/>
        <w:color w:val="93a9c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416ba9"/>
      </w:r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8e244dd141323e28e950fe71004858801e96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Topology Visualizer — PRD</dc:title>
  <dc:creator>Ron Mangune</dc:creator>
  <cp:lastModifiedBy>Un-named</cp:lastModifiedBy>
  <cp:revision>1</cp:revision>
  <dcterms:created xsi:type="dcterms:W3CDTF">2026-07-21T18:41:40.410Z</dcterms:created>
  <dcterms:modified xsi:type="dcterms:W3CDTF">2026-07-21T18:41:40.423Z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