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outline w:val="0"/>
          <w:color w:val="1a365d"/>
          <w:sz w:val="44"/>
          <w:szCs w:val="44"/>
          <w:u w:color="1a365d"/>
          <w:rtl w:val="0"/>
          <w:lang w:val="en-US"/>
          <w14:textFill>
            <w14:solidFill>
              <w14:srgbClr w14:val="1A365D"/>
            </w14:solidFill>
          </w14:textFill>
        </w:rPr>
        <w:t>Q3 Executive Briefing Document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Operational Review: </w:t>
      </w:r>
      <w:r>
        <w:rPr>
          <w:rtl w:val="0"/>
          <w:lang w:val="en-US"/>
        </w:rPr>
        <w:t>This briefing summarizes key metric updates derived from operational reports.</w:t>
      </w:r>
      <w:r>
        <w:br w:type="textWrapping"/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Key Performance Indicator: </w:t>
      </w:r>
      <w:r>
        <w:rPr>
          <w:rFonts w:ascii="Cambria Bold" w:hAnsi="Cambria Bold"/>
          <w:outline w:val="0"/>
          <w:color w:val="c53030"/>
          <w:u w:color="c53030"/>
          <w:rtl w:val="0"/>
          <w:lang w:val="en-US"/>
          <w14:textFill>
            <w14:solidFill>
              <w14:srgbClr w14:val="C53030"/>
            </w14:solidFill>
          </w14:textFill>
        </w:rPr>
        <w:t>$2.4M</w:t>
      </w:r>
      <w:r>
        <w:rPr>
          <w:rtl w:val="0"/>
          <w:lang w:val="en-US"/>
        </w:rPr>
        <w:t xml:space="preserve"> was recorded for the quarter.</w:t>
      </w:r>
    </w:p>
    <w:p>
      <w:pPr>
        <w:pStyle w:val="Heading 2"/>
      </w:pPr>
      <w:r>
        <w:rPr>
          <w:rtl w:val="0"/>
          <w:lang w:val="en-US"/>
        </w:rPr>
        <w:t>Summary Metrics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Financial Metric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Recorded Value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Q3 Total Revenue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$2.4M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Q3 Churn Rate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1.2%</w:t>
            </w:r>
          </w:p>
        </w:tc>
      </w:tr>
    </w:tbl>
    <w:p>
      <w:pPr>
        <w:pStyle w:val="Heading 2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