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0F" w:rsidRPr="004E3BCF" w:rsidRDefault="00930C91" w:rsidP="00B57849">
      <w:pPr>
        <w:ind w:left="540" w:hanging="360"/>
        <w:jc w:val="right"/>
        <w:rPr>
          <w:rFonts w:ascii="Arial" w:hAnsi="Arial" w:cs="Arial"/>
          <w:b/>
          <w:sz w:val="32"/>
          <w:szCs w:val="32"/>
        </w:rPr>
      </w:pPr>
      <w:r w:rsidRPr="004E3BCF">
        <w:rPr>
          <w:rFonts w:ascii="Arial" w:hAnsi="Arial" w:cs="Arial"/>
          <w:b/>
          <w:sz w:val="32"/>
          <w:szCs w:val="32"/>
        </w:rPr>
        <w:t>CHAPTER 2</w:t>
      </w:r>
    </w:p>
    <w:p w:rsidR="00642624" w:rsidRPr="004E3BCF" w:rsidRDefault="00930C91" w:rsidP="004E3BCF">
      <w:pPr>
        <w:jc w:val="right"/>
        <w:rPr>
          <w:rFonts w:ascii="Arial" w:hAnsi="Arial" w:cs="Arial"/>
          <w:b/>
          <w:sz w:val="32"/>
          <w:szCs w:val="32"/>
        </w:rPr>
      </w:pPr>
      <w:r w:rsidRPr="004E3BCF">
        <w:rPr>
          <w:rFonts w:ascii="Arial" w:hAnsi="Arial" w:cs="Arial"/>
          <w:b/>
          <w:sz w:val="32"/>
          <w:szCs w:val="32"/>
        </w:rPr>
        <w:t>ASSET CLASSES AND FINANCIAL INSTRUMENTS</w:t>
      </w:r>
    </w:p>
    <w:p w:rsidR="00642624" w:rsidRDefault="00642624" w:rsidP="00642624">
      <w:pPr>
        <w:jc w:val="center"/>
      </w:pPr>
    </w:p>
    <w:p w:rsidR="00BE3CAD" w:rsidRDefault="00BE3CAD" w:rsidP="00BE3CAD">
      <w:pPr>
        <w:ind w:left="720"/>
      </w:pPr>
    </w:p>
    <w:p w:rsidR="00EF7503" w:rsidRDefault="00EF7503" w:rsidP="00EF7503">
      <w:pPr>
        <w:ind w:left="720"/>
      </w:pPr>
    </w:p>
    <w:p w:rsidR="00EF7503" w:rsidRDefault="00236054" w:rsidP="00F30939">
      <w:pPr>
        <w:numPr>
          <w:ilvl w:val="0"/>
          <w:numId w:val="1"/>
        </w:numPr>
      </w:pPr>
      <w:r>
        <w:t>Common stock</w:t>
      </w:r>
      <w:r w:rsidR="00F30939">
        <w:t xml:space="preserve"> is an ownership share in a publicly held corporation. Common shareholders have voting rights and may receive dividends. Preferred stock represents nonvoting shares in a corporation, usually paying a fixed stream of dividends. While corporate bonds are long-term debt </w:t>
      </w:r>
      <w:r w:rsidR="00387546">
        <w:rPr>
          <w:rFonts w:hint="eastAsia"/>
          <w:lang w:eastAsia="zh-TW"/>
        </w:rPr>
        <w:t xml:space="preserve">issued </w:t>
      </w:r>
      <w:r w:rsidR="00F30939">
        <w:t xml:space="preserve">by corporations, </w:t>
      </w:r>
      <w:r w:rsidR="00387546">
        <w:rPr>
          <w:rFonts w:hint="eastAsia"/>
          <w:lang w:eastAsia="zh-TW"/>
        </w:rPr>
        <w:t xml:space="preserve">the bonds </w:t>
      </w:r>
      <w:r w:rsidR="00387546">
        <w:t>typically pay</w:t>
      </w:r>
      <w:r w:rsidR="00F30939">
        <w:t xml:space="preserve"> s</w:t>
      </w:r>
      <w:r w:rsidR="00387546">
        <w:t>emi-annual coupons and return</w:t>
      </w:r>
      <w:r w:rsidR="00F30939">
        <w:t xml:space="preserve"> the face value of the bond at maturity.</w:t>
      </w:r>
    </w:p>
    <w:p w:rsidR="00F30939" w:rsidRDefault="00F30939" w:rsidP="00F30939">
      <w:pPr>
        <w:ind w:left="720"/>
      </w:pPr>
    </w:p>
    <w:p w:rsidR="00F30939" w:rsidRDefault="00105CAE" w:rsidP="00F30939">
      <w:pPr>
        <w:numPr>
          <w:ilvl w:val="0"/>
          <w:numId w:val="1"/>
        </w:numPr>
      </w:pPr>
      <w:r>
        <w:t xml:space="preserve">While the DJIA has 30 large corporations in the index, it does not represent the overall market nearly as well as the </w:t>
      </w:r>
      <w:r w:rsidR="00AE473B">
        <w:rPr>
          <w:rFonts w:hint="eastAsia"/>
          <w:lang w:eastAsia="zh-TW"/>
        </w:rPr>
        <w:t xml:space="preserve">more than </w:t>
      </w:r>
      <w:r>
        <w:t>500</w:t>
      </w:r>
      <w:r w:rsidR="00AE473B">
        <w:rPr>
          <w:rFonts w:hint="eastAsia"/>
          <w:lang w:eastAsia="zh-TW"/>
        </w:rPr>
        <w:t>0</w:t>
      </w:r>
      <w:r>
        <w:t xml:space="preserve"> stocks contained in The Wilshire index. The DJIA is simply too small. </w:t>
      </w:r>
    </w:p>
    <w:p w:rsidR="00105CAE" w:rsidRDefault="00105CAE" w:rsidP="00105CAE">
      <w:pPr>
        <w:ind w:left="720"/>
      </w:pPr>
    </w:p>
    <w:p w:rsidR="00EF7503" w:rsidRDefault="00232774" w:rsidP="00BE3CAD">
      <w:pPr>
        <w:numPr>
          <w:ilvl w:val="0"/>
          <w:numId w:val="1"/>
        </w:numPr>
      </w:pPr>
      <w:r>
        <w:t>Money market securities</w:t>
      </w:r>
      <w:r w:rsidR="00105F7D">
        <w:t xml:space="preserve"> are short</w:t>
      </w:r>
      <w:r w:rsidR="00105F7D">
        <w:rPr>
          <w:rFonts w:hint="eastAsia"/>
          <w:lang w:eastAsia="zh-TW"/>
        </w:rPr>
        <w:t>-</w:t>
      </w:r>
      <w:r w:rsidR="00105CAE">
        <w:t xml:space="preserve">term, </w:t>
      </w:r>
      <w:r w:rsidR="00AE473B">
        <w:rPr>
          <w:rFonts w:hint="eastAsia"/>
          <w:lang w:eastAsia="zh-TW"/>
        </w:rPr>
        <w:t>relatively low risk</w:t>
      </w:r>
      <w:r w:rsidR="00105CAE">
        <w:t xml:space="preserve">, and highly liquid. Also, their unit value almost never changes. </w:t>
      </w:r>
    </w:p>
    <w:p w:rsidR="00EF7503" w:rsidRDefault="00EF7503" w:rsidP="00F30939">
      <w:pPr>
        <w:ind w:left="720"/>
      </w:pPr>
    </w:p>
    <w:p w:rsidR="00FA0490" w:rsidRDefault="009F268B" w:rsidP="00105CAE">
      <w:pPr>
        <w:numPr>
          <w:ilvl w:val="0"/>
          <w:numId w:val="1"/>
        </w:numPr>
      </w:pPr>
      <w:r>
        <w:rPr>
          <w:rFonts w:hint="eastAsia"/>
          <w:lang w:eastAsia="zh-TW"/>
        </w:rPr>
        <w:t xml:space="preserve">The major components </w:t>
      </w:r>
      <w:r w:rsidR="00232774">
        <w:rPr>
          <w:lang w:eastAsia="zh-TW"/>
        </w:rPr>
        <w:t xml:space="preserve">of the money market </w:t>
      </w:r>
      <w:r>
        <w:rPr>
          <w:rFonts w:hint="eastAsia"/>
          <w:lang w:eastAsia="zh-TW"/>
        </w:rPr>
        <w:t xml:space="preserve">are </w:t>
      </w:r>
      <w:r w:rsidR="00232774">
        <w:rPr>
          <w:lang w:eastAsia="zh-TW"/>
        </w:rPr>
        <w:t>T</w:t>
      </w:r>
      <w:r w:rsidR="00105CAE">
        <w:t>reasury bills, certificates of deposit, commercial paper, bankers’ acceptances, Eurodollars, repos, reserves, federal funds</w:t>
      </w:r>
      <w:r>
        <w:rPr>
          <w:rFonts w:hint="eastAsia"/>
          <w:lang w:eastAsia="zh-TW"/>
        </w:rPr>
        <w:t>,</w:t>
      </w:r>
      <w:r w:rsidR="00105CAE">
        <w:t xml:space="preserve"> and brokers’ calls. </w:t>
      </w:r>
    </w:p>
    <w:p w:rsidR="00FA0490" w:rsidRDefault="00FA0490" w:rsidP="00FA0490">
      <w:pPr>
        <w:ind w:left="720"/>
      </w:pPr>
    </w:p>
    <w:p w:rsidR="00EF7503" w:rsidRDefault="008E15D0" w:rsidP="00105CAE">
      <w:pPr>
        <w:numPr>
          <w:ilvl w:val="0"/>
          <w:numId w:val="1"/>
        </w:numPr>
      </w:pPr>
      <w:r>
        <w:t>American Deposit</w:t>
      </w:r>
      <w:r>
        <w:rPr>
          <w:rFonts w:eastAsia="MS Mincho" w:hint="eastAsia"/>
          <w:lang w:eastAsia="ja-JP"/>
        </w:rPr>
        <w:t>a</w:t>
      </w:r>
      <w:r w:rsidR="00105CAE">
        <w:t>ry Receipts, or ADRs, are certificates traded in U.S. markets that represent</w:t>
      </w:r>
      <w:r w:rsidR="00FA0490">
        <w:t xml:space="preserve"> </w:t>
      </w:r>
      <w:r w:rsidR="00105CAE">
        <w:t>ownership in shares of a foreign company.</w:t>
      </w:r>
      <w:r w:rsidR="00FA0490">
        <w:t xml:space="preserve"> Investors may also purchase shares of foreign companies on foreign exchanges. Lastly, investors may use international mutual funds to own shares indirectly. </w:t>
      </w:r>
    </w:p>
    <w:p w:rsidR="00FA0490" w:rsidRDefault="00FA0490" w:rsidP="00FA0490">
      <w:pPr>
        <w:ind w:left="720"/>
      </w:pPr>
    </w:p>
    <w:p w:rsidR="00BB3562" w:rsidRDefault="00DE7976" w:rsidP="00BB3562">
      <w:pPr>
        <w:numPr>
          <w:ilvl w:val="0"/>
          <w:numId w:val="1"/>
        </w:numPr>
      </w:pPr>
      <w:r>
        <w:rPr>
          <w:rFonts w:hint="eastAsia"/>
          <w:lang w:eastAsia="zh-TW"/>
        </w:rPr>
        <w:t>T</w:t>
      </w:r>
      <w:r>
        <w:t>he</w:t>
      </w:r>
      <w:r>
        <w:rPr>
          <w:rFonts w:hint="eastAsia"/>
          <w:lang w:eastAsia="zh-TW"/>
        </w:rPr>
        <w:t xml:space="preserve"> coupons paid by municipal bonds are exempt</w:t>
      </w:r>
      <w:r w:rsidR="00F2007E">
        <w:t xml:space="preserve"> </w:t>
      </w:r>
      <w:r>
        <w:rPr>
          <w:rFonts w:hint="eastAsia"/>
          <w:lang w:eastAsia="zh-TW"/>
        </w:rPr>
        <w:t>from federal income ta</w:t>
      </w:r>
      <w:r w:rsidR="00E929CD">
        <w:rPr>
          <w:rFonts w:hint="eastAsia"/>
          <w:lang w:eastAsia="zh-TW"/>
        </w:rPr>
        <w:t>x and from state tax in many</w:t>
      </w:r>
      <w:r w:rsidR="00BB3562">
        <w:rPr>
          <w:rFonts w:hint="eastAsia"/>
          <w:lang w:eastAsia="zh-TW"/>
        </w:rPr>
        <w:t xml:space="preserve"> states</w:t>
      </w:r>
      <w:r>
        <w:rPr>
          <w:rFonts w:hint="eastAsia"/>
          <w:lang w:eastAsia="zh-TW"/>
        </w:rPr>
        <w:t xml:space="preserve">. Therefore, the higher the </w:t>
      </w:r>
      <w:r w:rsidR="00BB3562">
        <w:rPr>
          <w:rFonts w:hint="eastAsia"/>
          <w:lang w:eastAsia="zh-TW"/>
        </w:rPr>
        <w:t xml:space="preserve">tax </w:t>
      </w:r>
      <w:r>
        <w:rPr>
          <w:rFonts w:hint="eastAsia"/>
          <w:lang w:eastAsia="zh-TW"/>
        </w:rPr>
        <w:t>bracket</w:t>
      </w:r>
      <w:r w:rsidR="00BB3562">
        <w:rPr>
          <w:rFonts w:hint="eastAsia"/>
          <w:lang w:eastAsia="zh-TW"/>
        </w:rPr>
        <w:t xml:space="preserve"> </w:t>
      </w:r>
      <w:r w:rsidR="00232774">
        <w:rPr>
          <w:lang w:eastAsia="zh-TW"/>
        </w:rPr>
        <w:t xml:space="preserve">that </w:t>
      </w:r>
      <w:r w:rsidR="00BB3562">
        <w:rPr>
          <w:rFonts w:hint="eastAsia"/>
          <w:lang w:eastAsia="zh-TW"/>
        </w:rPr>
        <w:t>the investor is in</w:t>
      </w:r>
      <w:r>
        <w:rPr>
          <w:rFonts w:hint="eastAsia"/>
          <w:lang w:eastAsia="zh-TW"/>
        </w:rPr>
        <w:t>, the more valuable the tax-exempt</w:t>
      </w:r>
      <w:r w:rsidR="00BB3562">
        <w:rPr>
          <w:rFonts w:hint="eastAsia"/>
          <w:lang w:eastAsia="zh-TW"/>
        </w:rPr>
        <w:t xml:space="preserve"> feature to the investor.</w:t>
      </w:r>
    </w:p>
    <w:p w:rsidR="00BB3562" w:rsidRDefault="00BB3562" w:rsidP="00BB3562">
      <w:pPr>
        <w:ind w:left="720"/>
      </w:pPr>
    </w:p>
    <w:p w:rsidR="00F30939" w:rsidRDefault="00A50DD9" w:rsidP="00F2007E">
      <w:pPr>
        <w:numPr>
          <w:ilvl w:val="0"/>
          <w:numId w:val="1"/>
        </w:numPr>
      </w:pPr>
      <w:r>
        <w:t>The London Interbank Offer Rate (LIBOR)</w:t>
      </w:r>
      <w:r w:rsidR="008E15D0">
        <w:rPr>
          <w:rFonts w:eastAsia="MS Mincho"/>
          <w:lang w:eastAsia="ja-JP"/>
        </w:rPr>
        <w:t>—</w:t>
      </w:r>
      <w:r w:rsidR="008E15D0">
        <w:rPr>
          <w:rFonts w:eastAsia="MS Mincho" w:hint="eastAsia"/>
          <w:lang w:eastAsia="ja-JP"/>
        </w:rPr>
        <w:t>a key reference rate in the money market</w:t>
      </w:r>
      <w:r w:rsidR="008E15D0">
        <w:rPr>
          <w:rFonts w:eastAsia="MS Mincho"/>
          <w:lang w:eastAsia="ja-JP"/>
        </w:rPr>
        <w:t>—</w:t>
      </w:r>
      <w:r>
        <w:t xml:space="preserve">is the rate at which large banks in London are willing to lend money among </w:t>
      </w:r>
      <w:proofErr w:type="gramStart"/>
      <w:r>
        <w:t>themselves</w:t>
      </w:r>
      <w:proofErr w:type="gramEnd"/>
      <w:r>
        <w:t>.</w:t>
      </w:r>
      <w:r>
        <w:rPr>
          <w:rFonts w:hint="eastAsia"/>
          <w:lang w:eastAsia="zh-TW"/>
        </w:rPr>
        <w:t xml:space="preserve"> </w:t>
      </w:r>
      <w:r>
        <w:t xml:space="preserve">The </w:t>
      </w:r>
      <w:r w:rsidR="00E3794E">
        <w:t>F</w:t>
      </w:r>
      <w:r>
        <w:t xml:space="preserve">ed funds rate is </w:t>
      </w:r>
      <w:r w:rsidR="00F2007E">
        <w:t>the rate of interest on very short-term lo</w:t>
      </w:r>
      <w:r>
        <w:t xml:space="preserve">ans </w:t>
      </w:r>
      <w:r w:rsidR="00E3794E">
        <w:rPr>
          <w:lang w:eastAsia="zh-TW"/>
        </w:rPr>
        <w:t>among financial institutions</w:t>
      </w:r>
      <w:r w:rsidR="00232774">
        <w:rPr>
          <w:lang w:eastAsia="zh-TW"/>
        </w:rPr>
        <w:t xml:space="preserve"> in the U.S</w:t>
      </w:r>
      <w:r w:rsidR="00F2007E">
        <w:t xml:space="preserve">. </w:t>
      </w:r>
    </w:p>
    <w:p w:rsidR="00F2007E" w:rsidRDefault="00F2007E" w:rsidP="00F2007E">
      <w:pPr>
        <w:ind w:left="720"/>
      </w:pPr>
    </w:p>
    <w:p w:rsidR="007B5A10" w:rsidRPr="002C05D7" w:rsidRDefault="00F2007E" w:rsidP="007B5A10">
      <w:pPr>
        <w:numPr>
          <w:ilvl w:val="0"/>
          <w:numId w:val="1"/>
        </w:numPr>
      </w:pPr>
      <w:r w:rsidRPr="002C05D7">
        <w:t xml:space="preserve">General obligation bonds are backed by </w:t>
      </w:r>
      <w:r w:rsidR="00E929CD">
        <w:rPr>
          <w:rFonts w:hint="eastAsia"/>
          <w:lang w:eastAsia="zh-TW"/>
        </w:rPr>
        <w:t xml:space="preserve">the taxing power of </w:t>
      </w:r>
      <w:r w:rsidRPr="002C05D7">
        <w:t>the local governments, while revenue bonds have proceeds</w:t>
      </w:r>
      <w:r w:rsidR="005B044C">
        <w:t xml:space="preserve"> attached to specific projects.</w:t>
      </w:r>
      <w:r w:rsidR="005B044C">
        <w:rPr>
          <w:rFonts w:hint="eastAsia"/>
          <w:lang w:eastAsia="zh-TW"/>
        </w:rPr>
        <w:t xml:space="preserve"> A</w:t>
      </w:r>
      <w:r w:rsidRPr="002C05D7">
        <w:t xml:space="preserve"> revenue bon</w:t>
      </w:r>
      <w:r w:rsidR="002C05D7">
        <w:t xml:space="preserve">d has </w:t>
      </w:r>
      <w:r w:rsidR="005B044C">
        <w:t>fewer guarantees</w:t>
      </w:r>
      <w:r w:rsidRPr="002C05D7">
        <w:t>, it is riskier</w:t>
      </w:r>
      <w:r w:rsidR="00CA060F">
        <w:rPr>
          <w:rFonts w:hint="eastAsia"/>
          <w:lang w:eastAsia="zh-TW"/>
        </w:rPr>
        <w:t xml:space="preserve"> in terms of default</w:t>
      </w:r>
      <w:r w:rsidR="005B044C">
        <w:rPr>
          <w:rFonts w:hint="eastAsia"/>
          <w:lang w:eastAsia="zh-TW"/>
        </w:rPr>
        <w:t>,</w:t>
      </w:r>
      <w:r w:rsidRPr="002C05D7">
        <w:t xml:space="preserve"> and</w:t>
      </w:r>
      <w:r w:rsidR="00232774">
        <w:t>,</w:t>
      </w:r>
      <w:r w:rsidRPr="002C05D7">
        <w:t xml:space="preserve"> </w:t>
      </w:r>
      <w:r w:rsidR="005B044C">
        <w:rPr>
          <w:rFonts w:hint="eastAsia"/>
          <w:lang w:eastAsia="zh-TW"/>
        </w:rPr>
        <w:t>therefore</w:t>
      </w:r>
      <w:r w:rsidR="00232774">
        <w:rPr>
          <w:lang w:eastAsia="zh-TW"/>
        </w:rPr>
        <w:t>,</w:t>
      </w:r>
      <w:r w:rsidR="005B044C">
        <w:rPr>
          <w:rFonts w:hint="eastAsia"/>
          <w:lang w:eastAsia="zh-TW"/>
        </w:rPr>
        <w:t xml:space="preserve"> </w:t>
      </w:r>
      <w:r w:rsidR="00232774">
        <w:rPr>
          <w:lang w:eastAsia="zh-TW"/>
        </w:rPr>
        <w:t>you</w:t>
      </w:r>
      <w:r w:rsidR="005B044C">
        <w:rPr>
          <w:rFonts w:hint="eastAsia"/>
          <w:lang w:eastAsia="zh-TW"/>
        </w:rPr>
        <w:t xml:space="preserve"> expect it</w:t>
      </w:r>
      <w:r w:rsidRPr="002C05D7">
        <w:t xml:space="preserve"> </w:t>
      </w:r>
      <w:r w:rsidR="005B044C">
        <w:rPr>
          <w:rFonts w:hint="eastAsia"/>
          <w:lang w:eastAsia="zh-TW"/>
        </w:rPr>
        <w:t xml:space="preserve">to </w:t>
      </w:r>
      <w:r w:rsidRPr="002C05D7">
        <w:t xml:space="preserve">have a higher yield. </w:t>
      </w:r>
    </w:p>
    <w:p w:rsidR="007B5A10" w:rsidRDefault="007B5A10" w:rsidP="007B5A10">
      <w:pPr>
        <w:ind w:left="720"/>
      </w:pPr>
    </w:p>
    <w:p w:rsidR="007B5A10" w:rsidRDefault="007B5A10" w:rsidP="007B5A10">
      <w:pPr>
        <w:numPr>
          <w:ilvl w:val="0"/>
          <w:numId w:val="1"/>
        </w:numPr>
      </w:pPr>
      <w:r>
        <w:t>Corporations may exclude 70% of dividends received from domestic corporations in the computation of their taxable income.</w:t>
      </w:r>
    </w:p>
    <w:p w:rsidR="007B5A10" w:rsidRDefault="007B5A10" w:rsidP="007B5A10">
      <w:pPr>
        <w:ind w:left="720"/>
      </w:pPr>
    </w:p>
    <w:p w:rsidR="0013410A" w:rsidRDefault="007B5A10" w:rsidP="0013410A">
      <w:pPr>
        <w:numPr>
          <w:ilvl w:val="0"/>
          <w:numId w:val="1"/>
        </w:numPr>
        <w:rPr>
          <w:lang w:eastAsia="zh-TW"/>
        </w:rPr>
      </w:pPr>
      <w:r>
        <w:t>Limited liability means that the most shareholders can lose in event of the failure of the corporation is their original investment.</w:t>
      </w:r>
      <w:r w:rsidR="0013410A">
        <w:rPr>
          <w:lang w:eastAsia="zh-TW"/>
        </w:rPr>
        <w:br w:type="page"/>
      </w:r>
    </w:p>
    <w:p w:rsidR="00EF7503" w:rsidRDefault="00E3794E" w:rsidP="0013410A">
      <w:pPr>
        <w:numPr>
          <w:ilvl w:val="0"/>
          <w:numId w:val="1"/>
        </w:numPr>
      </w:pPr>
      <w:r>
        <w:rPr>
          <w:lang w:eastAsia="zh-TW"/>
        </w:rPr>
        <w:lastRenderedPageBreak/>
        <w:t>(</w:t>
      </w:r>
      <w:r w:rsidR="00D26D4A">
        <w:rPr>
          <w:rFonts w:hint="eastAsia"/>
          <w:lang w:eastAsia="zh-TW"/>
        </w:rPr>
        <w:t>a</w:t>
      </w:r>
      <w:r>
        <w:rPr>
          <w:lang w:eastAsia="zh-TW"/>
        </w:rPr>
        <w:t>)</w:t>
      </w:r>
      <w:r w:rsidR="00D26D4A">
        <w:rPr>
          <w:rFonts w:hint="eastAsia"/>
          <w:lang w:eastAsia="zh-TW"/>
        </w:rPr>
        <w:t xml:space="preserve"> </w:t>
      </w:r>
      <w:r>
        <w:rPr>
          <w:lang w:eastAsia="zh-TW"/>
        </w:rPr>
        <w:t>A repurchase agreement is t</w:t>
      </w:r>
      <w:r w:rsidR="000300BE">
        <w:rPr>
          <w:rFonts w:hint="eastAsia"/>
          <w:lang w:eastAsia="zh-TW"/>
        </w:rPr>
        <w:t>he sale of a security with a commitment to repurchase the same security at a specified future date and a designated price.</w:t>
      </w:r>
    </w:p>
    <w:p w:rsidR="000300BE" w:rsidRDefault="000300BE" w:rsidP="000300BE"/>
    <w:p w:rsidR="004D1453" w:rsidRDefault="00BE3CAD" w:rsidP="004D1453">
      <w:pPr>
        <w:numPr>
          <w:ilvl w:val="0"/>
          <w:numId w:val="1"/>
        </w:numPr>
      </w:pPr>
      <w:r>
        <w:t>Money market securities are referred to as “cash equivalents” because of their great liquidity.  The prices of money market securities are very stable, and they can be converted to cash (i.e., sold) on very short notice and with very low transaction costs.</w:t>
      </w:r>
    </w:p>
    <w:p w:rsidR="004D1453" w:rsidRDefault="004D1453" w:rsidP="004D1453">
      <w:pPr>
        <w:pStyle w:val="ListParagraph"/>
      </w:pPr>
    </w:p>
    <w:p w:rsidR="004D1453" w:rsidRDefault="004D1453" w:rsidP="00D329B2">
      <w:pPr>
        <w:numPr>
          <w:ilvl w:val="0"/>
          <w:numId w:val="1"/>
        </w:numPr>
        <w:tabs>
          <w:tab w:val="clear" w:pos="720"/>
        </w:tabs>
      </w:pPr>
      <w:r>
        <w:t xml:space="preserve">Equivalent </w:t>
      </w:r>
      <w:r w:rsidR="00232774">
        <w:t>t</w:t>
      </w:r>
      <w:r w:rsidR="006C688B">
        <w:t xml:space="preserve">axable </w:t>
      </w:r>
      <w:r w:rsidR="00232774">
        <w:t>y</w:t>
      </w:r>
      <w:r w:rsidR="00642624">
        <w:t xml:space="preserve">ield = </w:t>
      </w:r>
      <m:oMath>
        <m:f>
          <m:fPr>
            <m:ctrlPr>
              <w:rPr>
                <w:rFonts w:ascii="Cambria Math" w:hAnsi="Cambria Math"/>
                <w:sz w:val="32"/>
              </w:rPr>
            </m:ctrlPr>
          </m:fPr>
          <m:num>
            <m:r>
              <m:rPr>
                <m:nor/>
              </m:rPr>
              <w:rPr>
                <w:sz w:val="32"/>
                <w:lang w:eastAsia="zh-TW"/>
              </w:rPr>
              <m:t xml:space="preserve">Rate on municipal bond </m:t>
            </m:r>
          </m:num>
          <m:den>
            <m:r>
              <m:rPr>
                <m:nor/>
              </m:rPr>
              <w:rPr>
                <w:sz w:val="32"/>
                <w:lang w:eastAsia="zh-TW"/>
              </w:rPr>
              <m:t>1</m:t>
            </m:r>
            <m:r>
              <m:rPr>
                <m:nor/>
              </m:rPr>
              <w:rPr>
                <w:sz w:val="32"/>
                <w:lang w:eastAsia="zh-TW"/>
              </w:rPr>
              <m:t>－</m:t>
            </m:r>
            <m:r>
              <m:rPr>
                <m:nor/>
              </m:rPr>
              <w:rPr>
                <w:sz w:val="32"/>
                <w:lang w:eastAsia="zh-TW"/>
              </w:rPr>
              <m:t xml:space="preserve"> Tax rate</m:t>
            </m:r>
          </m:den>
        </m:f>
      </m:oMath>
      <w:r w:rsidR="00F971E7" w:rsidRPr="004D1453">
        <w:rPr>
          <w:rFonts w:hint="eastAsia"/>
          <w:sz w:val="32"/>
          <w:lang w:eastAsia="zh-TW"/>
        </w:rPr>
        <w:t xml:space="preserve"> </w:t>
      </w:r>
      <w:r w:rsidR="00F971E7">
        <w:rPr>
          <w:rFonts w:hint="eastAsia"/>
          <w:lang w:eastAsia="zh-TW"/>
        </w:rPr>
        <w:t xml:space="preserve"> </w:t>
      </w:r>
      <w:r w:rsidR="006C688B">
        <w:rPr>
          <w:lang w:eastAsia="zh-TW"/>
        </w:rPr>
        <w:t xml:space="preserve">= </w:t>
      </w:r>
      <m:oMath>
        <m:f>
          <m:fPr>
            <m:ctrlPr>
              <w:rPr>
                <w:rFonts w:ascii="Cambria Math" w:hAnsi="Cambria Math"/>
                <w:sz w:val="32"/>
              </w:rPr>
            </m:ctrlPr>
          </m:fPr>
          <m:num>
            <m:r>
              <m:rPr>
                <m:nor/>
              </m:rPr>
              <w:rPr>
                <w:sz w:val="40"/>
                <w:szCs w:val="40"/>
                <w:lang w:eastAsia="zh-TW"/>
              </w:rPr>
              <m:t>r</m:t>
            </m:r>
            <m:r>
              <m:rPr>
                <m:nor/>
              </m:rPr>
              <w:rPr>
                <w:lang w:eastAsia="zh-TW"/>
              </w:rPr>
              <m:t>m</m:t>
            </m:r>
            <m:r>
              <m:rPr>
                <m:nor/>
              </m:rPr>
              <w:rPr>
                <w:sz w:val="32"/>
                <w:lang w:eastAsia="zh-TW"/>
              </w:rPr>
              <m:t xml:space="preserve"> </m:t>
            </m:r>
          </m:num>
          <m:den>
            <m:r>
              <m:rPr>
                <m:nor/>
              </m:rPr>
              <w:rPr>
                <w:sz w:val="32"/>
                <w:lang w:eastAsia="zh-TW"/>
              </w:rPr>
              <m:t>1</m:t>
            </m:r>
            <m:r>
              <m:rPr>
                <m:nor/>
              </m:rPr>
              <w:rPr>
                <w:sz w:val="32"/>
                <w:lang w:eastAsia="zh-TW"/>
              </w:rPr>
              <m:t>－</m:t>
            </m:r>
            <m:r>
              <m:rPr>
                <m:nor/>
              </m:rPr>
              <w:rPr>
                <w:sz w:val="32"/>
                <w:lang w:eastAsia="zh-TW"/>
              </w:rPr>
              <m:t xml:space="preserve"> </m:t>
            </m:r>
            <m:r>
              <m:rPr>
                <m:nor/>
              </m:rPr>
              <w:rPr>
                <w:sz w:val="36"/>
                <w:szCs w:val="36"/>
                <w:lang w:eastAsia="zh-TW"/>
              </w:rPr>
              <m:t>t</m:t>
            </m:r>
          </m:den>
        </m:f>
      </m:oMath>
      <w:r w:rsidR="006C688B">
        <w:rPr>
          <w:sz w:val="32"/>
        </w:rPr>
        <w:t xml:space="preserve"> </w:t>
      </w:r>
      <w:r w:rsidR="00F971E7">
        <w:rPr>
          <w:rFonts w:hint="eastAsia"/>
          <w:lang w:eastAsia="zh-TW"/>
        </w:rPr>
        <w:t xml:space="preserve">= </w:t>
      </w:r>
      <m:oMath>
        <m:f>
          <m:fPr>
            <m:ctrlPr>
              <w:rPr>
                <w:rFonts w:ascii="Cambria Math" w:hAnsi="Cambria Math"/>
                <w:sz w:val="32"/>
                <w:szCs w:val="32"/>
              </w:rPr>
            </m:ctrlPr>
          </m:fPr>
          <m:num>
            <m:r>
              <m:rPr>
                <m:nor/>
              </m:rPr>
              <w:rPr>
                <w:rFonts w:ascii="Cambria Math"/>
                <w:sz w:val="32"/>
                <w:szCs w:val="32"/>
                <w:lang w:eastAsia="zh-TW"/>
              </w:rPr>
              <m:t>.0</m:t>
            </m:r>
            <m:r>
              <m:rPr>
                <m:nor/>
              </m:rPr>
              <w:rPr>
                <w:sz w:val="32"/>
                <w:szCs w:val="32"/>
                <w:lang w:eastAsia="zh-TW"/>
              </w:rPr>
              <m:t>675</m:t>
            </m:r>
          </m:num>
          <m:den>
            <m:r>
              <m:rPr>
                <m:nor/>
              </m:rPr>
              <w:rPr>
                <w:sz w:val="32"/>
                <w:szCs w:val="32"/>
                <w:lang w:eastAsia="zh-TW"/>
              </w:rPr>
              <m:t xml:space="preserve">1 </m:t>
            </m:r>
            <m:r>
              <m:rPr>
                <m:nor/>
              </m:rPr>
              <w:rPr>
                <w:sz w:val="32"/>
                <w:szCs w:val="32"/>
                <w:lang w:eastAsia="zh-TW"/>
              </w:rPr>
              <m:t>－</m:t>
            </m:r>
            <m:r>
              <m:rPr>
                <m:nor/>
              </m:rPr>
              <w:rPr>
                <w:sz w:val="32"/>
                <w:szCs w:val="32"/>
                <w:lang w:eastAsia="zh-TW"/>
              </w:rPr>
              <m:t xml:space="preserve"> </m:t>
            </m:r>
            <m:r>
              <m:rPr>
                <m:nor/>
              </m:rPr>
              <w:rPr>
                <w:rFonts w:ascii="Cambria Math"/>
                <w:sz w:val="32"/>
                <w:szCs w:val="32"/>
                <w:lang w:eastAsia="zh-TW"/>
              </w:rPr>
              <m:t>0.</m:t>
            </m:r>
            <m:r>
              <m:rPr>
                <m:nor/>
              </m:rPr>
              <w:rPr>
                <w:sz w:val="32"/>
                <w:szCs w:val="32"/>
                <w:lang w:eastAsia="zh-TW"/>
              </w:rPr>
              <m:t>35</m:t>
            </m:r>
          </m:den>
        </m:f>
      </m:oMath>
      <w:r w:rsidRPr="004D1453">
        <w:rPr>
          <w:sz w:val="32"/>
          <w:szCs w:val="32"/>
        </w:rPr>
        <w:t xml:space="preserve"> </w:t>
      </w:r>
      <w:r w:rsidRPr="004D1453">
        <w:t>=</w:t>
      </w:r>
      <w:r>
        <w:t xml:space="preserve"> </w:t>
      </w:r>
      <w:r w:rsidR="00232774">
        <w:t xml:space="preserve">.1038 or </w:t>
      </w:r>
      <w:r>
        <w:t>10.38%</w:t>
      </w:r>
    </w:p>
    <w:p w:rsidR="006C688B" w:rsidRPr="00F971E7" w:rsidRDefault="006C688B" w:rsidP="006C688B"/>
    <w:p w:rsidR="00BE3CAD" w:rsidRDefault="009E7276" w:rsidP="00BE3CAD">
      <w:pPr>
        <w:numPr>
          <w:ilvl w:val="0"/>
          <w:numId w:val="1"/>
        </w:numPr>
      </w:pPr>
      <w:r>
        <w:t>After-</w:t>
      </w:r>
      <w:r w:rsidR="00E3794E">
        <w:t>t</w:t>
      </w:r>
      <w:r>
        <w:t xml:space="preserve">ax </w:t>
      </w:r>
      <w:r w:rsidR="00E3794E">
        <w:t>y</w:t>
      </w:r>
      <w:r>
        <w:t xml:space="preserve">ield = Rate on the </w:t>
      </w:r>
      <w:r w:rsidR="00E3794E">
        <w:t>t</w:t>
      </w:r>
      <w:r>
        <w:t xml:space="preserve">axable </w:t>
      </w:r>
      <w:r w:rsidR="00E3794E">
        <w:t>b</w:t>
      </w:r>
      <w:r>
        <w:t xml:space="preserve">ond x (1 </w:t>
      </w:r>
      <w:r>
        <w:rPr>
          <w:rFonts w:hint="eastAsia"/>
        </w:rPr>
        <w:t>－</w:t>
      </w:r>
      <w:r>
        <w:t xml:space="preserve"> Tax </w:t>
      </w:r>
      <w:r w:rsidR="00E3794E">
        <w:t>r</w:t>
      </w:r>
      <w:r>
        <w:t>ate)</w:t>
      </w:r>
    </w:p>
    <w:p w:rsidR="009E7276" w:rsidRDefault="009E7276" w:rsidP="009E7276"/>
    <w:p w:rsidR="00BE3CAD" w:rsidRDefault="00E3794E" w:rsidP="00BE3CAD">
      <w:pPr>
        <w:numPr>
          <w:ilvl w:val="1"/>
          <w:numId w:val="1"/>
        </w:numPr>
      </w:pPr>
      <w:r>
        <w:t xml:space="preserve">The taxable bond. </w:t>
      </w:r>
      <w:r w:rsidR="00BE3CAD">
        <w:t xml:space="preserve">With a zero tax bracket, the after-tax yield for the taxable bond is the same as the before-tax yield (5%), which is greater than the </w:t>
      </w:r>
      <w:r w:rsidR="009E7276">
        <w:t xml:space="preserve">4% </w:t>
      </w:r>
      <w:r w:rsidR="00BE3CAD">
        <w:t>yield on the municipal bond.</w:t>
      </w:r>
    </w:p>
    <w:p w:rsidR="00BE3CAD" w:rsidRDefault="00BE3CAD" w:rsidP="00BE3CAD"/>
    <w:p w:rsidR="00BE3CAD" w:rsidRDefault="00E3794E" w:rsidP="009E7276">
      <w:pPr>
        <w:numPr>
          <w:ilvl w:val="1"/>
          <w:numId w:val="1"/>
        </w:numPr>
      </w:pPr>
      <w:r>
        <w:t xml:space="preserve">The taxable bond. </w:t>
      </w:r>
      <w:r w:rsidR="00BE3CAD">
        <w:t>The after-tax yield for the taxable bond is:</w:t>
      </w:r>
      <w:r w:rsidR="009E7276">
        <w:t xml:space="preserve"> </w:t>
      </w:r>
      <w:r>
        <w:t>0.05</w:t>
      </w:r>
      <w:r w:rsidR="009E7276">
        <w:t xml:space="preserve"> </w:t>
      </w:r>
      <w:proofErr w:type="gramStart"/>
      <w:r w:rsidR="009E7276">
        <w:t>x</w:t>
      </w:r>
      <w:proofErr w:type="gramEnd"/>
      <w:r w:rsidR="009E7276">
        <w:t xml:space="preserve"> (1 – </w:t>
      </w:r>
      <w:r>
        <w:t>0.</w:t>
      </w:r>
      <w:r w:rsidR="009E7276">
        <w:t>10</w:t>
      </w:r>
      <w:r w:rsidR="00BE3CAD">
        <w:t xml:space="preserve">) = </w:t>
      </w:r>
      <w:r>
        <w:t xml:space="preserve">0.045 or </w:t>
      </w:r>
      <w:r w:rsidR="00BE3CAD">
        <w:t>4.5</w:t>
      </w:r>
      <w:r w:rsidR="00D329B2">
        <w:t>0</w:t>
      </w:r>
      <w:r w:rsidR="00BE3CAD">
        <w:t>%</w:t>
      </w:r>
      <w:r>
        <w:t>.</w:t>
      </w:r>
    </w:p>
    <w:p w:rsidR="00BE3CAD" w:rsidRDefault="00BE3CAD" w:rsidP="00BE3CAD"/>
    <w:p w:rsidR="00BE3CAD" w:rsidRDefault="00E3794E" w:rsidP="00BE3CAD">
      <w:pPr>
        <w:numPr>
          <w:ilvl w:val="1"/>
          <w:numId w:val="1"/>
        </w:numPr>
      </w:pPr>
      <w:r>
        <w:t xml:space="preserve">Neither. </w:t>
      </w:r>
      <w:r w:rsidR="00BE3CAD">
        <w:t>The after-tax yield for the taxable bond is:</w:t>
      </w:r>
      <w:r w:rsidR="001504DF">
        <w:t xml:space="preserve"> </w:t>
      </w:r>
      <w:r>
        <w:t>0.0</w:t>
      </w:r>
      <w:r w:rsidR="00BE3CAD">
        <w:t>5</w:t>
      </w:r>
      <w:r w:rsidR="001504DF">
        <w:t xml:space="preserve"> </w:t>
      </w:r>
      <w:proofErr w:type="gramStart"/>
      <w:r w:rsidR="001504DF">
        <w:t>x</w:t>
      </w:r>
      <w:proofErr w:type="gramEnd"/>
      <w:r w:rsidR="001504DF">
        <w:t xml:space="preserve"> (1 – </w:t>
      </w:r>
      <w:r>
        <w:t>0.</w:t>
      </w:r>
      <w:r w:rsidR="00BE3CAD">
        <w:t xml:space="preserve">20) = </w:t>
      </w:r>
      <w:r>
        <w:t xml:space="preserve">0.4 or </w:t>
      </w:r>
      <w:r w:rsidR="00BE3CAD">
        <w:t>4%</w:t>
      </w:r>
      <w:r>
        <w:t xml:space="preserve">.  </w:t>
      </w:r>
      <w:r w:rsidR="00BE3CAD">
        <w:t xml:space="preserve">The after-tax yield </w:t>
      </w:r>
      <w:r w:rsidR="001504DF">
        <w:t xml:space="preserve">of taxable bond is the same </w:t>
      </w:r>
      <w:r>
        <w:t>as</w:t>
      </w:r>
      <w:r w:rsidR="00BE3CAD">
        <w:t xml:space="preserve"> that of the municipal bond.</w:t>
      </w:r>
    </w:p>
    <w:p w:rsidR="00BE3CAD" w:rsidRDefault="00BE3CAD" w:rsidP="00BE3CAD"/>
    <w:p w:rsidR="00BE3CAD" w:rsidRDefault="00E3794E" w:rsidP="00281331">
      <w:pPr>
        <w:numPr>
          <w:ilvl w:val="1"/>
          <w:numId w:val="1"/>
        </w:numPr>
      </w:pPr>
      <w:r>
        <w:t xml:space="preserve">The municipal bond. </w:t>
      </w:r>
      <w:r w:rsidR="00281331">
        <w:t xml:space="preserve">The after-tax yield for the taxable bond is: </w:t>
      </w:r>
      <w:r>
        <w:t>0.0</w:t>
      </w:r>
      <w:r w:rsidR="00281331">
        <w:t xml:space="preserve">5 </w:t>
      </w:r>
      <w:proofErr w:type="gramStart"/>
      <w:r w:rsidR="00281331">
        <w:t>x</w:t>
      </w:r>
      <w:proofErr w:type="gramEnd"/>
      <w:r w:rsidR="00281331">
        <w:t xml:space="preserve"> (1 – </w:t>
      </w:r>
      <w:r>
        <w:t>0.</w:t>
      </w:r>
      <w:r w:rsidR="00281331">
        <w:t xml:space="preserve">30) = </w:t>
      </w:r>
      <w:r>
        <w:t xml:space="preserve">0.035 or </w:t>
      </w:r>
      <w:r w:rsidR="00281331">
        <w:t>3.5%</w:t>
      </w:r>
      <w:r>
        <w:t xml:space="preserve">.  </w:t>
      </w:r>
      <w:r w:rsidR="00BE3CAD">
        <w:t>The municipal bond offers the higher after-tax yield for investors in tax brackets above 20%.</w:t>
      </w:r>
    </w:p>
    <w:p w:rsidR="00BE3CAD" w:rsidRDefault="00BE3CAD" w:rsidP="00BE3CAD">
      <w:pPr>
        <w:ind w:left="1440"/>
      </w:pPr>
    </w:p>
    <w:p w:rsidR="00BE3CAD" w:rsidRDefault="00BE3CAD" w:rsidP="00BE3CAD">
      <w:pPr>
        <w:numPr>
          <w:ilvl w:val="0"/>
          <w:numId w:val="1"/>
        </w:numPr>
      </w:pPr>
      <w:r>
        <w:t>The after-tax yi</w:t>
      </w:r>
      <w:r w:rsidR="00D329B2">
        <w:t xml:space="preserve">eld on the corporate bonds is: </w:t>
      </w:r>
      <w:r w:rsidR="00E3794E">
        <w:t>0.0</w:t>
      </w:r>
      <w:r w:rsidR="00D329B2">
        <w:t xml:space="preserve">9 </w:t>
      </w:r>
      <w:proofErr w:type="gramStart"/>
      <w:r w:rsidR="00D329B2">
        <w:t>x</w:t>
      </w:r>
      <w:proofErr w:type="gramEnd"/>
      <w:r w:rsidR="00D329B2">
        <w:t xml:space="preserve"> (1 – </w:t>
      </w:r>
      <w:r w:rsidR="00E3794E">
        <w:t>0.</w:t>
      </w:r>
      <w:r>
        <w:t>30</w:t>
      </w:r>
      <w:r w:rsidR="00D329B2">
        <w:t xml:space="preserve">) </w:t>
      </w:r>
      <w:r>
        <w:t xml:space="preserve">= </w:t>
      </w:r>
      <w:r w:rsidR="00E3794E">
        <w:t xml:space="preserve">0.063 or </w:t>
      </w:r>
      <w:r>
        <w:t>6.3%</w:t>
      </w:r>
      <w:r w:rsidR="00BC3D46">
        <w:t xml:space="preserve">.  </w:t>
      </w:r>
      <w:r>
        <w:t>Therefore, the municipals must offer at least 6.3% yields.</w:t>
      </w:r>
    </w:p>
    <w:p w:rsidR="00BE3CAD" w:rsidRDefault="00BE3CAD" w:rsidP="00BE3CAD"/>
    <w:p w:rsidR="00BE3CAD" w:rsidRDefault="00D329B2" w:rsidP="00BE3CAD">
      <w:pPr>
        <w:numPr>
          <w:ilvl w:val="0"/>
          <w:numId w:val="1"/>
        </w:numPr>
      </w:pPr>
      <w:r>
        <w:t xml:space="preserve">Using the formula of Equivalent </w:t>
      </w:r>
      <w:r w:rsidR="00232774">
        <w:t>t</w:t>
      </w:r>
      <w:r>
        <w:t xml:space="preserve">axable </w:t>
      </w:r>
      <w:r w:rsidR="00232774">
        <w:t>y</w:t>
      </w:r>
      <w:r>
        <w:t xml:space="preserve">ield (r) = </w:t>
      </w:r>
      <m:oMath>
        <m:f>
          <m:fPr>
            <m:ctrlPr>
              <w:rPr>
                <w:rFonts w:ascii="Cambria Math" w:hAnsi="Cambria Math"/>
                <w:sz w:val="32"/>
              </w:rPr>
            </m:ctrlPr>
          </m:fPr>
          <m:num>
            <m:r>
              <m:rPr>
                <m:nor/>
              </m:rPr>
              <w:rPr>
                <w:sz w:val="40"/>
                <w:szCs w:val="40"/>
                <w:lang w:eastAsia="zh-TW"/>
              </w:rPr>
              <m:t>r</m:t>
            </m:r>
            <m:r>
              <m:rPr>
                <m:nor/>
              </m:rPr>
              <w:rPr>
                <w:lang w:eastAsia="zh-TW"/>
              </w:rPr>
              <m:t>m</m:t>
            </m:r>
            <m:r>
              <m:rPr>
                <m:nor/>
              </m:rPr>
              <w:rPr>
                <w:sz w:val="32"/>
                <w:lang w:eastAsia="zh-TW"/>
              </w:rPr>
              <m:t xml:space="preserve"> </m:t>
            </m:r>
          </m:num>
          <m:den>
            <m:r>
              <m:rPr>
                <m:nor/>
              </m:rPr>
              <w:rPr>
                <w:sz w:val="32"/>
                <w:lang w:eastAsia="zh-TW"/>
              </w:rPr>
              <m:t>1</m:t>
            </m:r>
            <m:r>
              <m:rPr>
                <m:nor/>
              </m:rPr>
              <w:rPr>
                <w:sz w:val="32"/>
                <w:lang w:eastAsia="zh-TW"/>
              </w:rPr>
              <m:t>－</m:t>
            </m:r>
            <m:r>
              <m:rPr>
                <m:nor/>
              </m:rPr>
              <w:rPr>
                <w:sz w:val="32"/>
                <w:lang w:eastAsia="zh-TW"/>
              </w:rPr>
              <m:t xml:space="preserve"> </m:t>
            </m:r>
            <m:r>
              <m:rPr>
                <m:nor/>
              </m:rPr>
              <w:rPr>
                <w:sz w:val="36"/>
                <w:szCs w:val="36"/>
                <w:lang w:eastAsia="zh-TW"/>
              </w:rPr>
              <m:t>t</m:t>
            </m:r>
          </m:den>
        </m:f>
      </m:oMath>
      <w:r>
        <w:t xml:space="preserve">  , we get:</w:t>
      </w:r>
    </w:p>
    <w:p w:rsidR="00BE3CAD" w:rsidRDefault="00D329B2" w:rsidP="00BE3CAD">
      <w:pPr>
        <w:numPr>
          <w:ilvl w:val="1"/>
          <w:numId w:val="1"/>
        </w:numPr>
      </w:pPr>
      <w:r>
        <w:t xml:space="preserve">r = </w:t>
      </w:r>
      <m:oMath>
        <m:f>
          <m:fPr>
            <m:ctrlPr>
              <w:rPr>
                <w:rFonts w:ascii="Cambria Math" w:hAnsi="Cambria Math"/>
                <w:sz w:val="32"/>
                <w:szCs w:val="32"/>
              </w:rPr>
            </m:ctrlPr>
          </m:fPr>
          <m:num>
            <m:r>
              <m:rPr>
                <m:nor/>
              </m:rPr>
              <w:rPr>
                <w:rFonts w:ascii="Cambria Math"/>
                <w:sz w:val="32"/>
                <w:szCs w:val="32"/>
                <w:lang w:eastAsia="zh-TW"/>
              </w:rPr>
              <m:t>0.0</m:t>
            </m:r>
            <m:r>
              <m:rPr>
                <m:nor/>
              </m:rPr>
              <w:rPr>
                <w:sz w:val="32"/>
                <w:szCs w:val="32"/>
                <w:lang w:eastAsia="zh-TW"/>
              </w:rPr>
              <m:t>4</m:t>
            </m:r>
          </m:num>
          <m:den>
            <m:r>
              <m:rPr>
                <m:nor/>
              </m:rPr>
              <w:rPr>
                <w:sz w:val="32"/>
                <w:szCs w:val="32"/>
                <w:lang w:eastAsia="zh-TW"/>
              </w:rPr>
              <m:t xml:space="preserve">1 </m:t>
            </m:r>
            <m:r>
              <m:rPr>
                <m:nor/>
              </m:rPr>
              <w:rPr>
                <w:sz w:val="32"/>
                <w:szCs w:val="32"/>
                <w:lang w:eastAsia="zh-TW"/>
              </w:rPr>
              <m:t>－</m:t>
            </m:r>
            <m:r>
              <m:rPr>
                <m:nor/>
              </m:rPr>
              <w:rPr>
                <w:sz w:val="32"/>
                <w:szCs w:val="32"/>
                <w:lang w:eastAsia="zh-TW"/>
              </w:rPr>
              <m:t xml:space="preserve"> 0</m:t>
            </m:r>
          </m:den>
        </m:f>
      </m:oMath>
      <w:r w:rsidR="002C793C">
        <w:rPr>
          <w:sz w:val="32"/>
          <w:szCs w:val="32"/>
        </w:rPr>
        <w:t xml:space="preserve"> </w:t>
      </w:r>
      <w:r w:rsidR="002C793C" w:rsidRPr="002C793C">
        <w:t>=</w:t>
      </w:r>
      <w:r w:rsidR="002C793C">
        <w:rPr>
          <w:sz w:val="32"/>
          <w:szCs w:val="32"/>
        </w:rPr>
        <w:t xml:space="preserve"> </w:t>
      </w:r>
      <w:r w:rsidR="00232774" w:rsidRPr="00232774">
        <w:t>0.04 or</w:t>
      </w:r>
      <w:r w:rsidR="00232774">
        <w:rPr>
          <w:sz w:val="32"/>
          <w:szCs w:val="32"/>
        </w:rPr>
        <w:t xml:space="preserve"> </w:t>
      </w:r>
      <w:r w:rsidR="00BE3CAD">
        <w:t>4.00%</w:t>
      </w:r>
    </w:p>
    <w:p w:rsidR="002C793C" w:rsidRDefault="002C793C" w:rsidP="002C793C">
      <w:pPr>
        <w:ind w:left="1440"/>
      </w:pPr>
    </w:p>
    <w:p w:rsidR="002C793C" w:rsidRDefault="002C793C" w:rsidP="002C793C">
      <w:pPr>
        <w:numPr>
          <w:ilvl w:val="1"/>
          <w:numId w:val="1"/>
        </w:numPr>
      </w:pPr>
      <w:r>
        <w:t xml:space="preserve">r = </w:t>
      </w:r>
      <m:oMath>
        <m:f>
          <m:fPr>
            <m:ctrlPr>
              <w:rPr>
                <w:rFonts w:ascii="Cambria Math" w:hAnsi="Cambria Math"/>
                <w:sz w:val="32"/>
                <w:szCs w:val="32"/>
              </w:rPr>
            </m:ctrlPr>
          </m:fPr>
          <m:num>
            <m:r>
              <m:rPr>
                <m:nor/>
              </m:rPr>
              <w:rPr>
                <w:rFonts w:ascii="Cambria Math"/>
                <w:sz w:val="32"/>
                <w:szCs w:val="32"/>
                <w:lang w:eastAsia="zh-TW"/>
              </w:rPr>
              <m:t>0.0</m:t>
            </m:r>
            <m:r>
              <m:rPr>
                <m:nor/>
              </m:rPr>
              <w:rPr>
                <w:sz w:val="32"/>
                <w:szCs w:val="32"/>
                <w:lang w:eastAsia="zh-TW"/>
              </w:rPr>
              <m:t>4</m:t>
            </m:r>
          </m:num>
          <m:den>
            <m:r>
              <m:rPr>
                <m:nor/>
              </m:rPr>
              <w:rPr>
                <w:sz w:val="32"/>
                <w:szCs w:val="32"/>
                <w:lang w:eastAsia="zh-TW"/>
              </w:rPr>
              <m:t xml:space="preserve">1 </m:t>
            </m:r>
            <m:r>
              <m:rPr>
                <m:nor/>
              </m:rPr>
              <w:rPr>
                <w:sz w:val="32"/>
                <w:szCs w:val="32"/>
                <w:lang w:eastAsia="zh-TW"/>
              </w:rPr>
              <m:t>－</m:t>
            </m:r>
            <m:r>
              <m:rPr>
                <m:nor/>
              </m:rPr>
              <w:rPr>
                <w:sz w:val="32"/>
                <w:szCs w:val="32"/>
                <w:lang w:eastAsia="zh-TW"/>
              </w:rPr>
              <m:t xml:space="preserve"> </m:t>
            </m:r>
            <m:r>
              <m:rPr>
                <m:nor/>
              </m:rPr>
              <w:rPr>
                <w:rFonts w:ascii="Cambria Math"/>
                <w:sz w:val="32"/>
                <w:szCs w:val="32"/>
                <w:lang w:eastAsia="zh-TW"/>
              </w:rPr>
              <m:t>0.</m:t>
            </m:r>
            <m:r>
              <m:rPr>
                <m:nor/>
              </m:rPr>
              <w:rPr>
                <w:sz w:val="32"/>
                <w:szCs w:val="32"/>
                <w:lang w:eastAsia="zh-TW"/>
              </w:rPr>
              <m:t>10</m:t>
            </m:r>
          </m:den>
        </m:f>
      </m:oMath>
      <w:r>
        <w:t xml:space="preserve"> = </w:t>
      </w:r>
      <w:r w:rsidR="00232774">
        <w:t xml:space="preserve">0.0444 or </w:t>
      </w:r>
      <w:r w:rsidR="00BE3CAD">
        <w:t>4.44%</w:t>
      </w:r>
    </w:p>
    <w:p w:rsidR="002C793C" w:rsidRDefault="002C793C" w:rsidP="002C793C">
      <w:pPr>
        <w:pStyle w:val="ListParagraph"/>
      </w:pPr>
      <w:r>
        <w:t xml:space="preserve">                </w:t>
      </w:r>
    </w:p>
    <w:p w:rsidR="002C793C" w:rsidRDefault="002C793C" w:rsidP="002C793C">
      <w:pPr>
        <w:numPr>
          <w:ilvl w:val="1"/>
          <w:numId w:val="1"/>
        </w:numPr>
      </w:pPr>
      <w:r>
        <w:t xml:space="preserve">r = </w:t>
      </w:r>
      <m:oMath>
        <m:f>
          <m:fPr>
            <m:ctrlPr>
              <w:rPr>
                <w:rFonts w:ascii="Cambria Math" w:hAnsi="Cambria Math"/>
                <w:sz w:val="32"/>
                <w:szCs w:val="32"/>
              </w:rPr>
            </m:ctrlPr>
          </m:fPr>
          <m:num>
            <m:r>
              <m:rPr>
                <m:nor/>
              </m:rPr>
              <w:rPr>
                <w:rFonts w:ascii="Cambria Math"/>
                <w:sz w:val="32"/>
                <w:szCs w:val="32"/>
                <w:lang w:eastAsia="zh-TW"/>
              </w:rPr>
              <m:t>0.0</m:t>
            </m:r>
            <m:r>
              <m:rPr>
                <m:nor/>
              </m:rPr>
              <w:rPr>
                <w:sz w:val="32"/>
                <w:szCs w:val="32"/>
                <w:lang w:eastAsia="zh-TW"/>
              </w:rPr>
              <m:t>4</m:t>
            </m:r>
          </m:num>
          <m:den>
            <m:r>
              <m:rPr>
                <m:nor/>
              </m:rPr>
              <w:rPr>
                <w:sz w:val="32"/>
                <w:szCs w:val="32"/>
                <w:lang w:eastAsia="zh-TW"/>
              </w:rPr>
              <m:t xml:space="preserve">1 </m:t>
            </m:r>
            <m:r>
              <m:rPr>
                <m:nor/>
              </m:rPr>
              <w:rPr>
                <w:sz w:val="32"/>
                <w:szCs w:val="32"/>
                <w:lang w:eastAsia="zh-TW"/>
              </w:rPr>
              <m:t>－</m:t>
            </m:r>
            <m:r>
              <m:rPr>
                <m:nor/>
              </m:rPr>
              <w:rPr>
                <w:sz w:val="32"/>
                <w:szCs w:val="32"/>
                <w:lang w:eastAsia="zh-TW"/>
              </w:rPr>
              <m:t xml:space="preserve"> </m:t>
            </m:r>
            <m:r>
              <m:rPr>
                <m:nor/>
              </m:rPr>
              <w:rPr>
                <w:rFonts w:ascii="Cambria Math"/>
                <w:sz w:val="32"/>
                <w:szCs w:val="32"/>
                <w:lang w:eastAsia="zh-TW"/>
              </w:rPr>
              <m:t>0.</m:t>
            </m:r>
            <m:r>
              <m:rPr>
                <m:nor/>
              </m:rPr>
              <w:rPr>
                <w:sz w:val="32"/>
                <w:szCs w:val="32"/>
                <w:lang w:eastAsia="zh-TW"/>
              </w:rPr>
              <m:t>20</m:t>
            </m:r>
          </m:den>
        </m:f>
      </m:oMath>
      <w:r>
        <w:t xml:space="preserve"> = </w:t>
      </w:r>
      <w:r w:rsidR="00232774">
        <w:t xml:space="preserve">0.05 or </w:t>
      </w:r>
      <w:r>
        <w:t>5.00%</w:t>
      </w:r>
    </w:p>
    <w:p w:rsidR="00BE3CAD" w:rsidRDefault="00BE3CAD" w:rsidP="002C793C">
      <w:pPr>
        <w:ind w:left="1440"/>
      </w:pPr>
    </w:p>
    <w:p w:rsidR="0013410A" w:rsidRDefault="0014127B" w:rsidP="0013410A">
      <w:pPr>
        <w:numPr>
          <w:ilvl w:val="1"/>
          <w:numId w:val="1"/>
        </w:numPr>
      </w:pPr>
      <w:r>
        <w:t xml:space="preserve">r = </w:t>
      </w:r>
      <m:oMath>
        <m:f>
          <m:fPr>
            <m:ctrlPr>
              <w:rPr>
                <w:rFonts w:ascii="Cambria Math" w:hAnsi="Cambria Math"/>
                <w:sz w:val="32"/>
                <w:szCs w:val="32"/>
              </w:rPr>
            </m:ctrlPr>
          </m:fPr>
          <m:num>
            <m:r>
              <m:rPr>
                <m:nor/>
              </m:rPr>
              <w:rPr>
                <w:rFonts w:ascii="Cambria Math"/>
                <w:sz w:val="32"/>
                <w:szCs w:val="32"/>
                <w:lang w:eastAsia="zh-TW"/>
              </w:rPr>
              <m:t>0.0</m:t>
            </m:r>
            <m:r>
              <m:rPr>
                <m:nor/>
              </m:rPr>
              <w:rPr>
                <w:sz w:val="32"/>
                <w:szCs w:val="32"/>
                <w:lang w:eastAsia="zh-TW"/>
              </w:rPr>
              <m:t>4</m:t>
            </m:r>
          </m:num>
          <m:den>
            <m:r>
              <m:rPr>
                <m:nor/>
              </m:rPr>
              <w:rPr>
                <w:sz w:val="32"/>
                <w:szCs w:val="32"/>
                <w:lang w:eastAsia="zh-TW"/>
              </w:rPr>
              <m:t xml:space="preserve">1 </m:t>
            </m:r>
            <m:r>
              <m:rPr>
                <m:nor/>
              </m:rPr>
              <w:rPr>
                <w:sz w:val="32"/>
                <w:szCs w:val="32"/>
                <w:lang w:eastAsia="zh-TW"/>
              </w:rPr>
              <m:t>－</m:t>
            </m:r>
            <m:r>
              <m:rPr>
                <m:nor/>
              </m:rPr>
              <w:rPr>
                <w:sz w:val="32"/>
                <w:szCs w:val="32"/>
                <w:lang w:eastAsia="zh-TW"/>
              </w:rPr>
              <m:t xml:space="preserve"> </m:t>
            </m:r>
            <m:r>
              <m:rPr>
                <m:nor/>
              </m:rPr>
              <w:rPr>
                <w:rFonts w:ascii="Cambria Math"/>
                <w:sz w:val="32"/>
                <w:szCs w:val="32"/>
                <w:lang w:eastAsia="zh-TW"/>
              </w:rPr>
              <m:t>0.</m:t>
            </m:r>
            <m:r>
              <m:rPr>
                <m:nor/>
              </m:rPr>
              <w:rPr>
                <w:sz w:val="32"/>
                <w:szCs w:val="32"/>
                <w:lang w:eastAsia="zh-TW"/>
              </w:rPr>
              <m:t>30</m:t>
            </m:r>
          </m:den>
        </m:f>
      </m:oMath>
      <w:r>
        <w:t xml:space="preserve"> = </w:t>
      </w:r>
      <w:r w:rsidR="00232774">
        <w:t xml:space="preserve">0.0571 or </w:t>
      </w:r>
      <w:r w:rsidR="00BE3CAD">
        <w:t>5.71%</w:t>
      </w:r>
    </w:p>
    <w:p w:rsidR="0013410A" w:rsidRDefault="0013410A" w:rsidP="0013410A">
      <w:pPr>
        <w:rPr>
          <w:lang w:eastAsia="zh-TW"/>
        </w:rPr>
      </w:pPr>
      <w:r>
        <w:rPr>
          <w:lang w:eastAsia="zh-TW"/>
        </w:rPr>
        <w:br w:type="page"/>
      </w:r>
    </w:p>
    <w:p w:rsidR="00642624" w:rsidRDefault="00642624" w:rsidP="00BE3CAD">
      <w:pPr>
        <w:numPr>
          <w:ilvl w:val="0"/>
          <w:numId w:val="1"/>
        </w:numPr>
      </w:pPr>
    </w:p>
    <w:p w:rsidR="00375389" w:rsidRDefault="00642624" w:rsidP="00BE3CAD">
      <w:pPr>
        <w:numPr>
          <w:ilvl w:val="1"/>
          <w:numId w:val="1"/>
        </w:numPr>
      </w:pPr>
      <w:r>
        <w:t>You would</w:t>
      </w:r>
      <w:r w:rsidR="00375389">
        <w:t xml:space="preserve"> have to pay the asked price of:</w:t>
      </w:r>
    </w:p>
    <w:p w:rsidR="00642624" w:rsidRPr="00E704CC" w:rsidRDefault="00375389" w:rsidP="00375389">
      <w:pPr>
        <w:ind w:left="1440"/>
        <w:rPr>
          <w:rFonts w:eastAsia="MS Mincho"/>
          <w:lang w:eastAsia="ja-JP"/>
        </w:rPr>
      </w:pPr>
      <w:r>
        <w:t xml:space="preserve"> </w:t>
      </w:r>
      <w:r w:rsidR="00FC45CB">
        <w:rPr>
          <w:rFonts w:eastAsia="MS Mincho" w:hint="eastAsia"/>
          <w:lang w:eastAsia="ja-JP"/>
        </w:rPr>
        <w:t>121.41</w:t>
      </w:r>
      <w:r>
        <w:t xml:space="preserve"> = </w:t>
      </w:r>
      <w:r w:rsidR="00FC45CB">
        <w:rPr>
          <w:rFonts w:eastAsia="MS Mincho" w:hint="eastAsia"/>
          <w:lang w:eastAsia="ja-JP"/>
        </w:rPr>
        <w:t>121.41</w:t>
      </w:r>
      <w:r>
        <w:t>% of par = $</w:t>
      </w:r>
      <w:r w:rsidR="00FC45CB">
        <w:rPr>
          <w:rFonts w:eastAsia="MS Mincho" w:hint="eastAsia"/>
          <w:lang w:eastAsia="ja-JP"/>
        </w:rPr>
        <w:t>1,214.14</w:t>
      </w:r>
    </w:p>
    <w:p w:rsidR="00642624" w:rsidRDefault="00642624" w:rsidP="00642624">
      <w:pPr>
        <w:ind w:left="360"/>
      </w:pPr>
    </w:p>
    <w:p w:rsidR="00642624" w:rsidRDefault="00642624" w:rsidP="00BE3CAD">
      <w:pPr>
        <w:numPr>
          <w:ilvl w:val="1"/>
          <w:numId w:val="1"/>
        </w:numPr>
      </w:pPr>
      <w:r>
        <w:t xml:space="preserve">The coupon rate is </w:t>
      </w:r>
      <w:r w:rsidR="00375389">
        <w:t>4.</w:t>
      </w:r>
      <w:r w:rsidR="00FC45CB">
        <w:rPr>
          <w:rFonts w:eastAsia="MS Mincho" w:hint="eastAsia"/>
          <w:lang w:eastAsia="ja-JP"/>
        </w:rPr>
        <w:t>50</w:t>
      </w:r>
      <w:r>
        <w:t>%, implying coupon payments of $</w:t>
      </w:r>
      <w:r w:rsidR="00FC45CB">
        <w:rPr>
          <w:rFonts w:eastAsia="MS Mincho" w:hint="eastAsia"/>
          <w:lang w:eastAsia="ja-JP"/>
        </w:rPr>
        <w:t>45.00</w:t>
      </w:r>
      <w:r>
        <w:t xml:space="preserve"> annually or, more precisely, $</w:t>
      </w:r>
      <w:r w:rsidR="00FC45CB">
        <w:rPr>
          <w:rFonts w:eastAsia="MS Mincho" w:hint="eastAsia"/>
          <w:lang w:eastAsia="ja-JP"/>
        </w:rPr>
        <w:t>22.50</w:t>
      </w:r>
      <w:r>
        <w:t xml:space="preserve"> </w:t>
      </w:r>
      <w:r w:rsidR="00232774">
        <w:t>(= 4</w:t>
      </w:r>
      <w:r w:rsidR="00FC45CB">
        <w:rPr>
          <w:rFonts w:eastAsia="MS Mincho" w:hint="eastAsia"/>
          <w:lang w:eastAsia="ja-JP"/>
        </w:rPr>
        <w:t>5.00</w:t>
      </w:r>
      <w:r w:rsidR="00232774">
        <w:t xml:space="preserve">/2) </w:t>
      </w:r>
      <w:r>
        <w:t>semiannually.</w:t>
      </w:r>
    </w:p>
    <w:p w:rsidR="00642624" w:rsidRDefault="00642624" w:rsidP="00642624">
      <w:pPr>
        <w:ind w:left="360"/>
      </w:pPr>
    </w:p>
    <w:p w:rsidR="00232774" w:rsidRDefault="009A791B" w:rsidP="009A791B">
      <w:pPr>
        <w:numPr>
          <w:ilvl w:val="1"/>
          <w:numId w:val="1"/>
        </w:numPr>
      </w:pPr>
      <w:r>
        <w:t xml:space="preserve">Given the asked price and coupon rate, we can calculate current yield with the formula: </w:t>
      </w:r>
    </w:p>
    <w:p w:rsidR="00642624" w:rsidRDefault="009A791B" w:rsidP="00232774">
      <w:pPr>
        <w:ind w:left="1440"/>
      </w:pPr>
      <w:r>
        <w:t xml:space="preserve">Current </w:t>
      </w:r>
      <w:r w:rsidR="00232774">
        <w:t>y</w:t>
      </w:r>
      <w:r w:rsidR="00642624">
        <w:t>iel</w:t>
      </w:r>
      <w:r>
        <w:t xml:space="preserve">d = </w:t>
      </w:r>
      <m:oMath>
        <m:f>
          <m:fPr>
            <m:ctrlPr>
              <w:rPr>
                <w:rFonts w:ascii="Cambria Math" w:hAnsi="Cambria Math"/>
                <w:sz w:val="32"/>
              </w:rPr>
            </m:ctrlPr>
          </m:fPr>
          <m:num>
            <m:r>
              <m:rPr>
                <m:nor/>
              </m:rPr>
              <w:rPr>
                <w:sz w:val="32"/>
                <w:lang w:eastAsia="zh-TW"/>
              </w:rPr>
              <m:t>Annual coupon income</m:t>
            </m:r>
          </m:num>
          <m:den>
            <m:r>
              <m:rPr>
                <m:nor/>
              </m:rPr>
              <w:rPr>
                <w:rFonts w:ascii="Cambria Math"/>
                <w:sz w:val="32"/>
                <w:lang w:eastAsia="zh-TW"/>
              </w:rPr>
              <m:t>Price</m:t>
            </m:r>
          </m:den>
        </m:f>
      </m:oMath>
      <w:r>
        <w:rPr>
          <w:sz w:val="32"/>
        </w:rPr>
        <w:t xml:space="preserve"> </w:t>
      </w:r>
      <w:r>
        <w:t>= 4.</w:t>
      </w:r>
      <w:r w:rsidR="00FC45CB">
        <w:rPr>
          <w:rFonts w:eastAsia="MS Mincho" w:hint="eastAsia"/>
          <w:lang w:eastAsia="ja-JP"/>
        </w:rPr>
        <w:t>50</w:t>
      </w:r>
      <w:r w:rsidR="00CC7AF5">
        <w:t>/</w:t>
      </w:r>
      <w:r w:rsidR="00FC45CB">
        <w:rPr>
          <w:rFonts w:eastAsia="MS Mincho" w:hint="eastAsia"/>
          <w:lang w:eastAsia="ja-JP"/>
        </w:rPr>
        <w:t>121.14</w:t>
      </w:r>
      <w:r w:rsidR="00CC7AF5">
        <w:t xml:space="preserve"> </w:t>
      </w:r>
      <w:r w:rsidR="00642624">
        <w:t>= 0.0</w:t>
      </w:r>
      <w:r w:rsidR="00FC45CB">
        <w:rPr>
          <w:rFonts w:eastAsia="MS Mincho" w:hint="eastAsia"/>
          <w:lang w:eastAsia="ja-JP"/>
        </w:rPr>
        <w:t>371</w:t>
      </w:r>
      <w:r w:rsidR="00642624">
        <w:t xml:space="preserve"> = </w:t>
      </w:r>
      <w:r w:rsidR="00FC45CB">
        <w:rPr>
          <w:rFonts w:eastAsia="MS Mincho" w:hint="eastAsia"/>
          <w:lang w:eastAsia="ja-JP"/>
        </w:rPr>
        <w:t>3</w:t>
      </w:r>
      <w:r w:rsidR="00CC7AF5">
        <w:t>.</w:t>
      </w:r>
      <w:r w:rsidR="00FC45CB">
        <w:rPr>
          <w:rFonts w:eastAsia="MS Mincho" w:hint="eastAsia"/>
          <w:lang w:eastAsia="ja-JP"/>
        </w:rPr>
        <w:t>71</w:t>
      </w:r>
      <w:r w:rsidR="00642624">
        <w:t>%</w:t>
      </w:r>
    </w:p>
    <w:p w:rsidR="00F920A4" w:rsidRDefault="00F920A4" w:rsidP="00F60F0B"/>
    <w:p w:rsidR="00F60F0B" w:rsidRDefault="00F60F0B" w:rsidP="00BE3CAD">
      <w:pPr>
        <w:numPr>
          <w:ilvl w:val="0"/>
          <w:numId w:val="1"/>
        </w:numPr>
      </w:pPr>
      <w:r>
        <w:t xml:space="preserve"> </w:t>
      </w:r>
    </w:p>
    <w:p w:rsidR="00F60F0B" w:rsidRDefault="00F60F0B" w:rsidP="00BE3CAD">
      <w:pPr>
        <w:numPr>
          <w:ilvl w:val="1"/>
          <w:numId w:val="1"/>
        </w:numPr>
      </w:pPr>
      <w:r>
        <w:t>The closing price toda</w:t>
      </w:r>
      <w:r w:rsidR="002A333C">
        <w:t>y is $</w:t>
      </w:r>
      <w:r w:rsidR="00162B3F">
        <w:rPr>
          <w:rFonts w:eastAsia="MS Mincho" w:hint="eastAsia"/>
          <w:lang w:eastAsia="ja-JP"/>
        </w:rPr>
        <w:t>127.75</w:t>
      </w:r>
      <w:r>
        <w:t>, which is $</w:t>
      </w:r>
      <w:r w:rsidR="002A333C">
        <w:t>0.9</w:t>
      </w:r>
      <w:r w:rsidR="00162B3F">
        <w:rPr>
          <w:rFonts w:eastAsia="MS Mincho" w:hint="eastAsia"/>
          <w:lang w:eastAsia="ja-JP"/>
        </w:rPr>
        <w:t>0</w:t>
      </w:r>
      <w:r w:rsidR="002A333C">
        <w:t xml:space="preserve"> above</w:t>
      </w:r>
      <w:r w:rsidR="00BC3D46">
        <w:t xml:space="preserve"> </w:t>
      </w:r>
      <w:r>
        <w:t>yesterday’s price.  Therefore, ye</w:t>
      </w:r>
      <w:r w:rsidR="002A333C">
        <w:t>sterday’s closing price was: $</w:t>
      </w:r>
      <w:r w:rsidR="00162B3F">
        <w:rPr>
          <w:rFonts w:eastAsia="MS Mincho" w:hint="eastAsia"/>
          <w:lang w:eastAsia="ja-JP"/>
        </w:rPr>
        <w:t>127.75</w:t>
      </w:r>
      <w:r>
        <w:t xml:space="preserve"> </w:t>
      </w:r>
      <w:r w:rsidR="002A333C">
        <w:rPr>
          <w:rFonts w:hint="eastAsia"/>
        </w:rPr>
        <w:t>－</w:t>
      </w:r>
      <w:r>
        <w:t xml:space="preserve"> $</w:t>
      </w:r>
      <w:r w:rsidR="002A333C">
        <w:t>0.9</w:t>
      </w:r>
      <w:r w:rsidR="00162B3F">
        <w:rPr>
          <w:rFonts w:eastAsia="MS Mincho" w:hint="eastAsia"/>
          <w:lang w:eastAsia="ja-JP"/>
        </w:rPr>
        <w:t>0</w:t>
      </w:r>
      <w:r>
        <w:t xml:space="preserve"> = $</w:t>
      </w:r>
      <w:r w:rsidR="00162B3F">
        <w:rPr>
          <w:rFonts w:eastAsia="MS Mincho" w:hint="eastAsia"/>
          <w:lang w:eastAsia="ja-JP"/>
        </w:rPr>
        <w:t>126.85</w:t>
      </w:r>
      <w:r w:rsidR="00232774">
        <w:t>.</w:t>
      </w:r>
    </w:p>
    <w:p w:rsidR="00F60F0B" w:rsidRDefault="00F60F0B" w:rsidP="00F60F0B">
      <w:pPr>
        <w:ind w:left="1080"/>
      </w:pPr>
    </w:p>
    <w:p w:rsidR="00F60F0B" w:rsidRDefault="007811F9" w:rsidP="00E3794E">
      <w:pPr>
        <w:numPr>
          <w:ilvl w:val="1"/>
          <w:numId w:val="1"/>
        </w:numPr>
      </w:pPr>
      <w:r>
        <w:t xml:space="preserve">You would buy </w:t>
      </w:r>
      <w:r w:rsidR="00162B3F">
        <w:rPr>
          <w:rFonts w:eastAsia="MS Mincho" w:hint="eastAsia"/>
          <w:lang w:eastAsia="ja-JP"/>
        </w:rPr>
        <w:t>39</w:t>
      </w:r>
      <w:r w:rsidR="00162B3F">
        <w:t xml:space="preserve"> </w:t>
      </w:r>
      <w:r>
        <w:t xml:space="preserve">shares: </w:t>
      </w:r>
      <w:r w:rsidR="00232774">
        <w:t>$</w:t>
      </w:r>
      <w:r w:rsidR="00E3794E">
        <w:t>5,000/</w:t>
      </w:r>
      <w:r w:rsidR="00232774">
        <w:t>$</w:t>
      </w:r>
      <w:r w:rsidR="00162B3F">
        <w:rPr>
          <w:rFonts w:eastAsia="MS Mincho" w:hint="eastAsia"/>
          <w:lang w:eastAsia="ja-JP"/>
        </w:rPr>
        <w:t>127.75</w:t>
      </w:r>
      <w:r w:rsidR="00E3794E" w:rsidRPr="00E3794E">
        <w:t xml:space="preserve"> = </w:t>
      </w:r>
      <w:r w:rsidR="00162B3F">
        <w:rPr>
          <w:rFonts w:eastAsia="MS Mincho" w:hint="eastAsia"/>
          <w:lang w:eastAsia="ja-JP"/>
        </w:rPr>
        <w:t>39.14</w:t>
      </w:r>
      <w:r w:rsidR="00E3794E" w:rsidRPr="00E3794E">
        <w:t xml:space="preserve">. </w:t>
      </w:r>
    </w:p>
    <w:p w:rsidR="00F60F0B" w:rsidRDefault="00F60F0B" w:rsidP="00F60F0B"/>
    <w:p w:rsidR="00F60F0B" w:rsidRDefault="007811F9" w:rsidP="00503079">
      <w:pPr>
        <w:numPr>
          <w:ilvl w:val="1"/>
          <w:numId w:val="1"/>
        </w:numPr>
        <w:spacing w:line="360" w:lineRule="auto"/>
      </w:pPr>
      <w:r>
        <w:t>Your</w:t>
      </w:r>
      <w:r w:rsidR="00517623">
        <w:t xml:space="preserve"> annual dividend </w:t>
      </w:r>
      <w:r w:rsidR="00E3794E">
        <w:t>income</w:t>
      </w:r>
      <w:r w:rsidR="00517623">
        <w:t xml:space="preserve"> </w:t>
      </w:r>
      <w:r w:rsidR="004112DD">
        <w:t xml:space="preserve">on </w:t>
      </w:r>
      <w:r w:rsidR="00162B3F">
        <w:rPr>
          <w:rFonts w:eastAsia="MS Mincho" w:hint="eastAsia"/>
          <w:lang w:eastAsia="ja-JP"/>
        </w:rPr>
        <w:t>39</w:t>
      </w:r>
      <w:r w:rsidR="00162B3F">
        <w:t xml:space="preserve"> </w:t>
      </w:r>
      <w:r w:rsidR="004112DD">
        <w:t xml:space="preserve">shares would be </w:t>
      </w:r>
      <w:r w:rsidR="00162B3F">
        <w:rPr>
          <w:rFonts w:eastAsia="MS Mincho" w:hint="eastAsia"/>
          <w:lang w:eastAsia="ja-JP"/>
        </w:rPr>
        <w:t>39</w:t>
      </w:r>
      <w:r w:rsidR="00162B3F" w:rsidRPr="004112DD">
        <w:t xml:space="preserve"> </w:t>
      </w:r>
      <w:r w:rsidR="004112DD" w:rsidRPr="004112DD">
        <w:t xml:space="preserve">x </w:t>
      </w:r>
      <w:r w:rsidR="004112DD">
        <w:t>$</w:t>
      </w:r>
      <w:r w:rsidR="00162B3F">
        <w:rPr>
          <w:rFonts w:eastAsia="MS Mincho" w:hint="eastAsia"/>
          <w:lang w:eastAsia="ja-JP"/>
        </w:rPr>
        <w:t>2.48</w:t>
      </w:r>
      <w:r w:rsidR="004112DD" w:rsidRPr="004112DD">
        <w:t xml:space="preserve"> = $</w:t>
      </w:r>
      <w:r w:rsidR="00162B3F">
        <w:rPr>
          <w:rFonts w:eastAsia="MS Mincho" w:hint="eastAsia"/>
          <w:lang w:eastAsia="ja-JP"/>
        </w:rPr>
        <w:t>96.72</w:t>
      </w:r>
      <w:r w:rsidR="004112DD" w:rsidRPr="004112DD">
        <w:t>.</w:t>
      </w:r>
    </w:p>
    <w:p w:rsidR="00F60F0B" w:rsidRDefault="00F60F0B" w:rsidP="00F60F0B"/>
    <w:p w:rsidR="00503079" w:rsidRDefault="00F60F0B" w:rsidP="00503079">
      <w:pPr>
        <w:numPr>
          <w:ilvl w:val="1"/>
          <w:numId w:val="1"/>
        </w:numPr>
      </w:pPr>
      <w:r>
        <w:t>Earnings per share can be derived fro</w:t>
      </w:r>
      <w:r w:rsidR="00503079">
        <w:t>m the price-earnings (PE) ratio:</w:t>
      </w:r>
    </w:p>
    <w:p w:rsidR="00F60F0B" w:rsidRDefault="00503079" w:rsidP="00503079">
      <w:pPr>
        <w:ind w:left="1440"/>
      </w:pPr>
      <w:r>
        <w:t xml:space="preserve">Given </w:t>
      </w:r>
      <w:r w:rsidR="004112DD">
        <w:t>p</w:t>
      </w:r>
      <w:r w:rsidR="00F60F0B">
        <w:t xml:space="preserve">rice/Earnings = </w:t>
      </w:r>
      <w:r w:rsidR="00162B3F">
        <w:rPr>
          <w:rFonts w:eastAsia="MS Mincho" w:hint="eastAsia"/>
          <w:lang w:eastAsia="ja-JP"/>
        </w:rPr>
        <w:t>19.30</w:t>
      </w:r>
      <w:r w:rsidR="00F60F0B">
        <w:t xml:space="preserve"> and Price = $</w:t>
      </w:r>
      <w:r w:rsidR="00162B3F">
        <w:rPr>
          <w:rFonts w:eastAsia="MS Mincho" w:hint="eastAsia"/>
          <w:lang w:eastAsia="ja-JP"/>
        </w:rPr>
        <w:t>127.75</w:t>
      </w:r>
      <w:r>
        <w:t>, we know</w:t>
      </w:r>
      <w:r w:rsidR="005A14DC">
        <w:t xml:space="preserve"> that E</w:t>
      </w:r>
      <w:r w:rsidR="00351C84">
        <w:t xml:space="preserve">arnings </w:t>
      </w:r>
      <w:r w:rsidR="005A14DC">
        <w:t xml:space="preserve">per Share </w:t>
      </w:r>
      <w:r>
        <w:t>= $</w:t>
      </w:r>
      <w:r w:rsidR="00162B3F">
        <w:rPr>
          <w:rFonts w:eastAsia="MS Mincho" w:hint="eastAsia"/>
          <w:lang w:eastAsia="ja-JP"/>
        </w:rPr>
        <w:t>127.75</w:t>
      </w:r>
      <w:r w:rsidR="00351C84">
        <w:t>/</w:t>
      </w:r>
      <w:r w:rsidR="00162B3F">
        <w:rPr>
          <w:rFonts w:eastAsia="MS Mincho" w:hint="eastAsia"/>
          <w:lang w:eastAsia="ja-JP"/>
        </w:rPr>
        <w:t>19.30</w:t>
      </w:r>
      <w:r w:rsidR="00F60F0B">
        <w:t xml:space="preserve"> = $</w:t>
      </w:r>
      <w:r>
        <w:t>6.</w:t>
      </w:r>
      <w:r w:rsidR="00162B3F">
        <w:rPr>
          <w:rFonts w:eastAsia="MS Mincho" w:hint="eastAsia"/>
          <w:lang w:eastAsia="ja-JP"/>
        </w:rPr>
        <w:t>62</w:t>
      </w:r>
      <w:r w:rsidR="004112DD">
        <w:t>.</w:t>
      </w:r>
    </w:p>
    <w:p w:rsidR="00351C84" w:rsidRDefault="00351C84" w:rsidP="00351C84"/>
    <w:p w:rsidR="00351C84" w:rsidRDefault="00351C84" w:rsidP="00BE3CAD">
      <w:pPr>
        <w:numPr>
          <w:ilvl w:val="0"/>
          <w:numId w:val="1"/>
        </w:numPr>
      </w:pPr>
    </w:p>
    <w:p w:rsidR="00351C84" w:rsidRDefault="00351C84" w:rsidP="00BE3CAD">
      <w:pPr>
        <w:numPr>
          <w:ilvl w:val="1"/>
          <w:numId w:val="1"/>
        </w:numPr>
      </w:pPr>
      <w:r>
        <w:t xml:space="preserve">At </w:t>
      </w:r>
      <w:r w:rsidRPr="004112DD">
        <w:rPr>
          <w:i/>
        </w:rPr>
        <w:t>t</w:t>
      </w:r>
      <w:r>
        <w:t xml:space="preserve"> = 0, the value of the index is: (</w:t>
      </w:r>
      <w:r w:rsidR="008063F9">
        <w:t>$</w:t>
      </w:r>
      <w:r>
        <w:t xml:space="preserve">90 + </w:t>
      </w:r>
      <w:r w:rsidR="008063F9">
        <w:t>$</w:t>
      </w:r>
      <w:r>
        <w:t xml:space="preserve">50 + </w:t>
      </w:r>
      <w:r w:rsidR="008063F9">
        <w:t>$</w:t>
      </w:r>
      <w:r>
        <w:t>100)/3 = 80</w:t>
      </w:r>
    </w:p>
    <w:p w:rsidR="00351C84" w:rsidRDefault="00351C84" w:rsidP="00351C84">
      <w:pPr>
        <w:ind w:left="720"/>
      </w:pPr>
      <w:r>
        <w:tab/>
        <w:t xml:space="preserve">At </w:t>
      </w:r>
      <w:r w:rsidRPr="004112DD">
        <w:rPr>
          <w:i/>
        </w:rPr>
        <w:t>t</w:t>
      </w:r>
      <w:r>
        <w:t xml:space="preserve"> = 1, the value of the index</w:t>
      </w:r>
      <w:r w:rsidR="006C0E96">
        <w:t xml:space="preserve"> is: (</w:t>
      </w:r>
      <w:r w:rsidR="008063F9">
        <w:t>$</w:t>
      </w:r>
      <w:r w:rsidR="006C0E96">
        <w:t xml:space="preserve">95 + </w:t>
      </w:r>
      <w:r w:rsidR="008063F9">
        <w:t>$</w:t>
      </w:r>
      <w:r w:rsidR="006C0E96">
        <w:t xml:space="preserve">45 + </w:t>
      </w:r>
      <w:r w:rsidR="008063F9">
        <w:t>$</w:t>
      </w:r>
      <w:r w:rsidR="006C0E96">
        <w:t>110)/3 = 83.33</w:t>
      </w:r>
    </w:p>
    <w:p w:rsidR="00351C84" w:rsidRDefault="00351C84" w:rsidP="00351C84">
      <w:pPr>
        <w:ind w:left="720"/>
      </w:pPr>
      <w:r>
        <w:tab/>
        <w:t>The r</w:t>
      </w:r>
      <w:r w:rsidR="006C0E96">
        <w:t>ate of return is</w:t>
      </w:r>
      <w:r w:rsidR="006C0E96" w:rsidRPr="008063F9">
        <w:rPr>
          <w:sz w:val="32"/>
          <w:szCs w:val="32"/>
        </w:rPr>
        <w:t xml:space="preserve">: </w:t>
      </w:r>
      <m:oMath>
        <m:f>
          <m:fPr>
            <m:ctrlPr>
              <w:rPr>
                <w:rFonts w:ascii="Cambria Math" w:hAnsi="Cambria Math"/>
                <w:sz w:val="32"/>
                <w:szCs w:val="32"/>
              </w:rPr>
            </m:ctrlPr>
          </m:fPr>
          <m:num>
            <m:r>
              <m:rPr>
                <m:nor/>
              </m:rPr>
              <w:rPr>
                <w:sz w:val="32"/>
                <w:szCs w:val="32"/>
                <w:lang w:eastAsia="zh-TW"/>
              </w:rPr>
              <m:t>V</m:t>
            </m:r>
            <m:r>
              <m:rPr>
                <m:nor/>
              </m:rPr>
              <w:rPr>
                <w:sz w:val="20"/>
                <w:szCs w:val="20"/>
                <w:lang w:eastAsia="zh-TW"/>
              </w:rPr>
              <m:t>1</m:t>
            </m:r>
          </m:num>
          <m:den>
            <m:r>
              <m:rPr>
                <m:nor/>
              </m:rPr>
              <w:rPr>
                <w:sz w:val="32"/>
                <w:szCs w:val="32"/>
                <w:lang w:eastAsia="zh-TW"/>
              </w:rPr>
              <m:t>V</m:t>
            </m:r>
            <m:r>
              <m:rPr>
                <m:nor/>
              </m:rPr>
              <w:rPr>
                <w:sz w:val="20"/>
                <w:szCs w:val="20"/>
                <w:lang w:eastAsia="zh-TW"/>
              </w:rPr>
              <m:t>0</m:t>
            </m:r>
          </m:den>
        </m:f>
      </m:oMath>
      <w:r w:rsidR="008063F9" w:rsidRPr="008063F9">
        <w:t xml:space="preserve"> </w:t>
      </w:r>
      <w:r w:rsidR="008063F9" w:rsidRPr="008063F9">
        <w:t>－</w:t>
      </w:r>
      <w:r w:rsidR="008063F9">
        <w:t xml:space="preserve"> 1 = </w:t>
      </w:r>
      <w:r w:rsidR="006C0E96">
        <w:t xml:space="preserve">(83.33/80) – 1 = </w:t>
      </w:r>
      <w:r w:rsidR="007811F9">
        <w:t xml:space="preserve">0.0417 or </w:t>
      </w:r>
      <w:r w:rsidR="006C0E96">
        <w:t>4.1</w:t>
      </w:r>
      <w:r>
        <w:t>7%</w:t>
      </w:r>
    </w:p>
    <w:p w:rsidR="00351C84" w:rsidRDefault="00351C84" w:rsidP="00351C84"/>
    <w:p w:rsidR="00351C84" w:rsidRDefault="00351C84" w:rsidP="00F61B76">
      <w:pPr>
        <w:numPr>
          <w:ilvl w:val="1"/>
          <w:numId w:val="1"/>
        </w:numPr>
      </w:pPr>
      <w:r>
        <w:t xml:space="preserve">In the absence of a split, stock C would sell for </w:t>
      </w:r>
      <w:r w:rsidR="00F61B76">
        <w:t>$</w:t>
      </w:r>
      <w:r>
        <w:t>110, and the value of the index would be</w:t>
      </w:r>
      <w:r w:rsidR="00F61B76">
        <w:t xml:space="preserve"> the average price of the individual stocks included in the index</w:t>
      </w:r>
      <w:r>
        <w:t>: (</w:t>
      </w:r>
      <w:r w:rsidR="008063F9">
        <w:t>$</w:t>
      </w:r>
      <w:r>
        <w:t xml:space="preserve">95 + </w:t>
      </w:r>
      <w:r w:rsidR="008063F9">
        <w:t>$</w:t>
      </w:r>
      <w:r>
        <w:t xml:space="preserve">45 + </w:t>
      </w:r>
      <w:r w:rsidR="008063F9">
        <w:t>$</w:t>
      </w:r>
      <w:r w:rsidR="00F61B76">
        <w:t xml:space="preserve">110)/3 = </w:t>
      </w:r>
      <w:r w:rsidR="007811F9">
        <w:t>$</w:t>
      </w:r>
      <w:r w:rsidR="00F61B76">
        <w:t>83.33</w:t>
      </w:r>
      <w:r w:rsidR="007811F9">
        <w:t>.</w:t>
      </w:r>
    </w:p>
    <w:p w:rsidR="00351C84" w:rsidRDefault="00351C84" w:rsidP="00351C84">
      <w:pPr>
        <w:ind w:left="1080"/>
      </w:pPr>
    </w:p>
    <w:p w:rsidR="00F61B76" w:rsidRDefault="00351C84" w:rsidP="00F61B76">
      <w:pPr>
        <w:ind w:left="1440"/>
      </w:pPr>
      <w:r>
        <w:t xml:space="preserve">After the split, stock C sells at </w:t>
      </w:r>
      <w:r w:rsidR="00F61B76">
        <w:t>$</w:t>
      </w:r>
      <w:r>
        <w:t>55</w:t>
      </w:r>
      <w:r w:rsidR="00F61B76">
        <w:t>; however, the value of the index should not be affected by the split. W</w:t>
      </w:r>
      <w:r>
        <w:t>e need to set the divisor (d) such that:</w:t>
      </w:r>
    </w:p>
    <w:p w:rsidR="00F61B76" w:rsidRDefault="00F61B76" w:rsidP="00F61B76">
      <w:pPr>
        <w:ind w:left="1440"/>
      </w:pPr>
      <w:r>
        <w:t>83.33</w:t>
      </w:r>
      <w:r w:rsidR="00351C84">
        <w:t xml:space="preserve"> = (</w:t>
      </w:r>
      <w:r>
        <w:t>$</w:t>
      </w:r>
      <w:r w:rsidR="00351C84">
        <w:t xml:space="preserve">95 + </w:t>
      </w:r>
      <w:r>
        <w:t>$</w:t>
      </w:r>
      <w:r w:rsidR="00351C84">
        <w:t xml:space="preserve">45 + </w:t>
      </w:r>
      <w:r>
        <w:t>$55)/</w:t>
      </w:r>
      <w:r w:rsidR="00351C84">
        <w:t>d</w:t>
      </w:r>
    </w:p>
    <w:p w:rsidR="00351C84" w:rsidRDefault="00F61B76" w:rsidP="00F61B76">
      <w:pPr>
        <w:ind w:left="1440"/>
      </w:pPr>
      <w:r>
        <w:t>d = 2.34</w:t>
      </w:r>
    </w:p>
    <w:p w:rsidR="00351C84" w:rsidRDefault="00351C84" w:rsidP="00351C84"/>
    <w:p w:rsidR="00351C84" w:rsidRDefault="00351C84" w:rsidP="0013410A">
      <w:pPr>
        <w:numPr>
          <w:ilvl w:val="1"/>
          <w:numId w:val="1"/>
        </w:numPr>
        <w:rPr>
          <w:lang w:eastAsia="zh-TW"/>
        </w:rPr>
      </w:pPr>
      <w:r>
        <w:t xml:space="preserve">The rate of return is zero.  The </w:t>
      </w:r>
      <w:r w:rsidR="00F61B76">
        <w:t xml:space="preserve">value of </w:t>
      </w:r>
      <w:r w:rsidR="007811F9">
        <w:t xml:space="preserve">the </w:t>
      </w:r>
      <w:r>
        <w:t xml:space="preserve">index </w:t>
      </w:r>
      <w:r w:rsidR="00F61B76">
        <w:t>remains unchanged</w:t>
      </w:r>
      <w:r>
        <w:t xml:space="preserve"> since the return on each stock separately equals zero.</w:t>
      </w:r>
      <w:r w:rsidR="0013410A">
        <w:rPr>
          <w:lang w:eastAsia="zh-TW"/>
        </w:rPr>
        <w:br w:type="page"/>
      </w:r>
    </w:p>
    <w:p w:rsidR="00351C84" w:rsidRDefault="00351C84" w:rsidP="00BE3CAD">
      <w:pPr>
        <w:numPr>
          <w:ilvl w:val="0"/>
          <w:numId w:val="1"/>
        </w:numPr>
      </w:pPr>
    </w:p>
    <w:p w:rsidR="00F61B76" w:rsidRDefault="00351C84" w:rsidP="00BE3CAD">
      <w:pPr>
        <w:numPr>
          <w:ilvl w:val="1"/>
          <w:numId w:val="1"/>
        </w:numPr>
      </w:pPr>
      <w:r>
        <w:t xml:space="preserve">Total market value at </w:t>
      </w:r>
      <w:r w:rsidRPr="00B32735">
        <w:rPr>
          <w:i/>
        </w:rPr>
        <w:t>t</w:t>
      </w:r>
      <w:r>
        <w:t xml:space="preserve"> = 0 is: </w:t>
      </w:r>
    </w:p>
    <w:p w:rsidR="00351C84" w:rsidRDefault="00B32735" w:rsidP="00F61B76">
      <w:pPr>
        <w:ind w:left="1440"/>
      </w:pPr>
      <w:r>
        <w:t>(</w:t>
      </w:r>
      <w:r w:rsidR="00F61B76">
        <w:t>$9</w:t>
      </w:r>
      <w:r w:rsidR="00351C84">
        <w:t>0</w:t>
      </w:r>
      <w:r w:rsidR="00F61B76">
        <w:t xml:space="preserve"> x 100</w:t>
      </w:r>
      <w:r>
        <w:t>)</w:t>
      </w:r>
      <w:r w:rsidR="00F61B76">
        <w:t xml:space="preserve"> + </w:t>
      </w:r>
      <w:r>
        <w:t>(</w:t>
      </w:r>
      <w:r w:rsidR="00F61B76">
        <w:t>$50 x 20</w:t>
      </w:r>
      <w:r w:rsidR="00351C84">
        <w:t>0</w:t>
      </w:r>
      <w:r>
        <w:t>)</w:t>
      </w:r>
      <w:r w:rsidR="00351C84">
        <w:t xml:space="preserve"> + </w:t>
      </w:r>
      <w:r>
        <w:t>(</w:t>
      </w:r>
      <w:r w:rsidR="00F61B76">
        <w:t>$20</w:t>
      </w:r>
      <w:r w:rsidR="00351C84">
        <w:t>0</w:t>
      </w:r>
      <w:r w:rsidR="00F61B76">
        <w:t xml:space="preserve"> x 100</w:t>
      </w:r>
      <w:r>
        <w:t>)</w:t>
      </w:r>
      <w:r w:rsidR="00351C84">
        <w:t xml:space="preserve"> = </w:t>
      </w:r>
      <w:r w:rsidR="00F61B76">
        <w:t>$</w:t>
      </w:r>
      <w:r w:rsidR="00351C84">
        <w:t>39,000</w:t>
      </w:r>
    </w:p>
    <w:p w:rsidR="00B77899" w:rsidRDefault="00B77899" w:rsidP="00F61B76">
      <w:pPr>
        <w:ind w:left="1440"/>
      </w:pPr>
    </w:p>
    <w:p w:rsidR="00F61B76" w:rsidRDefault="00351C84" w:rsidP="00351C84">
      <w:pPr>
        <w:ind w:left="1440"/>
      </w:pPr>
      <w:r>
        <w:t>Total market valu</w:t>
      </w:r>
      <w:r w:rsidR="00F61B76">
        <w:t xml:space="preserve">e at </w:t>
      </w:r>
      <w:r w:rsidR="00F61B76" w:rsidRPr="00B32735">
        <w:rPr>
          <w:i/>
        </w:rPr>
        <w:t>t</w:t>
      </w:r>
      <w:r w:rsidR="00F61B76">
        <w:t xml:space="preserve"> = 1 is: </w:t>
      </w:r>
    </w:p>
    <w:p w:rsidR="00351C84" w:rsidRDefault="00B32735" w:rsidP="00351C84">
      <w:pPr>
        <w:ind w:left="1440"/>
      </w:pPr>
      <w:r>
        <w:t>(</w:t>
      </w:r>
      <w:r w:rsidR="00F61B76">
        <w:t>$9</w:t>
      </w:r>
      <w:r w:rsidR="00351C84">
        <w:t>5</w:t>
      </w:r>
      <w:r w:rsidR="00F61B76">
        <w:t xml:space="preserve"> x 1</w:t>
      </w:r>
      <w:r w:rsidR="00351C84">
        <w:t>00</w:t>
      </w:r>
      <w:r>
        <w:t>)</w:t>
      </w:r>
      <w:r w:rsidR="00351C84">
        <w:t xml:space="preserve"> + </w:t>
      </w:r>
      <w:r>
        <w:t>(</w:t>
      </w:r>
      <w:r w:rsidR="00F61B76">
        <w:t>$45 x 2</w:t>
      </w:r>
      <w:r w:rsidR="00351C84">
        <w:t>00</w:t>
      </w:r>
      <w:r>
        <w:t>)</w:t>
      </w:r>
      <w:r w:rsidR="00351C84">
        <w:t xml:space="preserve"> + </w:t>
      </w:r>
      <w:r>
        <w:t>(</w:t>
      </w:r>
      <w:r w:rsidR="00F61B76">
        <w:t>$</w:t>
      </w:r>
      <w:r w:rsidR="00B77899">
        <w:t>110 x 1</w:t>
      </w:r>
      <w:r w:rsidR="00351C84">
        <w:t xml:space="preserve">00) = </w:t>
      </w:r>
      <w:r w:rsidR="00B77899">
        <w:t>$</w:t>
      </w:r>
      <w:r w:rsidR="00351C84">
        <w:t>40,500</w:t>
      </w:r>
    </w:p>
    <w:p w:rsidR="00351C84" w:rsidRDefault="00B77899" w:rsidP="00351C84">
      <w:pPr>
        <w:ind w:left="1440"/>
      </w:pPr>
      <w:r>
        <w:t>Rate of return =</w:t>
      </w:r>
      <w:r w:rsidRPr="008063F9">
        <w:rPr>
          <w:sz w:val="32"/>
          <w:szCs w:val="32"/>
        </w:rPr>
        <w:t xml:space="preserve"> </w:t>
      </w:r>
      <m:oMath>
        <m:f>
          <m:fPr>
            <m:ctrlPr>
              <w:rPr>
                <w:rFonts w:ascii="Cambria Math" w:hAnsi="Cambria Math"/>
                <w:sz w:val="32"/>
                <w:szCs w:val="32"/>
              </w:rPr>
            </m:ctrlPr>
          </m:fPr>
          <m:num>
            <m:r>
              <m:rPr>
                <m:nor/>
              </m:rPr>
              <w:rPr>
                <w:sz w:val="32"/>
                <w:szCs w:val="32"/>
                <w:lang w:eastAsia="zh-TW"/>
              </w:rPr>
              <m:t>V</m:t>
            </m:r>
            <m:r>
              <m:rPr>
                <m:nor/>
              </m:rPr>
              <w:rPr>
                <w:sz w:val="20"/>
                <w:szCs w:val="20"/>
                <w:lang w:eastAsia="zh-TW"/>
              </w:rPr>
              <m:t>1</m:t>
            </m:r>
          </m:num>
          <m:den>
            <m:r>
              <m:rPr>
                <m:nor/>
              </m:rPr>
              <w:rPr>
                <w:sz w:val="32"/>
                <w:szCs w:val="32"/>
                <w:lang w:eastAsia="zh-TW"/>
              </w:rPr>
              <m:t>V</m:t>
            </m:r>
            <m:r>
              <m:rPr>
                <m:nor/>
              </m:rPr>
              <w:rPr>
                <w:sz w:val="20"/>
                <w:szCs w:val="20"/>
                <w:lang w:eastAsia="zh-TW"/>
              </w:rPr>
              <m:t>0</m:t>
            </m:r>
          </m:den>
        </m:f>
      </m:oMath>
      <w:r w:rsidRPr="008063F9">
        <w:t xml:space="preserve"> </w:t>
      </w:r>
      <w:r w:rsidRPr="008063F9">
        <w:t>－</w:t>
      </w:r>
      <w:r>
        <w:t xml:space="preserve"> 1 = </w:t>
      </w:r>
      <w:r w:rsidR="00351C84">
        <w:t>(</w:t>
      </w:r>
      <w:r>
        <w:t>$</w:t>
      </w:r>
      <w:r w:rsidR="00351C84">
        <w:t>40,500/</w:t>
      </w:r>
      <w:r>
        <w:t>$</w:t>
      </w:r>
      <w:r w:rsidR="00351C84">
        <w:t xml:space="preserve">39,000) – 1 = </w:t>
      </w:r>
      <w:r w:rsidR="00B32735">
        <w:t xml:space="preserve">0.0385 or </w:t>
      </w:r>
      <w:r w:rsidR="00351C84">
        <w:t>3.85%</w:t>
      </w:r>
    </w:p>
    <w:p w:rsidR="00351C84" w:rsidRDefault="00351C84" w:rsidP="00351C84"/>
    <w:p w:rsidR="00B77899" w:rsidRDefault="00351C84" w:rsidP="00B77899">
      <w:pPr>
        <w:numPr>
          <w:ilvl w:val="1"/>
          <w:numId w:val="1"/>
        </w:numPr>
      </w:pPr>
      <w:r>
        <w:t>The return on each stock is as follows:</w:t>
      </w:r>
    </w:p>
    <w:p w:rsidR="00B77899" w:rsidRPr="00B32735" w:rsidRDefault="00351C84" w:rsidP="00877225">
      <w:pPr>
        <w:spacing w:line="360" w:lineRule="auto"/>
        <w:ind w:left="1440"/>
      </w:pPr>
      <w:r w:rsidRPr="00B32735">
        <w:t>R</w:t>
      </w:r>
      <w:r w:rsidR="00B77899" w:rsidRPr="00B32735">
        <w:rPr>
          <w:vertAlign w:val="subscript"/>
        </w:rPr>
        <w:t>A</w:t>
      </w:r>
      <w:r w:rsidRPr="00B32735">
        <w:rPr>
          <w:vertAlign w:val="subscript"/>
        </w:rPr>
        <w:t xml:space="preserve"> </w:t>
      </w:r>
      <w:r w:rsidR="00B77899" w:rsidRPr="00B32735">
        <w:t>=</w:t>
      </w:r>
      <w:r w:rsidR="00B77899" w:rsidRPr="00B32735">
        <w:rPr>
          <w:sz w:val="32"/>
          <w:szCs w:val="32"/>
        </w:rPr>
        <w:t xml:space="preserve"> </w:t>
      </w:r>
      <m:oMath>
        <m:f>
          <m:fPr>
            <m:ctrlPr>
              <w:rPr>
                <w:rFonts w:ascii="Cambria Math" w:hAnsi="Cambria Math"/>
                <w:sz w:val="32"/>
                <w:szCs w:val="32"/>
              </w:rPr>
            </m:ctrlPr>
          </m:fPr>
          <m:num>
            <m:r>
              <m:rPr>
                <m:nor/>
              </m:rPr>
              <w:rPr>
                <w:sz w:val="32"/>
                <w:szCs w:val="32"/>
                <w:lang w:eastAsia="zh-TW"/>
              </w:rPr>
              <m:t>V</m:t>
            </m:r>
            <m:r>
              <m:rPr>
                <m:nor/>
              </m:rPr>
              <w:rPr>
                <w:sz w:val="20"/>
                <w:szCs w:val="20"/>
                <w:lang w:eastAsia="zh-TW"/>
              </w:rPr>
              <m:t>1</m:t>
            </m:r>
          </m:num>
          <m:den>
            <m:r>
              <m:rPr>
                <m:nor/>
              </m:rPr>
              <w:rPr>
                <w:sz w:val="32"/>
                <w:szCs w:val="32"/>
                <w:lang w:eastAsia="zh-TW"/>
              </w:rPr>
              <m:t>V</m:t>
            </m:r>
            <m:r>
              <m:rPr>
                <m:nor/>
              </m:rPr>
              <w:rPr>
                <w:sz w:val="20"/>
                <w:szCs w:val="20"/>
                <w:lang w:eastAsia="zh-TW"/>
              </w:rPr>
              <m:t>0</m:t>
            </m:r>
          </m:den>
        </m:f>
      </m:oMath>
      <w:r w:rsidR="00B77899" w:rsidRPr="00B32735">
        <w:t xml:space="preserve"> </w:t>
      </w:r>
      <w:r w:rsidR="00B77899" w:rsidRPr="00B32735">
        <w:t>－</w:t>
      </w:r>
      <w:r w:rsidR="00B77899" w:rsidRPr="00B32735">
        <w:t xml:space="preserve"> 1 = </w:t>
      </w:r>
      <w:r w:rsidRPr="00B32735">
        <w:t>(</w:t>
      </w:r>
      <w:r w:rsidR="00B77899" w:rsidRPr="00B32735">
        <w:t>$</w:t>
      </w:r>
      <w:r w:rsidRPr="00B32735">
        <w:t>95/</w:t>
      </w:r>
      <w:r w:rsidR="00B77899" w:rsidRPr="00B32735">
        <w:t xml:space="preserve">$90) – 1 = </w:t>
      </w:r>
      <w:r w:rsidR="00B32735" w:rsidRPr="00B32735">
        <w:t xml:space="preserve">0.0556 or </w:t>
      </w:r>
      <w:r w:rsidRPr="00B32735">
        <w:t>5</w:t>
      </w:r>
      <w:r w:rsidR="00B77899" w:rsidRPr="00B32735">
        <w:t>.</w:t>
      </w:r>
      <w:r w:rsidRPr="00B32735">
        <w:t>56</w:t>
      </w:r>
      <w:r w:rsidR="00B77899" w:rsidRPr="00B32735">
        <w:t>%</w:t>
      </w:r>
    </w:p>
    <w:p w:rsidR="00B77899" w:rsidRPr="00B32735" w:rsidRDefault="00351C84" w:rsidP="00877225">
      <w:pPr>
        <w:spacing w:line="360" w:lineRule="auto"/>
        <w:ind w:left="1440"/>
      </w:pPr>
      <w:r w:rsidRPr="00B32735">
        <w:t>R</w:t>
      </w:r>
      <w:r w:rsidR="00B77899" w:rsidRPr="00B32735">
        <w:rPr>
          <w:vertAlign w:val="subscript"/>
        </w:rPr>
        <w:t>B</w:t>
      </w:r>
      <w:r w:rsidR="00B77899" w:rsidRPr="00B32735">
        <w:t xml:space="preserve"> =</w:t>
      </w:r>
      <w:r w:rsidR="00B77899" w:rsidRPr="00B32735">
        <w:rPr>
          <w:sz w:val="32"/>
          <w:szCs w:val="32"/>
        </w:rPr>
        <w:t xml:space="preserve"> </w:t>
      </w:r>
      <m:oMath>
        <m:f>
          <m:fPr>
            <m:ctrlPr>
              <w:rPr>
                <w:rFonts w:ascii="Cambria Math" w:hAnsi="Cambria Math"/>
                <w:sz w:val="32"/>
                <w:szCs w:val="32"/>
              </w:rPr>
            </m:ctrlPr>
          </m:fPr>
          <m:num>
            <m:r>
              <m:rPr>
                <m:nor/>
              </m:rPr>
              <w:rPr>
                <w:sz w:val="32"/>
                <w:szCs w:val="32"/>
                <w:lang w:eastAsia="zh-TW"/>
              </w:rPr>
              <m:t>V</m:t>
            </m:r>
            <m:r>
              <m:rPr>
                <m:nor/>
              </m:rPr>
              <w:rPr>
                <w:sz w:val="20"/>
                <w:szCs w:val="20"/>
                <w:lang w:eastAsia="zh-TW"/>
              </w:rPr>
              <m:t>1</m:t>
            </m:r>
          </m:num>
          <m:den>
            <m:r>
              <m:rPr>
                <m:nor/>
              </m:rPr>
              <w:rPr>
                <w:sz w:val="32"/>
                <w:szCs w:val="32"/>
                <w:lang w:eastAsia="zh-TW"/>
              </w:rPr>
              <m:t>V</m:t>
            </m:r>
            <m:r>
              <m:rPr>
                <m:nor/>
              </m:rPr>
              <w:rPr>
                <w:sz w:val="20"/>
                <w:szCs w:val="20"/>
                <w:lang w:eastAsia="zh-TW"/>
              </w:rPr>
              <m:t>0</m:t>
            </m:r>
          </m:den>
        </m:f>
      </m:oMath>
      <w:r w:rsidR="00B77899" w:rsidRPr="00B32735">
        <w:t xml:space="preserve"> </w:t>
      </w:r>
      <w:r w:rsidR="00B77899" w:rsidRPr="00B32735">
        <w:t>－</w:t>
      </w:r>
      <w:r w:rsidR="00B77899" w:rsidRPr="00B32735">
        <w:t xml:space="preserve"> 1 = </w:t>
      </w:r>
      <w:r w:rsidRPr="00B32735">
        <w:t>(</w:t>
      </w:r>
      <w:r w:rsidR="00B77899" w:rsidRPr="00B32735">
        <w:t>$</w:t>
      </w:r>
      <w:r w:rsidRPr="00B32735">
        <w:t>45/</w:t>
      </w:r>
      <w:r w:rsidR="00B77899" w:rsidRPr="00B32735">
        <w:t xml:space="preserve">$50) – 1 = </w:t>
      </w:r>
      <w:r w:rsidR="00B32735" w:rsidRPr="00B32735">
        <w:t>–0.</w:t>
      </w:r>
      <w:r w:rsidR="00B32735">
        <w:t xml:space="preserve">10 or </w:t>
      </w:r>
      <w:r w:rsidR="00877225" w:rsidRPr="00B32735">
        <w:t>–</w:t>
      </w:r>
      <w:r w:rsidRPr="00B32735">
        <w:t>10</w:t>
      </w:r>
      <w:r w:rsidR="00B77899" w:rsidRPr="00B32735">
        <w:t>.00%</w:t>
      </w:r>
    </w:p>
    <w:p w:rsidR="00B77899" w:rsidRDefault="00351C84" w:rsidP="00877225">
      <w:pPr>
        <w:spacing w:line="360" w:lineRule="auto"/>
        <w:ind w:left="1440"/>
      </w:pPr>
      <w:r>
        <w:t>R</w:t>
      </w:r>
      <w:r w:rsidR="00B77899">
        <w:rPr>
          <w:vertAlign w:val="subscript"/>
        </w:rPr>
        <w:t>C</w:t>
      </w:r>
      <w:r w:rsidR="00877225">
        <w:t xml:space="preserve"> = </w:t>
      </w:r>
      <m:oMath>
        <m:f>
          <m:fPr>
            <m:ctrlPr>
              <w:rPr>
                <w:rFonts w:ascii="Cambria Math" w:hAnsi="Cambria Math"/>
                <w:sz w:val="32"/>
                <w:szCs w:val="32"/>
              </w:rPr>
            </m:ctrlPr>
          </m:fPr>
          <m:num>
            <m:r>
              <m:rPr>
                <m:nor/>
              </m:rPr>
              <w:rPr>
                <w:sz w:val="32"/>
                <w:szCs w:val="32"/>
                <w:lang w:eastAsia="zh-TW"/>
              </w:rPr>
              <m:t>V</m:t>
            </m:r>
            <m:r>
              <m:rPr>
                <m:nor/>
              </m:rPr>
              <w:rPr>
                <w:sz w:val="20"/>
                <w:szCs w:val="20"/>
                <w:lang w:eastAsia="zh-TW"/>
              </w:rPr>
              <m:t>1</m:t>
            </m:r>
          </m:num>
          <m:den>
            <m:r>
              <m:rPr>
                <m:nor/>
              </m:rPr>
              <w:rPr>
                <w:sz w:val="32"/>
                <w:szCs w:val="32"/>
                <w:lang w:eastAsia="zh-TW"/>
              </w:rPr>
              <m:t>V</m:t>
            </m:r>
            <m:r>
              <m:rPr>
                <m:nor/>
              </m:rPr>
              <w:rPr>
                <w:sz w:val="20"/>
                <w:szCs w:val="20"/>
                <w:lang w:eastAsia="zh-TW"/>
              </w:rPr>
              <m:t>0</m:t>
            </m:r>
          </m:den>
        </m:f>
      </m:oMath>
      <w:r w:rsidR="00877225" w:rsidRPr="008063F9">
        <w:t xml:space="preserve"> </w:t>
      </w:r>
      <w:r w:rsidR="00877225" w:rsidRPr="008063F9">
        <w:t>－</w:t>
      </w:r>
      <w:r w:rsidR="00877225">
        <w:t xml:space="preserve"> 1 = ($110/$100) – 1 = </w:t>
      </w:r>
      <w:r w:rsidR="00B32735">
        <w:t xml:space="preserve">0.10 or </w:t>
      </w:r>
      <w:r>
        <w:t>10</w:t>
      </w:r>
      <w:r w:rsidR="00877225">
        <w:t>.00%</w:t>
      </w:r>
    </w:p>
    <w:p w:rsidR="00351C84" w:rsidRDefault="00351C84" w:rsidP="00B77899">
      <w:pPr>
        <w:ind w:left="1440"/>
      </w:pPr>
      <w:r>
        <w:t>The e</w:t>
      </w:r>
      <w:r w:rsidR="0070463C">
        <w:t xml:space="preserve">qually-weighted average is: </w:t>
      </w:r>
      <w:r w:rsidR="0070463C">
        <w:rPr>
          <w:rFonts w:hint="eastAsia"/>
          <w:lang w:eastAsia="zh-TW"/>
        </w:rPr>
        <w:t>[</w:t>
      </w:r>
      <w:r>
        <w:t>5</w:t>
      </w:r>
      <w:r w:rsidR="0070463C">
        <w:t>.</w:t>
      </w:r>
      <w:r>
        <w:t>56</w:t>
      </w:r>
      <w:r w:rsidR="0070463C">
        <w:t>%</w:t>
      </w:r>
      <w:r>
        <w:t xml:space="preserve"> + (</w:t>
      </w:r>
      <w:r w:rsidR="0070463C">
        <w:t xml:space="preserve">–10.00%) + </w:t>
      </w:r>
      <w:r>
        <w:t>10</w:t>
      </w:r>
      <w:r w:rsidR="0070463C">
        <w:rPr>
          <w:rFonts w:hint="eastAsia"/>
          <w:lang w:eastAsia="zh-TW"/>
        </w:rPr>
        <w:t>.00%</w:t>
      </w:r>
      <w:r w:rsidR="0070463C">
        <w:t xml:space="preserve">]/3 </w:t>
      </w:r>
      <w:r>
        <w:t>= 1.85%</w:t>
      </w:r>
    </w:p>
    <w:p w:rsidR="00351C84" w:rsidRDefault="00351C84" w:rsidP="00351C84"/>
    <w:p w:rsidR="0070463C" w:rsidRDefault="005D1E48" w:rsidP="0070463C">
      <w:pPr>
        <w:numPr>
          <w:ilvl w:val="0"/>
          <w:numId w:val="1"/>
        </w:numPr>
      </w:pPr>
      <w:r>
        <w:t xml:space="preserve">The fund would require constant readjustment since every change in the price of a stock would bring the fund asset allocation out of balance. </w:t>
      </w:r>
    </w:p>
    <w:p w:rsidR="0070463C" w:rsidRDefault="0070463C" w:rsidP="0070463C">
      <w:pPr>
        <w:ind w:left="720"/>
      </w:pPr>
    </w:p>
    <w:p w:rsidR="00BE3CAD" w:rsidRDefault="00145261" w:rsidP="0070463C">
      <w:pPr>
        <w:numPr>
          <w:ilvl w:val="0"/>
          <w:numId w:val="1"/>
        </w:numPr>
      </w:pPr>
      <w:r>
        <w:t xml:space="preserve">In this case, the value of the divisor will increase by an amount necessary to maintain the index value on the day of the change. </w:t>
      </w:r>
      <w:r w:rsidR="0070463C">
        <w:rPr>
          <w:rFonts w:hint="eastAsia"/>
          <w:lang w:eastAsia="zh-TW"/>
        </w:rPr>
        <w:t>For example, i</w:t>
      </w:r>
      <w:r>
        <w:t>f the index was comprised of only one stock, i</w:t>
      </w:r>
      <w:r w:rsidR="006F4B95">
        <w:t xml:space="preserve">t would increase by </w:t>
      </w:r>
      <w:r w:rsidR="006F4B95">
        <w:rPr>
          <w:rFonts w:hint="eastAsia"/>
          <w:lang w:eastAsia="zh-TW"/>
        </w:rPr>
        <w:t>2.06</w:t>
      </w:r>
      <w:r w:rsidR="006F4B95">
        <w:t xml:space="preserve"> points</w:t>
      </w:r>
      <w:r w:rsidR="006F4B95">
        <w:rPr>
          <w:rFonts w:hint="eastAsia"/>
          <w:lang w:eastAsia="zh-TW"/>
        </w:rPr>
        <w:t>:</w:t>
      </w:r>
      <w:r w:rsidR="005D1E48">
        <w:t xml:space="preserve"> (</w:t>
      </w:r>
      <w:r w:rsidR="0070463C">
        <w:rPr>
          <w:rFonts w:hint="eastAsia"/>
          <w:lang w:eastAsia="zh-TW"/>
        </w:rPr>
        <w:t>$</w:t>
      </w:r>
      <w:r w:rsidR="007F0A85">
        <w:rPr>
          <w:rFonts w:eastAsia="MS Mincho" w:hint="eastAsia"/>
          <w:lang w:eastAsia="ja-JP"/>
        </w:rPr>
        <w:t>180</w:t>
      </w:r>
      <w:r w:rsidR="005D1E48">
        <w:t xml:space="preserve"> – </w:t>
      </w:r>
      <w:r w:rsidR="0070463C">
        <w:rPr>
          <w:rFonts w:hint="eastAsia"/>
          <w:lang w:eastAsia="zh-TW"/>
        </w:rPr>
        <w:t>$</w:t>
      </w:r>
      <w:r w:rsidR="005D1E48">
        <w:t>3</w:t>
      </w:r>
      <w:r w:rsidR="007F0A85">
        <w:rPr>
          <w:rFonts w:eastAsia="MS Mincho" w:hint="eastAsia"/>
          <w:lang w:eastAsia="ja-JP"/>
        </w:rPr>
        <w:t>4</w:t>
      </w:r>
      <w:r w:rsidR="005D1E48">
        <w:t xml:space="preserve">) / </w:t>
      </w:r>
      <w:r w:rsidR="0070463C">
        <w:rPr>
          <w:rFonts w:hint="eastAsia"/>
          <w:lang w:eastAsia="zh-TW"/>
        </w:rPr>
        <w:t>$</w:t>
      </w:r>
      <w:r w:rsidR="005D1E48">
        <w:t>3</w:t>
      </w:r>
      <w:r w:rsidR="007F0A85">
        <w:rPr>
          <w:rFonts w:eastAsia="MS Mincho" w:hint="eastAsia"/>
          <w:lang w:eastAsia="ja-JP"/>
        </w:rPr>
        <w:t>4</w:t>
      </w:r>
      <w:r w:rsidR="0070463C">
        <w:t xml:space="preserve"> = </w:t>
      </w:r>
      <w:r w:rsidR="007F0A85">
        <w:rPr>
          <w:rFonts w:eastAsia="MS Mincho" w:hint="eastAsia"/>
          <w:lang w:eastAsia="ja-JP"/>
        </w:rPr>
        <w:t>4.29</w:t>
      </w:r>
      <w:r w:rsidR="00B32735">
        <w:rPr>
          <w:lang w:eastAsia="zh-TW"/>
        </w:rPr>
        <w:t>.</w:t>
      </w:r>
    </w:p>
    <w:p w:rsidR="005D1E48" w:rsidRDefault="005D1E48" w:rsidP="005D1E48">
      <w:pPr>
        <w:ind w:left="720"/>
      </w:pPr>
    </w:p>
    <w:p w:rsidR="00126988" w:rsidRDefault="00126988" w:rsidP="00B32735">
      <w:pPr>
        <w:numPr>
          <w:ilvl w:val="0"/>
          <w:numId w:val="1"/>
        </w:numPr>
        <w:rPr>
          <w:lang w:eastAsia="zh-TW"/>
        </w:rPr>
      </w:pPr>
      <w:r>
        <w:t xml:space="preserve">Bank discount of 87 days: </w:t>
      </w:r>
      <w:r w:rsidR="00B32735">
        <w:t>0.0</w:t>
      </w:r>
      <w:r>
        <w:t>34</w:t>
      </w:r>
      <w:r w:rsidR="005D1E48">
        <w:t xml:space="preserve"> x </w:t>
      </w:r>
      <m:oMath>
        <m:f>
          <m:fPr>
            <m:ctrlPr>
              <w:rPr>
                <w:rFonts w:ascii="Cambria Math" w:hAnsi="Cambria Math"/>
                <w:sz w:val="32"/>
              </w:rPr>
            </m:ctrlPr>
          </m:fPr>
          <m:num>
            <m:r>
              <m:rPr>
                <m:nor/>
              </m:rPr>
              <w:rPr>
                <w:sz w:val="32"/>
                <w:lang w:eastAsia="zh-TW"/>
              </w:rPr>
              <m:t>87 days</m:t>
            </m:r>
          </m:num>
          <m:den>
            <m:r>
              <m:rPr>
                <m:nor/>
              </m:rPr>
              <w:rPr>
                <w:sz w:val="32"/>
                <w:lang w:eastAsia="zh-TW"/>
              </w:rPr>
              <m:t>360</m:t>
            </m:r>
            <m:r>
              <m:rPr>
                <m:nor/>
              </m:rPr>
              <w:rPr>
                <w:rFonts w:ascii="Cambria Math"/>
                <w:sz w:val="32"/>
                <w:lang w:eastAsia="zh-TW"/>
              </w:rPr>
              <m:t xml:space="preserve"> days</m:t>
            </m:r>
          </m:den>
        </m:f>
      </m:oMath>
      <w:r w:rsidR="005D1E48">
        <w:t xml:space="preserve"> = 0.</w:t>
      </w:r>
      <w:r w:rsidR="00B32735">
        <w:t>00</w:t>
      </w:r>
      <w:r w:rsidR="005D1E48">
        <w:t>8217</w:t>
      </w:r>
    </w:p>
    <w:p w:rsidR="00B32735" w:rsidRDefault="00B32735" w:rsidP="00126988">
      <w:pPr>
        <w:ind w:left="720"/>
      </w:pPr>
    </w:p>
    <w:p w:rsidR="00BE3CAD" w:rsidRDefault="00126988" w:rsidP="00E704CC">
      <w:pPr>
        <w:pStyle w:val="ListParagraph"/>
        <w:numPr>
          <w:ilvl w:val="1"/>
          <w:numId w:val="1"/>
        </w:numPr>
        <w:ind w:leftChars="0"/>
      </w:pPr>
      <w:r>
        <w:t xml:space="preserve">Price: </w:t>
      </w:r>
      <w:r w:rsidR="006F4B95">
        <w:t>$10,000 x (1</w:t>
      </w:r>
      <w:r w:rsidR="006F4B95">
        <w:rPr>
          <w:rFonts w:hint="eastAsia"/>
          <w:lang w:eastAsia="zh-TW"/>
        </w:rPr>
        <w:t xml:space="preserve"> </w:t>
      </w:r>
      <w:r w:rsidR="006F4B95">
        <w:t>–</w:t>
      </w:r>
      <w:r w:rsidR="006F4B95">
        <w:rPr>
          <w:rFonts w:hint="eastAsia"/>
          <w:lang w:eastAsia="zh-TW"/>
        </w:rPr>
        <w:t xml:space="preserve"> </w:t>
      </w:r>
      <w:r w:rsidR="005D1E48">
        <w:t>0</w:t>
      </w:r>
      <w:r w:rsidR="006F4B95">
        <w:rPr>
          <w:rFonts w:hint="eastAsia"/>
          <w:lang w:eastAsia="zh-TW"/>
        </w:rPr>
        <w:t>.</w:t>
      </w:r>
      <w:r w:rsidR="00B32735">
        <w:rPr>
          <w:lang w:eastAsia="zh-TW"/>
        </w:rPr>
        <w:t>00</w:t>
      </w:r>
      <w:r w:rsidR="005D1E48">
        <w:t>8217) = $9,917.83</w:t>
      </w:r>
    </w:p>
    <w:p w:rsidR="005D1E48" w:rsidRDefault="005D1E48" w:rsidP="005D1E48">
      <w:pPr>
        <w:pStyle w:val="1"/>
      </w:pPr>
    </w:p>
    <w:p w:rsidR="00707058" w:rsidRDefault="006F4B95" w:rsidP="00E704CC">
      <w:pPr>
        <w:pStyle w:val="1"/>
        <w:numPr>
          <w:ilvl w:val="1"/>
          <w:numId w:val="1"/>
        </w:numPr>
        <w:spacing w:line="360" w:lineRule="auto"/>
        <w:ind w:rightChars="-30" w:right="-72"/>
      </w:pPr>
      <w:r>
        <w:rPr>
          <w:rFonts w:hint="eastAsia"/>
          <w:lang w:eastAsia="zh-TW"/>
        </w:rPr>
        <w:t xml:space="preserve">Bond </w:t>
      </w:r>
      <w:r w:rsidR="00B32735">
        <w:t>e</w:t>
      </w:r>
      <w:r w:rsidR="005D1E48">
        <w:t xml:space="preserve">quivalent </w:t>
      </w:r>
      <w:r w:rsidR="00B32735">
        <w:t>y</w:t>
      </w:r>
      <w:r w:rsidR="005D1E48">
        <w:t>ield</w:t>
      </w:r>
      <w:r w:rsidR="00C006AB">
        <w:rPr>
          <w:lang w:eastAsia="zh-TW"/>
        </w:rPr>
        <w:t xml:space="preserve"> </w:t>
      </w:r>
      <w:r>
        <w:rPr>
          <w:rFonts w:hint="eastAsia"/>
          <w:lang w:eastAsia="zh-TW"/>
        </w:rPr>
        <w:t xml:space="preserve">= </w:t>
      </w:r>
      <m:oMath>
        <m:f>
          <m:fPr>
            <m:ctrlPr>
              <w:rPr>
                <w:rFonts w:ascii="Cambria Math" w:hAnsi="Cambria Math"/>
                <w:sz w:val="32"/>
              </w:rPr>
            </m:ctrlPr>
          </m:fPr>
          <m:num>
            <m:r>
              <m:rPr>
                <m:nor/>
              </m:rPr>
              <w:rPr>
                <w:sz w:val="32"/>
                <w:lang w:eastAsia="zh-TW"/>
              </w:rPr>
              <m:t xml:space="preserve">Face value </m:t>
            </m:r>
            <m:r>
              <m:rPr>
                <m:nor/>
              </m:rPr>
              <w:rPr>
                <w:sz w:val="32"/>
                <w:lang w:eastAsia="zh-TW"/>
              </w:rPr>
              <m:t>－</m:t>
            </m:r>
            <m:r>
              <m:rPr>
                <m:nor/>
              </m:rPr>
              <w:rPr>
                <w:sz w:val="32"/>
                <w:lang w:eastAsia="zh-TW"/>
              </w:rPr>
              <m:t xml:space="preserve"> Purchase price </m:t>
            </m:r>
          </m:num>
          <m:den>
            <m:r>
              <m:rPr>
                <m:nor/>
              </m:rPr>
              <w:rPr>
                <w:rFonts w:ascii="Cambria Math"/>
                <w:sz w:val="32"/>
                <w:lang w:eastAsia="zh-TW"/>
              </w:rPr>
              <m:t xml:space="preserve">Purchase </m:t>
            </m:r>
            <m:r>
              <m:rPr>
                <m:nor/>
              </m:rPr>
              <w:rPr>
                <w:sz w:val="32"/>
                <w:lang w:eastAsia="zh-TW"/>
              </w:rPr>
              <m:t>price</m:t>
            </m:r>
            <m:r>
              <m:rPr>
                <m:nor/>
              </m:rPr>
              <w:rPr>
                <w:rFonts w:ascii="Cambria Math"/>
                <w:sz w:val="32"/>
                <w:lang w:eastAsia="zh-TW"/>
              </w:rPr>
              <m:t xml:space="preserve"> x T</m:t>
            </m:r>
          </m:den>
        </m:f>
      </m:oMath>
      <w:r w:rsidR="00C006AB" w:rsidRPr="00C006AB">
        <w:t xml:space="preserve"> </w:t>
      </w:r>
    </w:p>
    <w:p w:rsidR="003A3CA6" w:rsidRDefault="00C006AB" w:rsidP="00707058">
      <w:pPr>
        <w:pStyle w:val="1"/>
        <w:spacing w:line="360" w:lineRule="auto"/>
        <w:ind w:rightChars="-30" w:right="-72" w:firstLineChars="950" w:firstLine="2280"/>
        <w:rPr>
          <w:lang w:eastAsia="zh-TW"/>
        </w:rPr>
      </w:pPr>
      <w:r w:rsidRPr="00C006AB">
        <w:t>=</w:t>
      </w:r>
      <w:r>
        <w:rPr>
          <w:sz w:val="32"/>
        </w:rPr>
        <w:t xml:space="preserve"> </w:t>
      </w:r>
      <m:oMath>
        <m:f>
          <m:fPr>
            <m:ctrlPr>
              <w:rPr>
                <w:rFonts w:ascii="Cambria Math" w:hAnsi="Cambria Math"/>
                <w:sz w:val="32"/>
              </w:rPr>
            </m:ctrlPr>
          </m:fPr>
          <m:num>
            <m:r>
              <m:rPr>
                <m:nor/>
              </m:rPr>
              <w:rPr>
                <w:sz w:val="32"/>
                <w:lang w:eastAsia="zh-TW"/>
              </w:rPr>
              <m:t xml:space="preserve">$10,000 </m:t>
            </m:r>
            <m:r>
              <m:rPr>
                <m:nor/>
              </m:rPr>
              <w:rPr>
                <w:sz w:val="32"/>
                <w:lang w:eastAsia="zh-TW"/>
              </w:rPr>
              <m:t>－</m:t>
            </m:r>
            <m:r>
              <m:rPr>
                <m:nor/>
              </m:rPr>
              <w:rPr>
                <w:sz w:val="32"/>
                <w:lang w:eastAsia="zh-TW"/>
              </w:rPr>
              <m:t xml:space="preserve"> </m:t>
            </m:r>
            <m:r>
              <m:rPr>
                <m:nor/>
              </m:rPr>
              <w:rPr>
                <w:rFonts w:ascii="Cambria Math"/>
                <w:sz w:val="32"/>
                <w:lang w:eastAsia="zh-TW"/>
              </w:rPr>
              <m:t>$</m:t>
            </m:r>
            <m:r>
              <m:rPr>
                <m:nor/>
              </m:rPr>
              <w:rPr>
                <w:sz w:val="32"/>
                <w:lang w:eastAsia="zh-TW"/>
              </w:rPr>
              <m:t>9,917.83</m:t>
            </m:r>
          </m:num>
          <m:den>
            <m:r>
              <m:rPr>
                <m:nor/>
              </m:rPr>
              <w:rPr>
                <w:sz w:val="32"/>
                <w:lang w:eastAsia="zh-TW"/>
              </w:rPr>
              <m:t>$9,917.83 x</m:t>
            </m:r>
            <m:r>
              <m:rPr>
                <m:nor/>
              </m:rPr>
              <w:rPr>
                <w:rFonts w:ascii="Cambria Math"/>
                <w:sz w:val="32"/>
                <w:lang w:eastAsia="zh-TW"/>
              </w:rPr>
              <m:t xml:space="preserve"> </m:t>
            </m:r>
            <m:f>
              <m:fPr>
                <m:ctrlPr>
                  <w:rPr>
                    <w:rFonts w:ascii="Cambria Math" w:hAnsi="Cambria Math"/>
                    <w:sz w:val="32"/>
                  </w:rPr>
                </m:ctrlPr>
              </m:fPr>
              <m:num>
                <m:r>
                  <m:rPr>
                    <m:nor/>
                  </m:rPr>
                  <w:rPr>
                    <w:sz w:val="32"/>
                    <w:lang w:eastAsia="zh-TW"/>
                  </w:rPr>
                  <m:t>87 days</m:t>
                </m:r>
              </m:num>
              <m:den>
                <m:r>
                  <m:rPr>
                    <m:nor/>
                  </m:rPr>
                  <w:rPr>
                    <w:sz w:val="32"/>
                    <w:lang w:eastAsia="zh-TW"/>
                  </w:rPr>
                  <m:t>365</m:t>
                </m:r>
                <m:r>
                  <m:rPr>
                    <m:nor/>
                  </m:rPr>
                  <w:rPr>
                    <w:rFonts w:ascii="Cambria Math"/>
                    <w:sz w:val="32"/>
                    <w:lang w:eastAsia="zh-TW"/>
                  </w:rPr>
                  <m:t xml:space="preserve"> days</m:t>
                </m:r>
              </m:den>
            </m:f>
          </m:den>
        </m:f>
      </m:oMath>
      <w:r>
        <w:rPr>
          <w:sz w:val="32"/>
        </w:rPr>
        <w:t xml:space="preserve"> </w:t>
      </w:r>
      <w:r>
        <w:t xml:space="preserve">= </w:t>
      </w:r>
      <w:r w:rsidR="00B32735">
        <w:t xml:space="preserve">0.0348 or </w:t>
      </w:r>
      <w:r w:rsidRPr="00C006AB">
        <w:t>3.48%</w:t>
      </w:r>
    </w:p>
    <w:p w:rsidR="003A3CA6" w:rsidRDefault="003A3CA6" w:rsidP="00BE3CAD">
      <w:pPr>
        <w:ind w:left="720"/>
      </w:pPr>
    </w:p>
    <w:p w:rsidR="00FF3D88" w:rsidRDefault="00351C84" w:rsidP="00BE3CAD">
      <w:pPr>
        <w:numPr>
          <w:ilvl w:val="0"/>
          <w:numId w:val="1"/>
        </w:numPr>
      </w:pPr>
      <w:r>
        <w:tab/>
      </w:r>
    </w:p>
    <w:p w:rsidR="00351C84" w:rsidRDefault="00FF3D88" w:rsidP="00BE3CAD">
      <w:pPr>
        <w:numPr>
          <w:ilvl w:val="1"/>
          <w:numId w:val="1"/>
        </w:numPr>
      </w:pPr>
      <w:r>
        <w:t>The higher coupon bond</w:t>
      </w:r>
      <w:r w:rsidR="00126988">
        <w:t xml:space="preserve">: </w:t>
      </w:r>
      <w:r w:rsidR="008F02E0">
        <w:t>T</w:t>
      </w:r>
      <w:r w:rsidR="00126988">
        <w:t xml:space="preserve">he </w:t>
      </w:r>
      <w:r w:rsidR="008F02E0">
        <w:t xml:space="preserve">10-year </w:t>
      </w:r>
      <w:r w:rsidR="00126988">
        <w:t xml:space="preserve">T-bond with a 10% coupon </w:t>
      </w:r>
    </w:p>
    <w:p w:rsidR="00351C84" w:rsidRDefault="00351C84" w:rsidP="00BE3CAD">
      <w:pPr>
        <w:numPr>
          <w:ilvl w:val="1"/>
          <w:numId w:val="1"/>
        </w:numPr>
      </w:pPr>
      <w:r>
        <w:t>The cal</w:t>
      </w:r>
      <w:r w:rsidR="00FF3D88">
        <w:t>l with the lower exercise price</w:t>
      </w:r>
      <w:r w:rsidR="00126988">
        <w:t xml:space="preserve">: </w:t>
      </w:r>
      <w:r w:rsidR="008F02E0">
        <w:t>T</w:t>
      </w:r>
      <w:r w:rsidR="00126988">
        <w:t>he call with the exercise price of $35</w:t>
      </w:r>
    </w:p>
    <w:p w:rsidR="0013410A" w:rsidRDefault="00351C84" w:rsidP="00BE3CAD">
      <w:pPr>
        <w:numPr>
          <w:ilvl w:val="1"/>
          <w:numId w:val="1"/>
        </w:numPr>
      </w:pPr>
      <w:r>
        <w:t>Th</w:t>
      </w:r>
      <w:r w:rsidR="00FF3D88">
        <w:t xml:space="preserve">e put </w:t>
      </w:r>
      <w:r w:rsidR="008F02E0">
        <w:t xml:space="preserve">option </w:t>
      </w:r>
      <w:r w:rsidR="00FF3D88">
        <w:t>on the lower priced stock</w:t>
      </w:r>
      <w:r w:rsidR="00126988">
        <w:t xml:space="preserve">: </w:t>
      </w:r>
      <w:r w:rsidR="008F02E0">
        <w:t>T</w:t>
      </w:r>
      <w:r w:rsidR="00126988">
        <w:t>he put o</w:t>
      </w:r>
      <w:r w:rsidR="008F02E0">
        <w:t>n</w:t>
      </w:r>
      <w:r w:rsidR="00126988">
        <w:t xml:space="preserve"> the stock selling at $50</w:t>
      </w:r>
    </w:p>
    <w:p w:rsidR="00D06C3E" w:rsidRPr="0013410A" w:rsidRDefault="0013410A" w:rsidP="00D06C3E">
      <w:pPr>
        <w:rPr>
          <w:lang w:eastAsia="zh-TW"/>
        </w:rPr>
      </w:pPr>
      <w:r>
        <w:br w:type="page"/>
      </w:r>
    </w:p>
    <w:p w:rsidR="00053607" w:rsidRPr="00491689" w:rsidRDefault="00053607" w:rsidP="00BE3CAD">
      <w:pPr>
        <w:numPr>
          <w:ilvl w:val="0"/>
          <w:numId w:val="1"/>
        </w:numPr>
      </w:pPr>
    </w:p>
    <w:p w:rsidR="00053607" w:rsidRPr="00491689" w:rsidRDefault="00053607" w:rsidP="00BE3CAD">
      <w:pPr>
        <w:numPr>
          <w:ilvl w:val="1"/>
          <w:numId w:val="1"/>
        </w:numPr>
      </w:pPr>
      <w:r w:rsidRPr="00491689">
        <w:t>The December maturity futures price is $</w:t>
      </w:r>
      <w:r w:rsidR="000745E4">
        <w:rPr>
          <w:rFonts w:eastAsia="MS Mincho" w:hint="eastAsia"/>
          <w:lang w:eastAsia="ja-JP"/>
        </w:rPr>
        <w:t>3.88</w:t>
      </w:r>
      <w:r w:rsidRPr="00491689">
        <w:t xml:space="preserve"> per bushel.  If the contract closes at $</w:t>
      </w:r>
      <w:r w:rsidR="000745E4">
        <w:rPr>
          <w:rFonts w:eastAsia="MS Mincho" w:hint="eastAsia"/>
          <w:lang w:eastAsia="ja-JP"/>
        </w:rPr>
        <w:t>3.95</w:t>
      </w:r>
      <w:r w:rsidRPr="00491689">
        <w:t xml:space="preserve"> per bushel in December, your profit </w:t>
      </w:r>
      <w:r w:rsidR="00C42478" w:rsidRPr="00491689">
        <w:t xml:space="preserve">/ loss </w:t>
      </w:r>
      <w:r w:rsidRPr="00491689">
        <w:t xml:space="preserve">on each contract (for delivery of 5,000 bushels of </w:t>
      </w:r>
      <w:r w:rsidR="00006C19" w:rsidRPr="00491689">
        <w:t>corn</w:t>
      </w:r>
      <w:r w:rsidRPr="00491689">
        <w:t>) will be: ($</w:t>
      </w:r>
      <w:r w:rsidR="000745E4">
        <w:rPr>
          <w:rFonts w:eastAsia="MS Mincho" w:hint="eastAsia"/>
          <w:lang w:eastAsia="ja-JP"/>
        </w:rPr>
        <w:t>3.95</w:t>
      </w:r>
      <w:r w:rsidRPr="00491689">
        <w:t xml:space="preserve"> </w:t>
      </w:r>
      <w:r w:rsidR="004612E9">
        <w:t>–</w:t>
      </w:r>
      <w:r w:rsidR="004612E9">
        <w:rPr>
          <w:rFonts w:hint="eastAsia"/>
          <w:lang w:eastAsia="zh-TW"/>
        </w:rPr>
        <w:t xml:space="preserve"> </w:t>
      </w:r>
      <w:r w:rsidRPr="00491689">
        <w:t>$</w:t>
      </w:r>
      <w:r w:rsidR="000745E4">
        <w:rPr>
          <w:rFonts w:eastAsia="MS Mincho" w:hint="eastAsia"/>
          <w:lang w:eastAsia="ja-JP"/>
        </w:rPr>
        <w:t>3.88</w:t>
      </w:r>
      <w:r w:rsidRPr="00491689">
        <w:t>) x 5000 = $</w:t>
      </w:r>
      <w:r w:rsidR="009702DD" w:rsidRPr="00491689">
        <w:t xml:space="preserve"> </w:t>
      </w:r>
      <w:r w:rsidR="000745E4">
        <w:rPr>
          <w:rFonts w:eastAsia="MS Mincho" w:hint="eastAsia"/>
          <w:lang w:eastAsia="ja-JP"/>
        </w:rPr>
        <w:t>337.50</w:t>
      </w:r>
      <w:r w:rsidR="003A3CA6" w:rsidRPr="00491689">
        <w:t xml:space="preserve"> </w:t>
      </w:r>
      <w:r w:rsidR="00006C19" w:rsidRPr="00491689">
        <w:t>gain</w:t>
      </w:r>
      <w:r w:rsidR="00473FBF" w:rsidRPr="00491689">
        <w:t>.</w:t>
      </w:r>
    </w:p>
    <w:p w:rsidR="00053607" w:rsidRPr="00491689" w:rsidRDefault="00053607" w:rsidP="00053607"/>
    <w:p w:rsidR="00053607" w:rsidRPr="00491689" w:rsidRDefault="003A3CA6" w:rsidP="00BE3CAD">
      <w:pPr>
        <w:numPr>
          <w:ilvl w:val="1"/>
          <w:numId w:val="1"/>
        </w:numPr>
      </w:pPr>
      <w:r w:rsidRPr="00491689">
        <w:t xml:space="preserve">There are </w:t>
      </w:r>
      <w:r w:rsidR="000745E4">
        <w:rPr>
          <w:rFonts w:eastAsia="MS Mincho" w:hint="eastAsia"/>
          <w:lang w:eastAsia="ja-JP"/>
        </w:rPr>
        <w:t>99,741</w:t>
      </w:r>
      <w:r w:rsidR="00053607" w:rsidRPr="00491689">
        <w:t xml:space="preserve"> contracts outstanding, represen</w:t>
      </w:r>
      <w:r w:rsidR="00473FBF" w:rsidRPr="00491689">
        <w:t xml:space="preserve">ting </w:t>
      </w:r>
      <w:r w:rsidR="000745E4">
        <w:rPr>
          <w:rFonts w:eastAsia="MS Mincho" w:hint="eastAsia"/>
          <w:lang w:eastAsia="ja-JP"/>
        </w:rPr>
        <w:t>498,705</w:t>
      </w:r>
      <w:r w:rsidR="00006C19" w:rsidRPr="00491689">
        <w:t>,000 bushels</w:t>
      </w:r>
      <w:r w:rsidR="00473FBF" w:rsidRPr="00491689">
        <w:t xml:space="preserve"> of corn.</w:t>
      </w:r>
      <w:r w:rsidR="00053607" w:rsidRPr="00491689">
        <w:t xml:space="preserve"> </w:t>
      </w:r>
    </w:p>
    <w:p w:rsidR="00053607" w:rsidRDefault="00053607" w:rsidP="00053607"/>
    <w:p w:rsidR="00C42478" w:rsidRDefault="00C42478" w:rsidP="00BE3CAD">
      <w:pPr>
        <w:numPr>
          <w:ilvl w:val="0"/>
          <w:numId w:val="1"/>
        </w:numPr>
      </w:pPr>
    </w:p>
    <w:p w:rsidR="00C42478" w:rsidRPr="004612E9" w:rsidRDefault="00053607" w:rsidP="00BE3CAD">
      <w:pPr>
        <w:numPr>
          <w:ilvl w:val="1"/>
          <w:numId w:val="1"/>
        </w:numPr>
      </w:pPr>
      <w:r w:rsidRPr="004612E9">
        <w:t>Yes.  As long as the stock price at expiration exceeds the exercise price, it mak</w:t>
      </w:r>
      <w:r w:rsidR="00201AC3">
        <w:t>es sense to exercise the call.</w:t>
      </w:r>
    </w:p>
    <w:p w:rsidR="00053607" w:rsidRPr="004612E9" w:rsidRDefault="00C42478" w:rsidP="00C42478">
      <w:pPr>
        <w:ind w:left="2160"/>
        <w:rPr>
          <w:lang w:eastAsia="zh-TW"/>
        </w:rPr>
      </w:pPr>
      <w:r w:rsidRPr="004612E9">
        <w:t>Gross</w:t>
      </w:r>
      <w:r w:rsidR="00053607" w:rsidRPr="004612E9">
        <w:t xml:space="preserve"> p</w:t>
      </w:r>
      <w:r w:rsidRPr="004612E9">
        <w:t>rofit</w:t>
      </w:r>
      <w:r w:rsidR="00053607" w:rsidRPr="004612E9">
        <w:t xml:space="preserve"> is: </w:t>
      </w:r>
      <w:r w:rsidR="004612E9" w:rsidRPr="004612E9">
        <w:rPr>
          <w:rFonts w:hint="eastAsia"/>
          <w:lang w:eastAsia="zh-TW"/>
        </w:rPr>
        <w:t>(</w:t>
      </w:r>
      <w:r w:rsidRPr="004612E9">
        <w:t>$</w:t>
      </w:r>
      <w:r w:rsidR="00566DC4">
        <w:rPr>
          <w:rFonts w:eastAsia="MS Mincho" w:hint="eastAsia"/>
          <w:lang w:eastAsia="ja-JP"/>
        </w:rPr>
        <w:t>102</w:t>
      </w:r>
      <w:r w:rsidR="001D3A61">
        <w:rPr>
          <w:rFonts w:hint="eastAsia"/>
          <w:lang w:eastAsia="zh-TW"/>
        </w:rPr>
        <w:t xml:space="preserve"> </w:t>
      </w:r>
      <w:r w:rsidR="001D3A61">
        <w:rPr>
          <w:b/>
        </w:rPr>
        <w:t xml:space="preserve">– </w:t>
      </w:r>
      <w:r w:rsidR="001D3A61">
        <w:t>$</w:t>
      </w:r>
      <w:r w:rsidR="00566DC4">
        <w:rPr>
          <w:rFonts w:eastAsia="MS Mincho" w:hint="eastAsia"/>
          <w:lang w:eastAsia="ja-JP"/>
        </w:rPr>
        <w:t>100</w:t>
      </w:r>
      <w:r w:rsidR="004612E9" w:rsidRPr="004612E9">
        <w:rPr>
          <w:rFonts w:hint="eastAsia"/>
          <w:lang w:eastAsia="zh-TW"/>
        </w:rPr>
        <w:t>) x 100 shares</w:t>
      </w:r>
      <w:r w:rsidR="004612E9" w:rsidRPr="004612E9">
        <w:t xml:space="preserve"> = $</w:t>
      </w:r>
      <w:r w:rsidR="004612E9" w:rsidRPr="004612E9">
        <w:rPr>
          <w:rFonts w:hint="eastAsia"/>
          <w:lang w:eastAsia="zh-TW"/>
        </w:rPr>
        <w:t>200</w:t>
      </w:r>
    </w:p>
    <w:p w:rsidR="00C42478" w:rsidRPr="004612E9" w:rsidRDefault="00053607" w:rsidP="00053607">
      <w:r w:rsidRPr="004612E9">
        <w:tab/>
      </w:r>
      <w:r w:rsidR="004612E9" w:rsidRPr="004612E9">
        <w:tab/>
      </w:r>
      <w:r w:rsidR="004612E9" w:rsidRPr="004612E9">
        <w:tab/>
        <w:t xml:space="preserve">Net profit = </w:t>
      </w:r>
      <w:r w:rsidR="004612E9" w:rsidRPr="004612E9">
        <w:rPr>
          <w:rFonts w:hint="eastAsia"/>
          <w:lang w:eastAsia="zh-TW"/>
        </w:rPr>
        <w:t>(</w:t>
      </w:r>
      <w:r w:rsidR="004612E9" w:rsidRPr="004612E9">
        <w:t>$</w:t>
      </w:r>
      <w:r w:rsidR="004612E9" w:rsidRPr="004612E9">
        <w:rPr>
          <w:rFonts w:hint="eastAsia"/>
          <w:lang w:eastAsia="zh-TW"/>
        </w:rPr>
        <w:t>2</w:t>
      </w:r>
      <w:r w:rsidR="001D3A61">
        <w:t xml:space="preserve"> – $</w:t>
      </w:r>
      <w:r w:rsidR="00566DC4">
        <w:rPr>
          <w:rFonts w:eastAsia="MS Mincho" w:hint="eastAsia"/>
          <w:lang w:eastAsia="ja-JP"/>
        </w:rPr>
        <w:t>2.62</w:t>
      </w:r>
      <w:r w:rsidR="004612E9" w:rsidRPr="004612E9">
        <w:rPr>
          <w:rFonts w:hint="eastAsia"/>
          <w:lang w:eastAsia="zh-TW"/>
        </w:rPr>
        <w:t>)</w:t>
      </w:r>
      <w:r w:rsidR="00C42478" w:rsidRPr="004612E9">
        <w:t xml:space="preserve"> </w:t>
      </w:r>
      <w:r w:rsidR="004612E9" w:rsidRPr="004612E9">
        <w:rPr>
          <w:rFonts w:hint="eastAsia"/>
          <w:lang w:eastAsia="zh-TW"/>
        </w:rPr>
        <w:t xml:space="preserve">x 100 shares </w:t>
      </w:r>
      <w:r w:rsidR="00C42478" w:rsidRPr="004612E9">
        <w:t>= $</w:t>
      </w:r>
      <w:r w:rsidR="00566DC4">
        <w:rPr>
          <w:rFonts w:eastAsia="MS Mincho" w:hint="eastAsia"/>
          <w:lang w:eastAsia="ja-JP"/>
        </w:rPr>
        <w:t>62</w:t>
      </w:r>
      <w:r w:rsidR="00566DC4" w:rsidRPr="004612E9">
        <w:t xml:space="preserve"> </w:t>
      </w:r>
      <w:r w:rsidR="00C42478" w:rsidRPr="004612E9">
        <w:t>loss</w:t>
      </w:r>
    </w:p>
    <w:p w:rsidR="00053607" w:rsidRPr="004612E9" w:rsidRDefault="00053607" w:rsidP="00053607">
      <w:r w:rsidRPr="004612E9">
        <w:tab/>
      </w:r>
      <w:r w:rsidR="004612E9" w:rsidRPr="004612E9">
        <w:tab/>
      </w:r>
      <w:r w:rsidR="004612E9" w:rsidRPr="004612E9">
        <w:tab/>
        <w:t>Rate of return = –</w:t>
      </w:r>
      <w:r w:rsidR="001D3A61">
        <w:rPr>
          <w:rFonts w:hint="eastAsia"/>
          <w:lang w:eastAsia="zh-TW"/>
        </w:rPr>
        <w:t>$</w:t>
      </w:r>
      <w:r w:rsidR="0057357D">
        <w:rPr>
          <w:rFonts w:eastAsia="MS Mincho" w:hint="eastAsia"/>
          <w:lang w:eastAsia="ja-JP"/>
        </w:rPr>
        <w:t>.62</w:t>
      </w:r>
      <w:r w:rsidR="001D3A61">
        <w:t>/</w:t>
      </w:r>
      <w:r w:rsidR="001D3A61">
        <w:rPr>
          <w:rFonts w:hint="eastAsia"/>
          <w:lang w:eastAsia="zh-TW"/>
        </w:rPr>
        <w:t>$</w:t>
      </w:r>
      <w:r w:rsidR="0057357D">
        <w:rPr>
          <w:rFonts w:eastAsia="MS Mincho" w:hint="eastAsia"/>
          <w:lang w:eastAsia="ja-JP"/>
        </w:rPr>
        <w:t>2.62</w:t>
      </w:r>
      <w:r w:rsidR="004612E9" w:rsidRPr="004612E9">
        <w:t xml:space="preserve"> = –</w:t>
      </w:r>
      <w:r w:rsidR="004612E9" w:rsidRPr="004612E9">
        <w:rPr>
          <w:rFonts w:hint="eastAsia"/>
          <w:lang w:eastAsia="zh-TW"/>
        </w:rPr>
        <w:t>0.</w:t>
      </w:r>
      <w:r w:rsidR="0057357D">
        <w:rPr>
          <w:rFonts w:eastAsia="MS Mincho" w:hint="eastAsia"/>
          <w:lang w:eastAsia="ja-JP"/>
        </w:rPr>
        <w:t>2366</w:t>
      </w:r>
      <w:r w:rsidR="0057357D">
        <w:rPr>
          <w:rFonts w:hint="eastAsia"/>
          <w:lang w:eastAsia="zh-TW"/>
        </w:rPr>
        <w:t xml:space="preserve"> </w:t>
      </w:r>
      <w:r w:rsidR="004612E9" w:rsidRPr="004612E9">
        <w:t xml:space="preserve">or </w:t>
      </w:r>
      <w:r w:rsidR="0057357D">
        <w:rPr>
          <w:rFonts w:eastAsia="MS Mincho" w:hint="eastAsia"/>
          <w:lang w:eastAsia="ja-JP"/>
        </w:rPr>
        <w:t>23.66</w:t>
      </w:r>
      <w:r w:rsidR="00C42478" w:rsidRPr="004612E9">
        <w:t>% loss</w:t>
      </w:r>
    </w:p>
    <w:p w:rsidR="00C42478" w:rsidRPr="004D159B" w:rsidRDefault="00C42478" w:rsidP="00053607">
      <w:pPr>
        <w:rPr>
          <w:b/>
        </w:rPr>
      </w:pPr>
    </w:p>
    <w:p w:rsidR="00C42478" w:rsidRPr="001D3A61" w:rsidRDefault="00C42478" w:rsidP="00BE3CAD">
      <w:pPr>
        <w:numPr>
          <w:ilvl w:val="1"/>
          <w:numId w:val="1"/>
        </w:numPr>
      </w:pPr>
      <w:r w:rsidRPr="001D3A61">
        <w:t>Yes</w:t>
      </w:r>
      <w:r w:rsidR="00201AC3">
        <w:t>, exercise.</w:t>
      </w:r>
    </w:p>
    <w:p w:rsidR="00C42478" w:rsidRPr="001D3A61" w:rsidRDefault="001D3A61" w:rsidP="00C42478">
      <w:pPr>
        <w:ind w:left="2160"/>
        <w:rPr>
          <w:lang w:eastAsia="zh-TW"/>
        </w:rPr>
      </w:pPr>
      <w:r w:rsidRPr="001D3A61">
        <w:t xml:space="preserve">Gross profit is: </w:t>
      </w:r>
      <w:r w:rsidRPr="001D3A61">
        <w:rPr>
          <w:rFonts w:hint="eastAsia"/>
          <w:lang w:eastAsia="zh-TW"/>
        </w:rPr>
        <w:t>(</w:t>
      </w:r>
      <w:r w:rsidRPr="001D3A61">
        <w:t>$</w:t>
      </w:r>
      <w:r w:rsidR="0057357D">
        <w:rPr>
          <w:rFonts w:eastAsia="MS Mincho" w:hint="eastAsia"/>
          <w:lang w:eastAsia="ja-JP"/>
        </w:rPr>
        <w:t>102</w:t>
      </w:r>
      <w:r w:rsidR="0057357D">
        <w:rPr>
          <w:rFonts w:hint="eastAsia"/>
          <w:lang w:eastAsia="zh-TW"/>
        </w:rPr>
        <w:t xml:space="preserve"> </w:t>
      </w:r>
      <w:r w:rsidR="00BF7ED5">
        <w:rPr>
          <w:b/>
        </w:rPr>
        <w:t>–</w:t>
      </w:r>
      <w:r w:rsidR="00C42478" w:rsidRPr="001D3A61">
        <w:t xml:space="preserve"> $</w:t>
      </w:r>
      <w:r w:rsidR="0057357D">
        <w:rPr>
          <w:rFonts w:eastAsia="MS Mincho" w:hint="eastAsia"/>
          <w:lang w:eastAsia="ja-JP"/>
        </w:rPr>
        <w:t>95</w:t>
      </w:r>
      <w:r w:rsidRPr="001D3A61">
        <w:rPr>
          <w:rFonts w:hint="eastAsia"/>
          <w:lang w:eastAsia="zh-TW"/>
        </w:rPr>
        <w:t>) x 100 shares</w:t>
      </w:r>
      <w:r w:rsidRPr="001D3A61">
        <w:t xml:space="preserve"> = $</w:t>
      </w:r>
      <w:r w:rsidRPr="001D3A61">
        <w:rPr>
          <w:rFonts w:hint="eastAsia"/>
          <w:lang w:eastAsia="zh-TW"/>
        </w:rPr>
        <w:t>700</w:t>
      </w:r>
    </w:p>
    <w:p w:rsidR="00C42478" w:rsidRPr="00E704CC" w:rsidRDefault="001D3A61" w:rsidP="00C42478">
      <w:pPr>
        <w:rPr>
          <w:rFonts w:eastAsia="MS Mincho"/>
          <w:lang w:eastAsia="ja-JP"/>
        </w:rPr>
      </w:pPr>
      <w:r w:rsidRPr="001D3A61">
        <w:tab/>
      </w:r>
      <w:r w:rsidRPr="001D3A61">
        <w:tab/>
      </w:r>
      <w:r w:rsidRPr="001D3A61">
        <w:tab/>
        <w:t xml:space="preserve">Net profit = </w:t>
      </w:r>
      <w:r w:rsidRPr="001D3A61">
        <w:rPr>
          <w:rFonts w:hint="eastAsia"/>
          <w:lang w:eastAsia="zh-TW"/>
        </w:rPr>
        <w:t>(</w:t>
      </w:r>
      <w:r w:rsidRPr="001D3A61">
        <w:t>$</w:t>
      </w:r>
      <w:r w:rsidRPr="001D3A61">
        <w:rPr>
          <w:rFonts w:hint="eastAsia"/>
          <w:lang w:eastAsia="zh-TW"/>
        </w:rPr>
        <w:t>7</w:t>
      </w:r>
      <w:r w:rsidRPr="001D3A61">
        <w:t xml:space="preserve"> – $</w:t>
      </w:r>
      <w:r w:rsidR="0057357D">
        <w:rPr>
          <w:rFonts w:eastAsia="MS Mincho" w:hint="eastAsia"/>
          <w:lang w:eastAsia="ja-JP"/>
        </w:rPr>
        <w:t>6.35</w:t>
      </w:r>
      <w:r w:rsidRPr="001D3A61">
        <w:rPr>
          <w:rFonts w:hint="eastAsia"/>
          <w:lang w:eastAsia="zh-TW"/>
        </w:rPr>
        <w:t>)</w:t>
      </w:r>
      <w:r w:rsidR="00C42478" w:rsidRPr="001D3A61">
        <w:t xml:space="preserve"> </w:t>
      </w:r>
      <w:r w:rsidRPr="001D3A61">
        <w:rPr>
          <w:rFonts w:hint="eastAsia"/>
          <w:lang w:eastAsia="zh-TW"/>
        </w:rPr>
        <w:t>x 100 shares</w:t>
      </w:r>
      <w:r w:rsidRPr="001D3A61">
        <w:t xml:space="preserve"> </w:t>
      </w:r>
      <w:r w:rsidR="00C42478" w:rsidRPr="001D3A61">
        <w:t>= $</w:t>
      </w:r>
      <w:r w:rsidR="0057357D">
        <w:rPr>
          <w:rFonts w:eastAsia="MS Mincho" w:hint="eastAsia"/>
          <w:lang w:eastAsia="ja-JP"/>
        </w:rPr>
        <w:t>65 gain</w:t>
      </w:r>
    </w:p>
    <w:p w:rsidR="00C42478" w:rsidRPr="00E704CC" w:rsidRDefault="00C42478" w:rsidP="00C42478">
      <w:pPr>
        <w:rPr>
          <w:rFonts w:eastAsia="MS Mincho"/>
          <w:lang w:eastAsia="ja-JP"/>
        </w:rPr>
      </w:pPr>
      <w:r w:rsidRPr="001D3A61">
        <w:tab/>
      </w:r>
      <w:r w:rsidRPr="001D3A61">
        <w:tab/>
      </w:r>
      <w:r w:rsidRPr="001D3A61">
        <w:tab/>
        <w:t xml:space="preserve">Rate of return = </w:t>
      </w:r>
      <w:r w:rsidR="001D3A61" w:rsidRPr="001D3A61">
        <w:rPr>
          <w:rFonts w:hint="eastAsia"/>
          <w:lang w:eastAsia="zh-TW"/>
        </w:rPr>
        <w:t>$</w:t>
      </w:r>
      <w:r w:rsidR="0057357D">
        <w:rPr>
          <w:rFonts w:eastAsia="MS Mincho" w:hint="eastAsia"/>
          <w:lang w:eastAsia="ja-JP"/>
        </w:rPr>
        <w:t>65</w:t>
      </w:r>
      <w:r w:rsidR="001D3A61" w:rsidRPr="001D3A61">
        <w:t>/</w:t>
      </w:r>
      <w:r w:rsidR="001D3A61" w:rsidRPr="001D3A61">
        <w:rPr>
          <w:rFonts w:hint="eastAsia"/>
          <w:lang w:eastAsia="zh-TW"/>
        </w:rPr>
        <w:t>$</w:t>
      </w:r>
      <w:r w:rsidR="0057357D">
        <w:rPr>
          <w:rFonts w:eastAsia="MS Mincho" w:hint="eastAsia"/>
          <w:lang w:eastAsia="ja-JP"/>
        </w:rPr>
        <w:t>6.35</w:t>
      </w:r>
      <w:r w:rsidRPr="001D3A61">
        <w:t xml:space="preserve"> = 0.</w:t>
      </w:r>
      <w:r w:rsidR="0057357D">
        <w:rPr>
          <w:rFonts w:eastAsia="MS Mincho" w:hint="eastAsia"/>
          <w:lang w:eastAsia="ja-JP"/>
        </w:rPr>
        <w:t>1024</w:t>
      </w:r>
      <w:r w:rsidRPr="001D3A61">
        <w:t xml:space="preserve"> or </w:t>
      </w:r>
      <w:r w:rsidR="0057357D">
        <w:rPr>
          <w:rFonts w:eastAsia="MS Mincho" w:hint="eastAsia"/>
          <w:lang w:eastAsia="ja-JP"/>
        </w:rPr>
        <w:t>10.24</w:t>
      </w:r>
      <w:r w:rsidR="008E6064" w:rsidRPr="001D3A61">
        <w:t xml:space="preserve"> % </w:t>
      </w:r>
      <w:r w:rsidR="0057357D">
        <w:rPr>
          <w:rFonts w:eastAsia="MS Mincho" w:hint="eastAsia"/>
          <w:lang w:eastAsia="ja-JP"/>
        </w:rPr>
        <w:t>gain</w:t>
      </w:r>
    </w:p>
    <w:p w:rsidR="00C42478" w:rsidRPr="004D159B" w:rsidRDefault="00C42478" w:rsidP="00053607">
      <w:pPr>
        <w:rPr>
          <w:b/>
        </w:rPr>
      </w:pPr>
    </w:p>
    <w:p w:rsidR="00D06C3E" w:rsidRPr="00BF7ED5" w:rsidRDefault="008E6064" w:rsidP="00D06C3E">
      <w:pPr>
        <w:numPr>
          <w:ilvl w:val="1"/>
          <w:numId w:val="1"/>
        </w:numPr>
      </w:pPr>
      <w:r w:rsidRPr="00BF7ED5">
        <w:t xml:space="preserve">A put with </w:t>
      </w:r>
      <w:r w:rsidR="006D6DB7">
        <w:t xml:space="preserve">an </w:t>
      </w:r>
      <w:r w:rsidRPr="00BF7ED5">
        <w:t xml:space="preserve">exercise price </w:t>
      </w:r>
      <w:r w:rsidR="006D6DB7">
        <w:t xml:space="preserve">of </w:t>
      </w:r>
      <w:r w:rsidRPr="00BF7ED5">
        <w:t>$</w:t>
      </w:r>
      <w:r w:rsidR="0057357D">
        <w:rPr>
          <w:rFonts w:eastAsia="MS Mincho" w:hint="eastAsia"/>
          <w:lang w:eastAsia="ja-JP"/>
        </w:rPr>
        <w:t>100</w:t>
      </w:r>
      <w:r w:rsidR="00053607" w:rsidRPr="00BF7ED5">
        <w:t xml:space="preserve"> would expire worthless for any stock price equal to or greater than $</w:t>
      </w:r>
      <w:r w:rsidR="0057357D">
        <w:rPr>
          <w:rFonts w:eastAsia="MS Mincho" w:hint="eastAsia"/>
          <w:lang w:eastAsia="ja-JP"/>
        </w:rPr>
        <w:t>100</w:t>
      </w:r>
      <w:r w:rsidR="00053607" w:rsidRPr="00BF7ED5">
        <w:t>.  An invest</w:t>
      </w:r>
      <w:r w:rsidR="00566DC4">
        <w:rPr>
          <w:rFonts w:eastAsia="MS Mincho" w:hint="eastAsia"/>
          <w:lang w:eastAsia="ja-JP"/>
        </w:rPr>
        <w:t>ment</w:t>
      </w:r>
      <w:r w:rsidR="00053607" w:rsidRPr="00BF7ED5">
        <w:t xml:space="preserve"> in such a put would have a rate of return over the holding period of –100%.</w:t>
      </w:r>
    </w:p>
    <w:p w:rsidR="0013410A" w:rsidRDefault="0013410A" w:rsidP="0013410A"/>
    <w:p w:rsidR="008E6064" w:rsidRDefault="008E6064" w:rsidP="008E6064">
      <w:pPr>
        <w:numPr>
          <w:ilvl w:val="0"/>
          <w:numId w:val="1"/>
        </w:numPr>
      </w:pPr>
    </w:p>
    <w:p w:rsidR="008E6064" w:rsidRDefault="008E6064" w:rsidP="008E6064">
      <w:pPr>
        <w:numPr>
          <w:ilvl w:val="1"/>
          <w:numId w:val="1"/>
        </w:numPr>
      </w:pPr>
      <w:r>
        <w:t>Long call</w:t>
      </w:r>
    </w:p>
    <w:p w:rsidR="008E6064" w:rsidRDefault="008E6064" w:rsidP="008E6064">
      <w:pPr>
        <w:numPr>
          <w:ilvl w:val="1"/>
          <w:numId w:val="1"/>
        </w:numPr>
      </w:pPr>
      <w:r>
        <w:t>Long put</w:t>
      </w:r>
    </w:p>
    <w:p w:rsidR="008E6064" w:rsidRDefault="008E6064" w:rsidP="008E6064">
      <w:pPr>
        <w:numPr>
          <w:ilvl w:val="1"/>
          <w:numId w:val="1"/>
        </w:numPr>
      </w:pPr>
      <w:r>
        <w:t>Short put</w:t>
      </w:r>
    </w:p>
    <w:p w:rsidR="008E6064" w:rsidRDefault="008E6064" w:rsidP="008E6064">
      <w:pPr>
        <w:numPr>
          <w:ilvl w:val="1"/>
          <w:numId w:val="1"/>
        </w:numPr>
      </w:pPr>
      <w:r>
        <w:t>Short call</w:t>
      </w:r>
    </w:p>
    <w:p w:rsidR="00BE3CAD" w:rsidRDefault="00BE3CAD" w:rsidP="00BE3CAD"/>
    <w:p w:rsidR="00F977E4" w:rsidRDefault="00F977E4" w:rsidP="00BE3CAD">
      <w:pPr>
        <w:numPr>
          <w:ilvl w:val="0"/>
          <w:numId w:val="1"/>
        </w:numPr>
      </w:pPr>
      <w:r>
        <w:t>There is always a chance that the option will expire in the money.  Investors will pay something for this chance of a positive payoff.</w:t>
      </w:r>
    </w:p>
    <w:p w:rsidR="00432770" w:rsidRDefault="00432770" w:rsidP="00F977E4">
      <w:pPr>
        <w:ind w:right="-540"/>
      </w:pPr>
    </w:p>
    <w:p w:rsidR="00F977E4" w:rsidRDefault="00126988" w:rsidP="006D6DB7">
      <w:pPr>
        <w:numPr>
          <w:ilvl w:val="0"/>
          <w:numId w:val="1"/>
        </w:numPr>
      </w:pPr>
      <w:r>
        <w:t>Long call for $4:</w:t>
      </w:r>
    </w:p>
    <w:p w:rsidR="00126988" w:rsidRDefault="00126988" w:rsidP="00126988">
      <w:pPr>
        <w:ind w:left="720" w:right="-540"/>
      </w:pPr>
    </w:p>
    <w:tbl>
      <w:tblPr>
        <w:tblW w:w="0" w:type="auto"/>
        <w:tblInd w:w="1440" w:type="dxa"/>
        <w:tblBorders>
          <w:top w:val="nil"/>
          <w:left w:val="nil"/>
          <w:bottom w:val="nil"/>
          <w:right w:val="nil"/>
          <w:insideH w:val="nil"/>
          <w:insideV w:val="nil"/>
        </w:tblBorders>
        <w:tblLayout w:type="fixed"/>
        <w:tblLook w:val="00A0" w:firstRow="1" w:lastRow="0" w:firstColumn="1" w:lastColumn="0" w:noHBand="0" w:noVBand="0"/>
      </w:tblPr>
      <w:tblGrid>
        <w:gridCol w:w="360"/>
        <w:gridCol w:w="1530"/>
        <w:gridCol w:w="1350"/>
        <w:gridCol w:w="1170"/>
      </w:tblGrid>
      <w:tr w:rsidR="00F977E4" w:rsidRPr="005B105D">
        <w:tc>
          <w:tcPr>
            <w:tcW w:w="360" w:type="dxa"/>
          </w:tcPr>
          <w:p w:rsidR="00126988" w:rsidRPr="005B105D" w:rsidRDefault="00126988" w:rsidP="00762BAA">
            <w:pPr>
              <w:ind w:right="-540"/>
            </w:pPr>
          </w:p>
        </w:tc>
        <w:tc>
          <w:tcPr>
            <w:tcW w:w="153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right="0"/>
              <w:jc w:val="center"/>
              <w:rPr>
                <w:u w:val="none"/>
              </w:rPr>
            </w:pPr>
            <w:r w:rsidRPr="005B105D">
              <w:rPr>
                <w:u w:val="none"/>
              </w:rPr>
              <w:t>Value of call at expiration</w:t>
            </w:r>
          </w:p>
        </w:tc>
        <w:tc>
          <w:tcPr>
            <w:tcW w:w="135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right="0"/>
              <w:jc w:val="center"/>
              <w:rPr>
                <w:u w:val="none"/>
              </w:rPr>
            </w:pPr>
            <w:r w:rsidRPr="005B105D">
              <w:rPr>
                <w:u w:val="none"/>
              </w:rPr>
              <w:t>Initial Cost</w:t>
            </w:r>
          </w:p>
        </w:tc>
        <w:tc>
          <w:tcPr>
            <w:tcW w:w="117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left="-108" w:right="0"/>
              <w:jc w:val="center"/>
              <w:rPr>
                <w:u w:val="none"/>
              </w:rPr>
            </w:pPr>
            <w:r w:rsidRPr="005B105D">
              <w:rPr>
                <w:u w:val="none"/>
              </w:rPr>
              <w:t>Profit</w:t>
            </w:r>
          </w:p>
        </w:tc>
      </w:tr>
      <w:tr w:rsidR="00F977E4" w:rsidRPr="005B105D">
        <w:tc>
          <w:tcPr>
            <w:tcW w:w="360" w:type="dxa"/>
          </w:tcPr>
          <w:p w:rsidR="00F977E4" w:rsidRPr="005B105D" w:rsidRDefault="00F977E4" w:rsidP="00762BAA">
            <w:pPr>
              <w:ind w:right="-540"/>
            </w:pPr>
            <w:r w:rsidRPr="005B105D">
              <w:t>a.</w:t>
            </w:r>
          </w:p>
        </w:tc>
        <w:tc>
          <w:tcPr>
            <w:tcW w:w="1530" w:type="dxa"/>
            <w:tcBorders>
              <w:top w:val="single" w:sz="4" w:space="0" w:color="auto"/>
            </w:tcBorders>
          </w:tcPr>
          <w:p w:rsidR="00F977E4" w:rsidRPr="005B105D" w:rsidRDefault="00F977E4" w:rsidP="00762BAA">
            <w:pPr>
              <w:ind w:right="-72"/>
              <w:jc w:val="center"/>
            </w:pPr>
            <w:r w:rsidRPr="005B105D">
              <w:t>0</w:t>
            </w:r>
          </w:p>
        </w:tc>
        <w:tc>
          <w:tcPr>
            <w:tcW w:w="1350" w:type="dxa"/>
            <w:tcBorders>
              <w:top w:val="single" w:sz="4" w:space="0" w:color="auto"/>
            </w:tcBorders>
          </w:tcPr>
          <w:p w:rsidR="00F977E4" w:rsidRPr="005B105D" w:rsidRDefault="00F977E4" w:rsidP="00762BAA">
            <w:pPr>
              <w:tabs>
                <w:tab w:val="right" w:pos="4760"/>
                <w:tab w:val="right" w:pos="6840"/>
                <w:tab w:val="left" w:pos="8640"/>
              </w:tabs>
              <w:ind w:left="1138" w:hanging="1138"/>
              <w:jc w:val="center"/>
            </w:pPr>
            <w:r w:rsidRPr="005B105D">
              <w:t>4</w:t>
            </w:r>
          </w:p>
        </w:tc>
        <w:tc>
          <w:tcPr>
            <w:tcW w:w="1170" w:type="dxa"/>
            <w:tcBorders>
              <w:top w:val="single" w:sz="4" w:space="0" w:color="auto"/>
            </w:tcBorders>
          </w:tcPr>
          <w:p w:rsidR="00F977E4" w:rsidRPr="005B105D" w:rsidRDefault="00F977E4" w:rsidP="00762BAA">
            <w:pPr>
              <w:tabs>
                <w:tab w:val="right" w:pos="6840"/>
                <w:tab w:val="left" w:pos="8640"/>
              </w:tabs>
              <w:ind w:left="-108"/>
              <w:jc w:val="center"/>
            </w:pPr>
            <w:r w:rsidRPr="005B105D">
              <w:t>-4</w:t>
            </w:r>
          </w:p>
        </w:tc>
      </w:tr>
      <w:tr w:rsidR="00F977E4" w:rsidRPr="005B105D">
        <w:tc>
          <w:tcPr>
            <w:tcW w:w="360" w:type="dxa"/>
          </w:tcPr>
          <w:p w:rsidR="00F977E4" w:rsidRPr="005B105D" w:rsidRDefault="00F977E4" w:rsidP="00762BAA">
            <w:pPr>
              <w:ind w:right="-540"/>
            </w:pPr>
            <w:r w:rsidRPr="005B105D">
              <w:t>b.</w:t>
            </w:r>
          </w:p>
        </w:tc>
        <w:tc>
          <w:tcPr>
            <w:tcW w:w="1530" w:type="dxa"/>
          </w:tcPr>
          <w:p w:rsidR="00F977E4" w:rsidRPr="005B105D" w:rsidRDefault="00F977E4" w:rsidP="00762BAA">
            <w:pPr>
              <w:ind w:right="-72"/>
              <w:jc w:val="center"/>
            </w:pPr>
            <w:r w:rsidRPr="005B105D">
              <w:t>0</w:t>
            </w:r>
          </w:p>
        </w:tc>
        <w:tc>
          <w:tcPr>
            <w:tcW w:w="1350" w:type="dxa"/>
          </w:tcPr>
          <w:p w:rsidR="00F977E4" w:rsidRPr="005B105D" w:rsidRDefault="00F977E4" w:rsidP="00762BAA">
            <w:pPr>
              <w:ind w:left="1138" w:hanging="1138"/>
              <w:jc w:val="center"/>
            </w:pPr>
            <w:r w:rsidRPr="005B105D">
              <w:t>4</w:t>
            </w:r>
          </w:p>
        </w:tc>
        <w:tc>
          <w:tcPr>
            <w:tcW w:w="1170" w:type="dxa"/>
          </w:tcPr>
          <w:p w:rsidR="00F977E4" w:rsidRPr="005B105D" w:rsidRDefault="00F977E4" w:rsidP="00762BAA">
            <w:pPr>
              <w:ind w:left="-108"/>
              <w:jc w:val="center"/>
            </w:pPr>
            <w:r w:rsidRPr="005B105D">
              <w:t>-4</w:t>
            </w:r>
          </w:p>
        </w:tc>
      </w:tr>
      <w:tr w:rsidR="00F977E4" w:rsidRPr="005B105D">
        <w:tc>
          <w:tcPr>
            <w:tcW w:w="360" w:type="dxa"/>
          </w:tcPr>
          <w:p w:rsidR="00F977E4" w:rsidRPr="005B105D" w:rsidRDefault="00F977E4" w:rsidP="00762BAA">
            <w:pPr>
              <w:ind w:right="-540"/>
            </w:pPr>
            <w:r w:rsidRPr="005B105D">
              <w:t>c.</w:t>
            </w:r>
          </w:p>
        </w:tc>
        <w:tc>
          <w:tcPr>
            <w:tcW w:w="1530" w:type="dxa"/>
          </w:tcPr>
          <w:p w:rsidR="00F977E4" w:rsidRPr="005B105D" w:rsidRDefault="00F977E4" w:rsidP="00762BAA">
            <w:pPr>
              <w:ind w:right="-72"/>
              <w:jc w:val="center"/>
            </w:pPr>
            <w:r w:rsidRPr="005B105D">
              <w:t>0</w:t>
            </w:r>
          </w:p>
        </w:tc>
        <w:tc>
          <w:tcPr>
            <w:tcW w:w="1350" w:type="dxa"/>
          </w:tcPr>
          <w:p w:rsidR="00F977E4" w:rsidRPr="005B105D" w:rsidRDefault="00F977E4" w:rsidP="00762BAA">
            <w:pPr>
              <w:ind w:left="1138" w:hanging="1138"/>
              <w:jc w:val="center"/>
            </w:pPr>
            <w:r w:rsidRPr="005B105D">
              <w:t>4</w:t>
            </w:r>
          </w:p>
        </w:tc>
        <w:tc>
          <w:tcPr>
            <w:tcW w:w="1170" w:type="dxa"/>
          </w:tcPr>
          <w:p w:rsidR="00F977E4" w:rsidRPr="005B105D" w:rsidRDefault="00F977E4" w:rsidP="00762BAA">
            <w:pPr>
              <w:ind w:left="-108"/>
              <w:jc w:val="center"/>
            </w:pPr>
            <w:r w:rsidRPr="005B105D">
              <w:t>-4</w:t>
            </w:r>
          </w:p>
        </w:tc>
      </w:tr>
      <w:tr w:rsidR="00F977E4" w:rsidRPr="005B105D">
        <w:tc>
          <w:tcPr>
            <w:tcW w:w="360" w:type="dxa"/>
          </w:tcPr>
          <w:p w:rsidR="00F977E4" w:rsidRPr="005B105D" w:rsidRDefault="00F977E4" w:rsidP="00762BAA">
            <w:pPr>
              <w:ind w:right="-540"/>
            </w:pPr>
            <w:r w:rsidRPr="005B105D">
              <w:t>d.</w:t>
            </w:r>
          </w:p>
        </w:tc>
        <w:tc>
          <w:tcPr>
            <w:tcW w:w="1530" w:type="dxa"/>
          </w:tcPr>
          <w:p w:rsidR="00F977E4" w:rsidRPr="005B105D" w:rsidRDefault="00F977E4" w:rsidP="00762BAA">
            <w:pPr>
              <w:ind w:right="-72"/>
              <w:jc w:val="center"/>
            </w:pPr>
            <w:r w:rsidRPr="005B105D">
              <w:t>5</w:t>
            </w:r>
          </w:p>
        </w:tc>
        <w:tc>
          <w:tcPr>
            <w:tcW w:w="1350" w:type="dxa"/>
          </w:tcPr>
          <w:p w:rsidR="00F977E4" w:rsidRPr="005B105D" w:rsidRDefault="00F977E4" w:rsidP="00762BAA">
            <w:pPr>
              <w:ind w:left="1138" w:hanging="1138"/>
              <w:jc w:val="center"/>
            </w:pPr>
            <w:r w:rsidRPr="005B105D">
              <w:t>4</w:t>
            </w:r>
          </w:p>
        </w:tc>
        <w:tc>
          <w:tcPr>
            <w:tcW w:w="1170" w:type="dxa"/>
          </w:tcPr>
          <w:p w:rsidR="00F977E4" w:rsidRPr="005B105D" w:rsidRDefault="00F977E4" w:rsidP="00762BAA">
            <w:pPr>
              <w:ind w:left="-108"/>
              <w:jc w:val="center"/>
            </w:pPr>
            <w:r w:rsidRPr="005B105D">
              <w:t>1</w:t>
            </w:r>
          </w:p>
        </w:tc>
      </w:tr>
      <w:tr w:rsidR="00F977E4" w:rsidRPr="005B105D">
        <w:tc>
          <w:tcPr>
            <w:tcW w:w="360" w:type="dxa"/>
          </w:tcPr>
          <w:p w:rsidR="00F977E4" w:rsidRPr="005B105D" w:rsidRDefault="00F977E4" w:rsidP="00762BAA">
            <w:pPr>
              <w:ind w:right="-540"/>
            </w:pPr>
            <w:r w:rsidRPr="005B105D">
              <w:t>e.</w:t>
            </w:r>
          </w:p>
        </w:tc>
        <w:tc>
          <w:tcPr>
            <w:tcW w:w="1530" w:type="dxa"/>
          </w:tcPr>
          <w:p w:rsidR="00F977E4" w:rsidRPr="005B105D" w:rsidRDefault="00F977E4" w:rsidP="00762BAA">
            <w:pPr>
              <w:ind w:right="-72"/>
              <w:jc w:val="center"/>
            </w:pPr>
            <w:r w:rsidRPr="005B105D">
              <w:t>10</w:t>
            </w:r>
          </w:p>
        </w:tc>
        <w:tc>
          <w:tcPr>
            <w:tcW w:w="1350" w:type="dxa"/>
          </w:tcPr>
          <w:p w:rsidR="00F977E4" w:rsidRPr="005B105D" w:rsidRDefault="00F977E4" w:rsidP="00762BAA">
            <w:pPr>
              <w:ind w:left="1138" w:hanging="1138"/>
              <w:jc w:val="center"/>
            </w:pPr>
            <w:r w:rsidRPr="005B105D">
              <w:t>4</w:t>
            </w:r>
          </w:p>
        </w:tc>
        <w:tc>
          <w:tcPr>
            <w:tcW w:w="1170" w:type="dxa"/>
          </w:tcPr>
          <w:p w:rsidR="00F977E4" w:rsidRPr="005B105D" w:rsidRDefault="00F977E4" w:rsidP="00762BAA">
            <w:pPr>
              <w:ind w:left="-108"/>
              <w:jc w:val="center"/>
            </w:pPr>
            <w:r w:rsidRPr="005B105D">
              <w:t>6</w:t>
            </w:r>
          </w:p>
        </w:tc>
      </w:tr>
    </w:tbl>
    <w:p w:rsidR="0013410A" w:rsidRDefault="0013410A" w:rsidP="0013410A">
      <w:pPr>
        <w:rPr>
          <w:lang w:eastAsia="zh-TW"/>
        </w:rPr>
      </w:pPr>
    </w:p>
    <w:p w:rsidR="00126988" w:rsidRDefault="0013410A" w:rsidP="0013410A">
      <w:pPr>
        <w:rPr>
          <w:lang w:eastAsia="zh-TW"/>
        </w:rPr>
      </w:pPr>
      <w:r>
        <w:rPr>
          <w:lang w:eastAsia="zh-TW"/>
        </w:rPr>
        <w:br w:type="page"/>
      </w:r>
    </w:p>
    <w:p w:rsidR="00F977E4" w:rsidRDefault="00126988" w:rsidP="00126988">
      <w:pPr>
        <w:ind w:left="720"/>
      </w:pPr>
      <w:r>
        <w:lastRenderedPageBreak/>
        <w:t>Long put for $6:</w:t>
      </w:r>
    </w:p>
    <w:p w:rsidR="00126988" w:rsidRDefault="00126988" w:rsidP="00126988">
      <w:pPr>
        <w:ind w:left="720"/>
      </w:pPr>
    </w:p>
    <w:tbl>
      <w:tblPr>
        <w:tblW w:w="0" w:type="auto"/>
        <w:tblInd w:w="1440" w:type="dxa"/>
        <w:tblBorders>
          <w:top w:val="nil"/>
          <w:left w:val="nil"/>
          <w:bottom w:val="nil"/>
          <w:right w:val="nil"/>
          <w:insideH w:val="nil"/>
          <w:insideV w:val="nil"/>
        </w:tblBorders>
        <w:tblLayout w:type="fixed"/>
        <w:tblLook w:val="00A0" w:firstRow="1" w:lastRow="0" w:firstColumn="1" w:lastColumn="0" w:noHBand="0" w:noVBand="0"/>
      </w:tblPr>
      <w:tblGrid>
        <w:gridCol w:w="360"/>
        <w:gridCol w:w="1530"/>
        <w:gridCol w:w="1350"/>
        <w:gridCol w:w="1170"/>
      </w:tblGrid>
      <w:tr w:rsidR="00F977E4" w:rsidRPr="005B105D">
        <w:tc>
          <w:tcPr>
            <w:tcW w:w="360" w:type="dxa"/>
          </w:tcPr>
          <w:p w:rsidR="00F977E4" w:rsidRPr="005B105D" w:rsidRDefault="00F977E4" w:rsidP="00762BAA">
            <w:pPr>
              <w:ind w:right="-540"/>
            </w:pPr>
          </w:p>
        </w:tc>
        <w:tc>
          <w:tcPr>
            <w:tcW w:w="153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right="0"/>
              <w:jc w:val="center"/>
              <w:rPr>
                <w:u w:val="none"/>
              </w:rPr>
            </w:pPr>
            <w:r w:rsidRPr="005B105D">
              <w:rPr>
                <w:u w:val="none"/>
              </w:rPr>
              <w:t>Value of put at expiration</w:t>
            </w:r>
          </w:p>
        </w:tc>
        <w:tc>
          <w:tcPr>
            <w:tcW w:w="135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right="0"/>
              <w:jc w:val="center"/>
              <w:rPr>
                <w:u w:val="none"/>
              </w:rPr>
            </w:pPr>
            <w:r w:rsidRPr="005B105D">
              <w:rPr>
                <w:u w:val="none"/>
              </w:rPr>
              <w:t>Initial Cost</w:t>
            </w:r>
          </w:p>
        </w:tc>
        <w:tc>
          <w:tcPr>
            <w:tcW w:w="1170" w:type="dxa"/>
            <w:tcBorders>
              <w:bottom w:val="single" w:sz="4" w:space="0" w:color="auto"/>
            </w:tcBorders>
            <w:vAlign w:val="center"/>
          </w:tcPr>
          <w:p w:rsidR="00F977E4" w:rsidRPr="005B105D" w:rsidRDefault="00F977E4" w:rsidP="00762BAA">
            <w:pPr>
              <w:pStyle w:val="Heading1"/>
              <w:tabs>
                <w:tab w:val="clear" w:pos="440"/>
                <w:tab w:val="clear" w:pos="1620"/>
                <w:tab w:val="clear" w:pos="4760"/>
                <w:tab w:val="clear" w:pos="6840"/>
                <w:tab w:val="clear" w:pos="8640"/>
              </w:tabs>
              <w:ind w:left="-108" w:right="0"/>
              <w:jc w:val="center"/>
              <w:rPr>
                <w:u w:val="none"/>
              </w:rPr>
            </w:pPr>
            <w:r w:rsidRPr="005B105D">
              <w:rPr>
                <w:u w:val="none"/>
              </w:rPr>
              <w:t>Profit</w:t>
            </w:r>
          </w:p>
        </w:tc>
      </w:tr>
      <w:tr w:rsidR="00F977E4" w:rsidRPr="005B105D">
        <w:tc>
          <w:tcPr>
            <w:tcW w:w="360" w:type="dxa"/>
          </w:tcPr>
          <w:p w:rsidR="00F977E4" w:rsidRPr="005B105D" w:rsidRDefault="00F977E4" w:rsidP="00762BAA">
            <w:pPr>
              <w:ind w:right="-540"/>
            </w:pPr>
            <w:r w:rsidRPr="005B105D">
              <w:t>a.</w:t>
            </w:r>
          </w:p>
        </w:tc>
        <w:tc>
          <w:tcPr>
            <w:tcW w:w="1530" w:type="dxa"/>
            <w:tcBorders>
              <w:top w:val="single" w:sz="4" w:space="0" w:color="auto"/>
            </w:tcBorders>
          </w:tcPr>
          <w:p w:rsidR="00F977E4" w:rsidRPr="005B105D" w:rsidRDefault="00F977E4" w:rsidP="00762BAA">
            <w:pPr>
              <w:ind w:right="-72"/>
              <w:jc w:val="center"/>
            </w:pPr>
            <w:r w:rsidRPr="005B105D">
              <w:t>10</w:t>
            </w:r>
          </w:p>
        </w:tc>
        <w:tc>
          <w:tcPr>
            <w:tcW w:w="1350" w:type="dxa"/>
            <w:tcBorders>
              <w:top w:val="single" w:sz="4" w:space="0" w:color="auto"/>
            </w:tcBorders>
          </w:tcPr>
          <w:p w:rsidR="00F977E4" w:rsidRPr="005B105D" w:rsidRDefault="00F977E4" w:rsidP="00762BAA">
            <w:pPr>
              <w:tabs>
                <w:tab w:val="right" w:pos="4760"/>
                <w:tab w:val="right" w:pos="6840"/>
                <w:tab w:val="left" w:pos="8640"/>
              </w:tabs>
              <w:ind w:left="1138" w:hanging="1138"/>
              <w:jc w:val="center"/>
            </w:pPr>
            <w:r w:rsidRPr="005B105D">
              <w:t>6</w:t>
            </w:r>
          </w:p>
        </w:tc>
        <w:tc>
          <w:tcPr>
            <w:tcW w:w="1170" w:type="dxa"/>
            <w:tcBorders>
              <w:top w:val="single" w:sz="4" w:space="0" w:color="auto"/>
            </w:tcBorders>
          </w:tcPr>
          <w:p w:rsidR="00F977E4" w:rsidRPr="005B105D" w:rsidRDefault="00F977E4" w:rsidP="00762BAA">
            <w:pPr>
              <w:tabs>
                <w:tab w:val="right" w:pos="6840"/>
                <w:tab w:val="left" w:pos="8640"/>
              </w:tabs>
              <w:ind w:left="-108"/>
              <w:jc w:val="center"/>
            </w:pPr>
            <w:r w:rsidRPr="005B105D">
              <w:t>4</w:t>
            </w:r>
          </w:p>
        </w:tc>
      </w:tr>
      <w:tr w:rsidR="00F977E4" w:rsidRPr="005B105D">
        <w:tc>
          <w:tcPr>
            <w:tcW w:w="360" w:type="dxa"/>
          </w:tcPr>
          <w:p w:rsidR="00F977E4" w:rsidRPr="005B105D" w:rsidRDefault="00F977E4" w:rsidP="00762BAA">
            <w:pPr>
              <w:ind w:right="-540"/>
            </w:pPr>
            <w:r w:rsidRPr="005B105D">
              <w:t>b.</w:t>
            </w:r>
          </w:p>
        </w:tc>
        <w:tc>
          <w:tcPr>
            <w:tcW w:w="1530" w:type="dxa"/>
          </w:tcPr>
          <w:p w:rsidR="00F977E4" w:rsidRPr="005B105D" w:rsidRDefault="00F977E4" w:rsidP="00762BAA">
            <w:pPr>
              <w:ind w:right="-72"/>
              <w:jc w:val="center"/>
            </w:pPr>
            <w:r w:rsidRPr="005B105D">
              <w:t>5</w:t>
            </w:r>
          </w:p>
        </w:tc>
        <w:tc>
          <w:tcPr>
            <w:tcW w:w="1350" w:type="dxa"/>
          </w:tcPr>
          <w:p w:rsidR="00F977E4" w:rsidRPr="005B105D" w:rsidRDefault="00F977E4" w:rsidP="00762BAA">
            <w:pPr>
              <w:ind w:left="1138" w:hanging="1138"/>
              <w:jc w:val="center"/>
            </w:pPr>
            <w:r w:rsidRPr="005B105D">
              <w:t>6</w:t>
            </w:r>
          </w:p>
        </w:tc>
        <w:tc>
          <w:tcPr>
            <w:tcW w:w="1170" w:type="dxa"/>
          </w:tcPr>
          <w:p w:rsidR="00F977E4" w:rsidRPr="005B105D" w:rsidRDefault="00F977E4" w:rsidP="00762BAA">
            <w:pPr>
              <w:ind w:left="-108"/>
              <w:jc w:val="center"/>
            </w:pPr>
            <w:r w:rsidRPr="005B105D">
              <w:t>-1</w:t>
            </w:r>
          </w:p>
        </w:tc>
      </w:tr>
      <w:tr w:rsidR="00F977E4" w:rsidRPr="005B105D">
        <w:tc>
          <w:tcPr>
            <w:tcW w:w="360" w:type="dxa"/>
          </w:tcPr>
          <w:p w:rsidR="00F977E4" w:rsidRPr="005B105D" w:rsidRDefault="00F977E4" w:rsidP="00762BAA">
            <w:pPr>
              <w:ind w:right="-540"/>
            </w:pPr>
            <w:r w:rsidRPr="005B105D">
              <w:t>c.</w:t>
            </w:r>
          </w:p>
        </w:tc>
        <w:tc>
          <w:tcPr>
            <w:tcW w:w="1530" w:type="dxa"/>
          </w:tcPr>
          <w:p w:rsidR="00F977E4" w:rsidRPr="005B105D" w:rsidRDefault="00F977E4" w:rsidP="00762BAA">
            <w:pPr>
              <w:ind w:right="-72"/>
              <w:jc w:val="center"/>
            </w:pPr>
            <w:r w:rsidRPr="005B105D">
              <w:t>0</w:t>
            </w:r>
          </w:p>
        </w:tc>
        <w:tc>
          <w:tcPr>
            <w:tcW w:w="1350" w:type="dxa"/>
          </w:tcPr>
          <w:p w:rsidR="00F977E4" w:rsidRPr="005B105D" w:rsidRDefault="00F977E4" w:rsidP="00762BAA">
            <w:pPr>
              <w:ind w:left="1138" w:hanging="1138"/>
              <w:jc w:val="center"/>
            </w:pPr>
            <w:r w:rsidRPr="005B105D">
              <w:t>6</w:t>
            </w:r>
          </w:p>
        </w:tc>
        <w:tc>
          <w:tcPr>
            <w:tcW w:w="1170" w:type="dxa"/>
          </w:tcPr>
          <w:p w:rsidR="00F977E4" w:rsidRPr="005B105D" w:rsidRDefault="00F977E4" w:rsidP="00762BAA">
            <w:pPr>
              <w:ind w:left="-108"/>
              <w:jc w:val="center"/>
            </w:pPr>
            <w:r w:rsidRPr="005B105D">
              <w:t>-6</w:t>
            </w:r>
          </w:p>
        </w:tc>
      </w:tr>
      <w:tr w:rsidR="00F977E4" w:rsidRPr="005B105D">
        <w:tc>
          <w:tcPr>
            <w:tcW w:w="360" w:type="dxa"/>
          </w:tcPr>
          <w:p w:rsidR="00F977E4" w:rsidRPr="005B105D" w:rsidRDefault="00F977E4" w:rsidP="00762BAA">
            <w:pPr>
              <w:ind w:right="-540"/>
            </w:pPr>
            <w:r w:rsidRPr="005B105D">
              <w:t>d.</w:t>
            </w:r>
          </w:p>
        </w:tc>
        <w:tc>
          <w:tcPr>
            <w:tcW w:w="1530" w:type="dxa"/>
          </w:tcPr>
          <w:p w:rsidR="00F977E4" w:rsidRPr="005B105D" w:rsidRDefault="00F977E4" w:rsidP="00762BAA">
            <w:pPr>
              <w:ind w:right="-72"/>
              <w:jc w:val="center"/>
            </w:pPr>
            <w:r w:rsidRPr="005B105D">
              <w:t>0</w:t>
            </w:r>
          </w:p>
        </w:tc>
        <w:tc>
          <w:tcPr>
            <w:tcW w:w="1350" w:type="dxa"/>
          </w:tcPr>
          <w:p w:rsidR="00F977E4" w:rsidRPr="005B105D" w:rsidRDefault="00F977E4" w:rsidP="00762BAA">
            <w:pPr>
              <w:ind w:left="1138" w:hanging="1138"/>
              <w:jc w:val="center"/>
            </w:pPr>
            <w:r w:rsidRPr="005B105D">
              <w:t>6</w:t>
            </w:r>
          </w:p>
        </w:tc>
        <w:tc>
          <w:tcPr>
            <w:tcW w:w="1170" w:type="dxa"/>
          </w:tcPr>
          <w:p w:rsidR="00F977E4" w:rsidRPr="005B105D" w:rsidRDefault="00F977E4" w:rsidP="00762BAA">
            <w:pPr>
              <w:ind w:left="-108"/>
              <w:jc w:val="center"/>
            </w:pPr>
            <w:r w:rsidRPr="005B105D">
              <w:t>-6</w:t>
            </w:r>
          </w:p>
        </w:tc>
      </w:tr>
      <w:tr w:rsidR="00F977E4" w:rsidRPr="005B105D">
        <w:tc>
          <w:tcPr>
            <w:tcW w:w="360" w:type="dxa"/>
          </w:tcPr>
          <w:p w:rsidR="00F977E4" w:rsidRPr="005B105D" w:rsidRDefault="00F977E4" w:rsidP="00762BAA">
            <w:pPr>
              <w:ind w:right="-540"/>
            </w:pPr>
            <w:r w:rsidRPr="005B105D">
              <w:t>e.</w:t>
            </w:r>
          </w:p>
        </w:tc>
        <w:tc>
          <w:tcPr>
            <w:tcW w:w="1530" w:type="dxa"/>
          </w:tcPr>
          <w:p w:rsidR="00F977E4" w:rsidRPr="005B105D" w:rsidRDefault="00F977E4" w:rsidP="00762BAA">
            <w:pPr>
              <w:ind w:right="-72"/>
              <w:jc w:val="center"/>
            </w:pPr>
            <w:r w:rsidRPr="005B105D">
              <w:t>0</w:t>
            </w:r>
          </w:p>
        </w:tc>
        <w:tc>
          <w:tcPr>
            <w:tcW w:w="1350" w:type="dxa"/>
          </w:tcPr>
          <w:p w:rsidR="00F977E4" w:rsidRPr="005B105D" w:rsidRDefault="00F977E4" w:rsidP="00762BAA">
            <w:pPr>
              <w:ind w:left="1138" w:hanging="1138"/>
              <w:jc w:val="center"/>
            </w:pPr>
            <w:r w:rsidRPr="005B105D">
              <w:t>6</w:t>
            </w:r>
          </w:p>
        </w:tc>
        <w:tc>
          <w:tcPr>
            <w:tcW w:w="1170" w:type="dxa"/>
          </w:tcPr>
          <w:p w:rsidR="00F977E4" w:rsidRPr="005B105D" w:rsidRDefault="00F977E4" w:rsidP="00762BAA">
            <w:pPr>
              <w:ind w:left="-108"/>
              <w:jc w:val="center"/>
            </w:pPr>
            <w:r w:rsidRPr="005B105D">
              <w:t>-6</w:t>
            </w:r>
          </w:p>
        </w:tc>
      </w:tr>
    </w:tbl>
    <w:p w:rsidR="00F977E4" w:rsidRDefault="00F977E4" w:rsidP="00F977E4"/>
    <w:p w:rsidR="00BE3CAD" w:rsidRDefault="00BE3CAD" w:rsidP="002452F2">
      <w:pPr>
        <w:pStyle w:val="ListParagraph"/>
        <w:numPr>
          <w:ilvl w:val="0"/>
          <w:numId w:val="1"/>
        </w:numPr>
        <w:ind w:leftChars="0"/>
      </w:pPr>
      <w:r>
        <w:t>The spread will widen.  Deterioration of the economy increases credit risk, that is, the likelihood of default.  Investors will demand a greater premium on debt securities subject to default risk.</w:t>
      </w:r>
    </w:p>
    <w:p w:rsidR="00BE3CAD" w:rsidRDefault="00BE3CAD" w:rsidP="00BE3CAD">
      <w:pPr>
        <w:ind w:left="720"/>
      </w:pPr>
    </w:p>
    <w:p w:rsidR="00BE3CAD" w:rsidRDefault="00B91794" w:rsidP="002452F2">
      <w:pPr>
        <w:numPr>
          <w:ilvl w:val="0"/>
          <w:numId w:val="1"/>
        </w:numPr>
      </w:pPr>
      <w:r>
        <w:rPr>
          <w:rFonts w:eastAsia="MS Mincho" w:hint="eastAsia"/>
          <w:lang w:eastAsia="ja-JP"/>
        </w:rPr>
        <w:t>Six</w:t>
      </w:r>
      <w:r w:rsidRPr="00242CCC">
        <w:t xml:space="preserve"> stock</w:t>
      </w:r>
      <w:r>
        <w:t>s have a 52</w:t>
      </w:r>
      <w:r>
        <w:rPr>
          <w:rFonts w:eastAsia="MS Mincho" w:hint="eastAsia"/>
          <w:lang w:eastAsia="ja-JP"/>
        </w:rPr>
        <w:t>-</w:t>
      </w:r>
      <w:r>
        <w:t xml:space="preserve">week high at least </w:t>
      </w:r>
      <w:r>
        <w:rPr>
          <w:rFonts w:eastAsia="MS Mincho" w:hint="eastAsia"/>
          <w:lang w:eastAsia="ja-JP"/>
        </w:rPr>
        <w:t>4</w:t>
      </w:r>
      <w:r w:rsidRPr="00242CCC">
        <w:t>0% above the 52</w:t>
      </w:r>
      <w:r>
        <w:rPr>
          <w:rFonts w:eastAsia="MS Mincho" w:hint="eastAsia"/>
          <w:lang w:eastAsia="ja-JP"/>
        </w:rPr>
        <w:t>-</w:t>
      </w:r>
      <w:r w:rsidRPr="00242CCC">
        <w:t xml:space="preserve">week low. </w:t>
      </w:r>
      <w:r>
        <w:rPr>
          <w:rFonts w:eastAsia="MS Mincho" w:hint="eastAsia"/>
          <w:lang w:eastAsia="ja-JP"/>
        </w:rPr>
        <w:t>It can be concluded that i</w:t>
      </w:r>
      <w:r w:rsidRPr="00242CCC">
        <w:t>ndividual stocks are much more volatile than a group of stocks</w:t>
      </w:r>
      <w:r w:rsidR="00BE3CAD" w:rsidRPr="00242CCC">
        <w:t xml:space="preserve">. </w:t>
      </w:r>
    </w:p>
    <w:p w:rsidR="004112DD" w:rsidRDefault="004112DD" w:rsidP="004112DD">
      <w:pPr>
        <w:ind w:left="720"/>
      </w:pPr>
    </w:p>
    <w:tbl>
      <w:tblPr>
        <w:tblW w:w="371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00"/>
        <w:gridCol w:w="1857"/>
      </w:tblGrid>
      <w:tr w:rsidR="004112DD" w:rsidRPr="004112DD" w:rsidTr="004112DD">
        <w:trPr>
          <w:trHeight w:val="144"/>
          <w:jc w:val="center"/>
        </w:trPr>
        <w:tc>
          <w:tcPr>
            <w:tcW w:w="958" w:type="dxa"/>
            <w:shd w:val="clear" w:color="auto" w:fill="auto"/>
            <w:noWrap/>
            <w:vAlign w:val="bottom"/>
            <w:hideMark/>
          </w:tcPr>
          <w:p w:rsidR="004112DD" w:rsidRPr="004112DD" w:rsidRDefault="004112DD" w:rsidP="004112DD">
            <w:pPr>
              <w:jc w:val="center"/>
              <w:rPr>
                <w:rFonts w:eastAsia="Times New Roman"/>
                <w:b/>
                <w:color w:val="000000"/>
                <w:sz w:val="22"/>
                <w:szCs w:val="22"/>
              </w:rPr>
            </w:pPr>
            <w:r w:rsidRPr="004112DD">
              <w:rPr>
                <w:rFonts w:eastAsia="Times New Roman"/>
                <w:b/>
                <w:color w:val="000000"/>
                <w:sz w:val="22"/>
                <w:szCs w:val="22"/>
              </w:rPr>
              <w:t>52-wk high</w:t>
            </w:r>
          </w:p>
        </w:tc>
        <w:tc>
          <w:tcPr>
            <w:tcW w:w="900" w:type="dxa"/>
            <w:shd w:val="clear" w:color="auto" w:fill="auto"/>
            <w:noWrap/>
            <w:vAlign w:val="bottom"/>
            <w:hideMark/>
          </w:tcPr>
          <w:p w:rsidR="004112DD" w:rsidRPr="004112DD" w:rsidRDefault="004112DD" w:rsidP="004112DD">
            <w:pPr>
              <w:jc w:val="center"/>
              <w:rPr>
                <w:rFonts w:eastAsia="Times New Roman"/>
                <w:b/>
                <w:color w:val="000000"/>
                <w:sz w:val="22"/>
                <w:szCs w:val="22"/>
              </w:rPr>
            </w:pPr>
            <w:r w:rsidRPr="004112DD">
              <w:rPr>
                <w:rFonts w:eastAsia="Times New Roman"/>
                <w:b/>
                <w:color w:val="000000"/>
                <w:sz w:val="22"/>
                <w:szCs w:val="22"/>
              </w:rPr>
              <w:t>52-wk low</w:t>
            </w:r>
          </w:p>
        </w:tc>
        <w:tc>
          <w:tcPr>
            <w:tcW w:w="1857" w:type="dxa"/>
            <w:shd w:val="clear" w:color="auto" w:fill="auto"/>
            <w:noWrap/>
            <w:vAlign w:val="bottom"/>
            <w:hideMark/>
          </w:tcPr>
          <w:p w:rsidR="004112DD" w:rsidRPr="004112DD" w:rsidRDefault="004112DD" w:rsidP="004112DD">
            <w:pPr>
              <w:jc w:val="center"/>
              <w:rPr>
                <w:rFonts w:eastAsia="Times New Roman"/>
                <w:b/>
                <w:color w:val="000000"/>
                <w:sz w:val="22"/>
                <w:szCs w:val="22"/>
              </w:rPr>
            </w:pPr>
            <w:r w:rsidRPr="004112DD">
              <w:rPr>
                <w:rFonts w:eastAsia="Times New Roman"/>
                <w:b/>
                <w:color w:val="000000"/>
                <w:sz w:val="22"/>
                <w:szCs w:val="22"/>
              </w:rPr>
              <w:t>Price ratio (High-Low)/Low</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46.84</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36.13</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0.30</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76.82</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56.57</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0.36</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32.44</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14.02</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1.31</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37.39</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25.5</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0.47</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69.87</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45.27</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0.54</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14.07</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12.12</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0.16</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19.77</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15.01</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0.32</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62.5</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39.01</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0.60</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34.61</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20.21</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0.71</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128.34</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83.61</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0.53</w:t>
            </w:r>
          </w:p>
        </w:tc>
      </w:tr>
      <w:tr w:rsidR="006F2CBC" w:rsidRPr="004112DD" w:rsidTr="004112DD">
        <w:trPr>
          <w:trHeight w:val="144"/>
          <w:jc w:val="center"/>
        </w:trPr>
        <w:tc>
          <w:tcPr>
            <w:tcW w:w="958"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28.09</w:t>
            </w:r>
          </w:p>
        </w:tc>
        <w:tc>
          <w:tcPr>
            <w:tcW w:w="900" w:type="dxa"/>
            <w:shd w:val="clear" w:color="auto" w:fill="auto"/>
            <w:noWrap/>
            <w:vAlign w:val="bottom"/>
            <w:hideMark/>
          </w:tcPr>
          <w:p w:rsidR="006F2CBC" w:rsidRPr="004112DD" w:rsidRDefault="006F2CBC" w:rsidP="004112DD">
            <w:pPr>
              <w:jc w:val="right"/>
              <w:rPr>
                <w:rFonts w:eastAsia="Times New Roman"/>
                <w:color w:val="000000"/>
                <w:sz w:val="22"/>
                <w:szCs w:val="22"/>
              </w:rPr>
            </w:pPr>
            <w:r>
              <w:rPr>
                <w:rFonts w:ascii="Calibri" w:hAnsi="Calibri"/>
                <w:color w:val="000000"/>
                <w:sz w:val="22"/>
                <w:szCs w:val="22"/>
              </w:rPr>
              <w:t>23.5</w:t>
            </w:r>
          </w:p>
        </w:tc>
        <w:tc>
          <w:tcPr>
            <w:tcW w:w="1857" w:type="dxa"/>
            <w:shd w:val="clear" w:color="auto" w:fill="auto"/>
            <w:noWrap/>
            <w:vAlign w:val="bottom"/>
            <w:hideMark/>
          </w:tcPr>
          <w:p w:rsidR="006F2CBC" w:rsidRPr="004112DD" w:rsidRDefault="006F2CBC" w:rsidP="004112DD">
            <w:pPr>
              <w:jc w:val="center"/>
              <w:rPr>
                <w:rFonts w:eastAsia="Times New Roman"/>
                <w:color w:val="000000"/>
                <w:sz w:val="22"/>
                <w:szCs w:val="22"/>
              </w:rPr>
            </w:pPr>
            <w:r>
              <w:rPr>
                <w:rFonts w:ascii="Calibri" w:hAnsi="Calibri"/>
                <w:color w:val="000000"/>
                <w:sz w:val="22"/>
                <w:szCs w:val="22"/>
              </w:rPr>
              <w:t>0.20</w:t>
            </w:r>
          </w:p>
        </w:tc>
      </w:tr>
    </w:tbl>
    <w:p w:rsidR="004112DD" w:rsidRPr="00242CCC" w:rsidRDefault="004112DD" w:rsidP="004112DD">
      <w:pPr>
        <w:ind w:left="720"/>
      </w:pPr>
    </w:p>
    <w:p w:rsidR="00BE3CAD" w:rsidRDefault="00BE3CAD" w:rsidP="00BE3CAD">
      <w:pPr>
        <w:ind w:left="720"/>
      </w:pPr>
    </w:p>
    <w:p w:rsidR="001F764D" w:rsidRDefault="00BE3CAD" w:rsidP="001F764D">
      <w:pPr>
        <w:numPr>
          <w:ilvl w:val="0"/>
          <w:numId w:val="1"/>
        </w:numPr>
      </w:pPr>
      <w:r>
        <w:t>The total before-tax income is</w:t>
      </w:r>
      <w:r w:rsidR="001F764D">
        <w:t xml:space="preserve"> $4. The </w:t>
      </w:r>
      <w:r w:rsidR="006D6DB7">
        <w:t>c</w:t>
      </w:r>
      <w:r w:rsidR="001F764D">
        <w:t>orporations may exclude 70% of dividends received from domestic corporations in the computation of their taxable income</w:t>
      </w:r>
      <w:r w:rsidR="006D6DB7">
        <w:t>;</w:t>
      </w:r>
      <w:r w:rsidR="001F764D">
        <w:t xml:space="preserve"> the taxable income is therefore: $4 x 30% = $1.20</w:t>
      </w:r>
      <w:r w:rsidR="006D6DB7">
        <w:t>.</w:t>
      </w:r>
    </w:p>
    <w:p w:rsidR="001F764D" w:rsidRDefault="001F764D" w:rsidP="001F764D">
      <w:pPr>
        <w:ind w:left="720"/>
      </w:pPr>
      <w:r>
        <w:t xml:space="preserve">Income </w:t>
      </w:r>
      <w:r w:rsidR="006D6DB7">
        <w:t>t</w:t>
      </w:r>
      <w:r>
        <w:t>ax in the 30% tax bracket: $1.2 x 30% = $0.36</w:t>
      </w:r>
    </w:p>
    <w:p w:rsidR="001F764D" w:rsidRDefault="001F764D" w:rsidP="001F764D">
      <w:pPr>
        <w:ind w:left="720"/>
      </w:pPr>
      <w:r>
        <w:t>After-tax income</w:t>
      </w:r>
      <w:r w:rsidR="00BE3CAD">
        <w:t xml:space="preserve"> = $4 – $0.36 = $3.64</w:t>
      </w:r>
    </w:p>
    <w:p w:rsidR="00BE3CAD" w:rsidRDefault="00BE3CAD" w:rsidP="001F764D">
      <w:pPr>
        <w:ind w:left="720"/>
      </w:pPr>
      <w:r>
        <w:t>Aft</w:t>
      </w:r>
      <w:r w:rsidR="006D6DB7">
        <w:t>er-tax rate of return = $3.64/</w:t>
      </w:r>
      <w:r>
        <w:t xml:space="preserve">$40 = </w:t>
      </w:r>
      <w:r w:rsidR="006D6DB7">
        <w:t xml:space="preserve">0.091 or </w:t>
      </w:r>
      <w:r>
        <w:t>9.10%</w:t>
      </w:r>
    </w:p>
    <w:p w:rsidR="00BE3CAD" w:rsidRDefault="00BE3CAD" w:rsidP="00BE3CAD">
      <w:pPr>
        <w:ind w:left="720"/>
      </w:pPr>
    </w:p>
    <w:p w:rsidR="006D44A8" w:rsidRDefault="00F977E4" w:rsidP="002452F2">
      <w:pPr>
        <w:numPr>
          <w:ilvl w:val="0"/>
          <w:numId w:val="1"/>
        </w:numPr>
      </w:pPr>
      <w:r>
        <w:t>A put option conveys the right to sell the underlying asset at the exercise price.  A short position in a futures contract carries an obligation to sell the underlying asset at the futures price.</w:t>
      </w:r>
    </w:p>
    <w:p w:rsidR="006D44A8" w:rsidRDefault="006D44A8" w:rsidP="006D44A8">
      <w:pPr>
        <w:ind w:left="720"/>
      </w:pPr>
    </w:p>
    <w:p w:rsidR="00F977E4" w:rsidRDefault="00F977E4" w:rsidP="002452F2">
      <w:pPr>
        <w:numPr>
          <w:ilvl w:val="0"/>
          <w:numId w:val="1"/>
        </w:numPr>
      </w:pPr>
      <w:r>
        <w:t>A call option conveys the right to buy the underlying asset at the exercise price.  A long position in a futures contract carries an obligation to buy the underlying asset at the futures price.</w:t>
      </w:r>
    </w:p>
    <w:p w:rsidR="00F977E4" w:rsidRDefault="00F977E4" w:rsidP="00F977E4"/>
    <w:p w:rsidR="00432770" w:rsidRDefault="006D44A8" w:rsidP="00432770">
      <w:r>
        <w:t xml:space="preserve">CFA 1 </w:t>
      </w:r>
    </w:p>
    <w:p w:rsidR="001B433C" w:rsidRDefault="00432770" w:rsidP="00432770">
      <w:pPr>
        <w:rPr>
          <w:lang w:eastAsia="zh-TW"/>
        </w:rPr>
      </w:pPr>
      <w:r>
        <w:tab/>
        <w:t>Answer: c</w:t>
      </w:r>
      <w:r w:rsidR="006D6DB7">
        <w:t>. Taxation</w:t>
      </w:r>
    </w:p>
    <w:sectPr w:rsidR="001B433C" w:rsidSect="00B5784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789" w:rsidRDefault="00722789">
      <w:r>
        <w:separator/>
      </w:r>
    </w:p>
  </w:endnote>
  <w:endnote w:type="continuationSeparator" w:id="0">
    <w:p w:rsidR="00722789" w:rsidRDefault="0072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35" w:rsidRDefault="00B32735" w:rsidP="00762B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2735" w:rsidRDefault="00B327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7C" w:rsidRDefault="00BC687C" w:rsidP="00BC687C">
    <w:pPr>
      <w:pStyle w:val="Footer"/>
      <w:jc w:val="center"/>
      <w:rPr>
        <w:sz w:val="18"/>
      </w:rPr>
    </w:pPr>
    <w:r>
      <w:rPr>
        <w:bCs/>
        <w:sz w:val="18"/>
      </w:rPr>
      <w:t>Copyright © 2017 McGraw-Hill Education. All rights reserved. No reproduction or distribution without the prior written consent of McGraw-Hill Education.</w:t>
    </w:r>
  </w:p>
  <w:p w:rsidR="00B32735" w:rsidRPr="00930C91" w:rsidRDefault="00B32735">
    <w:pPr>
      <w:pStyle w:val="Footer"/>
      <w:rPr>
        <w:sz w:val="20"/>
        <w:szCs w:val="20"/>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7C" w:rsidRDefault="00BC6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789" w:rsidRDefault="00722789">
      <w:r>
        <w:separator/>
      </w:r>
    </w:p>
  </w:footnote>
  <w:footnote w:type="continuationSeparator" w:id="0">
    <w:p w:rsidR="00722789" w:rsidRDefault="00722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7C" w:rsidRDefault="00BC68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735" w:rsidRPr="00930C91" w:rsidRDefault="00B32735" w:rsidP="00930C91">
    <w:pPr>
      <w:rPr>
        <w:sz w:val="20"/>
        <w:szCs w:val="20"/>
      </w:rPr>
    </w:pPr>
    <w:r w:rsidRPr="00930C91">
      <w:rPr>
        <w:sz w:val="20"/>
        <w:szCs w:val="20"/>
      </w:rPr>
      <w:t>Chapter 02 - Asset Classes and Financial Instruments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7C" w:rsidRDefault="00BC68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E9A"/>
    <w:multiLevelType w:val="hybridMultilevel"/>
    <w:tmpl w:val="1D303A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6623B0"/>
    <w:multiLevelType w:val="hybridMultilevel"/>
    <w:tmpl w:val="BEF680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C94EA5"/>
    <w:multiLevelType w:val="hybridMultilevel"/>
    <w:tmpl w:val="9ABE0D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D1176F"/>
    <w:multiLevelType w:val="hybridMultilevel"/>
    <w:tmpl w:val="4BF2167E"/>
    <w:lvl w:ilvl="0" w:tplc="AF8ABE34">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A505B5"/>
    <w:multiLevelType w:val="hybridMultilevel"/>
    <w:tmpl w:val="23D02F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F37FE0"/>
    <w:multiLevelType w:val="hybridMultilevel"/>
    <w:tmpl w:val="A3A23002"/>
    <w:lvl w:ilvl="0" w:tplc="D21623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B8702F"/>
    <w:multiLevelType w:val="hybridMultilevel"/>
    <w:tmpl w:val="A3A23002"/>
    <w:lvl w:ilvl="0" w:tplc="D21623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EF6A4D"/>
    <w:multiLevelType w:val="hybridMultilevel"/>
    <w:tmpl w:val="51826760"/>
    <w:lvl w:ilvl="0" w:tplc="8B2CB460">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3B5686"/>
    <w:multiLevelType w:val="hybridMultilevel"/>
    <w:tmpl w:val="4C5E11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363F67"/>
    <w:multiLevelType w:val="hybridMultilevel"/>
    <w:tmpl w:val="17766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731D7E"/>
    <w:multiLevelType w:val="hybridMultilevel"/>
    <w:tmpl w:val="273ED61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99C2030"/>
    <w:multiLevelType w:val="hybridMultilevel"/>
    <w:tmpl w:val="19BCA8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53A5B55"/>
    <w:multiLevelType w:val="hybridMultilevel"/>
    <w:tmpl w:val="2966B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DD1F94"/>
    <w:multiLevelType w:val="hybridMultilevel"/>
    <w:tmpl w:val="A3A23002"/>
    <w:lvl w:ilvl="0" w:tplc="D21623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92295E"/>
    <w:multiLevelType w:val="hybridMultilevel"/>
    <w:tmpl w:val="407422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6D775C"/>
    <w:multiLevelType w:val="hybridMultilevel"/>
    <w:tmpl w:val="9F307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D92B38"/>
    <w:multiLevelType w:val="hybridMultilevel"/>
    <w:tmpl w:val="A3A23002"/>
    <w:lvl w:ilvl="0" w:tplc="D216238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822771"/>
    <w:multiLevelType w:val="hybridMultilevel"/>
    <w:tmpl w:val="407422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865EDB"/>
    <w:multiLevelType w:val="hybridMultilevel"/>
    <w:tmpl w:val="6380B48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79771723"/>
    <w:multiLevelType w:val="hybridMultilevel"/>
    <w:tmpl w:val="92A0B1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F16A86"/>
    <w:multiLevelType w:val="hybridMultilevel"/>
    <w:tmpl w:val="DAC2D53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6"/>
  </w:num>
  <w:num w:numId="2">
    <w:abstractNumId w:val="18"/>
  </w:num>
  <w:num w:numId="3">
    <w:abstractNumId w:val="11"/>
  </w:num>
  <w:num w:numId="4">
    <w:abstractNumId w:val="10"/>
  </w:num>
  <w:num w:numId="5">
    <w:abstractNumId w:val="8"/>
  </w:num>
  <w:num w:numId="6">
    <w:abstractNumId w:val="4"/>
  </w:num>
  <w:num w:numId="7">
    <w:abstractNumId w:val="0"/>
  </w:num>
  <w:num w:numId="8">
    <w:abstractNumId w:val="15"/>
  </w:num>
  <w:num w:numId="9">
    <w:abstractNumId w:val="19"/>
  </w:num>
  <w:num w:numId="10">
    <w:abstractNumId w:val="7"/>
  </w:num>
  <w:num w:numId="11">
    <w:abstractNumId w:val="9"/>
  </w:num>
  <w:num w:numId="12">
    <w:abstractNumId w:val="2"/>
  </w:num>
  <w:num w:numId="13">
    <w:abstractNumId w:val="20"/>
  </w:num>
  <w:num w:numId="14">
    <w:abstractNumId w:val="12"/>
  </w:num>
  <w:num w:numId="15">
    <w:abstractNumId w:val="1"/>
  </w:num>
  <w:num w:numId="16">
    <w:abstractNumId w:val="17"/>
  </w:num>
  <w:num w:numId="17">
    <w:abstractNumId w:val="14"/>
  </w:num>
  <w:num w:numId="18">
    <w:abstractNumId w:val="3"/>
  </w:num>
  <w:num w:numId="19">
    <w:abstractNumId w:val="5"/>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4C"/>
    <w:rsid w:val="00006C19"/>
    <w:rsid w:val="00021C05"/>
    <w:rsid w:val="000300BE"/>
    <w:rsid w:val="00053607"/>
    <w:rsid w:val="000745E4"/>
    <w:rsid w:val="000D507F"/>
    <w:rsid w:val="000D73C1"/>
    <w:rsid w:val="000E02D7"/>
    <w:rsid w:val="000E4B1F"/>
    <w:rsid w:val="000F6640"/>
    <w:rsid w:val="00102424"/>
    <w:rsid w:val="00105CAE"/>
    <w:rsid w:val="00105F7D"/>
    <w:rsid w:val="0011786C"/>
    <w:rsid w:val="00126988"/>
    <w:rsid w:val="0013410A"/>
    <w:rsid w:val="001373E9"/>
    <w:rsid w:val="00137FB4"/>
    <w:rsid w:val="0014127B"/>
    <w:rsid w:val="00145261"/>
    <w:rsid w:val="0014643C"/>
    <w:rsid w:val="001504DF"/>
    <w:rsid w:val="00162B3F"/>
    <w:rsid w:val="001760A1"/>
    <w:rsid w:val="001A1080"/>
    <w:rsid w:val="001B3473"/>
    <w:rsid w:val="001B433C"/>
    <w:rsid w:val="001C008C"/>
    <w:rsid w:val="001C12B2"/>
    <w:rsid w:val="001D2642"/>
    <w:rsid w:val="001D3A61"/>
    <w:rsid w:val="001F764D"/>
    <w:rsid w:val="00201AC3"/>
    <w:rsid w:val="0021172E"/>
    <w:rsid w:val="00225CD5"/>
    <w:rsid w:val="00232774"/>
    <w:rsid w:val="00234984"/>
    <w:rsid w:val="00236054"/>
    <w:rsid w:val="00242CCC"/>
    <w:rsid w:val="002452F2"/>
    <w:rsid w:val="002523F0"/>
    <w:rsid w:val="0026195C"/>
    <w:rsid w:val="00281331"/>
    <w:rsid w:val="002864E2"/>
    <w:rsid w:val="002971D7"/>
    <w:rsid w:val="002A333C"/>
    <w:rsid w:val="002A69CA"/>
    <w:rsid w:val="002C05D7"/>
    <w:rsid w:val="002C793C"/>
    <w:rsid w:val="00320121"/>
    <w:rsid w:val="00342382"/>
    <w:rsid w:val="0035135D"/>
    <w:rsid w:val="00351C84"/>
    <w:rsid w:val="0035312B"/>
    <w:rsid w:val="00363D72"/>
    <w:rsid w:val="0037324C"/>
    <w:rsid w:val="00375389"/>
    <w:rsid w:val="00381029"/>
    <w:rsid w:val="00381230"/>
    <w:rsid w:val="00386B16"/>
    <w:rsid w:val="00387546"/>
    <w:rsid w:val="00391D00"/>
    <w:rsid w:val="003A3CA6"/>
    <w:rsid w:val="003A604C"/>
    <w:rsid w:val="003F3F3D"/>
    <w:rsid w:val="004044D7"/>
    <w:rsid w:val="004112DD"/>
    <w:rsid w:val="00432770"/>
    <w:rsid w:val="004612E9"/>
    <w:rsid w:val="00471F1A"/>
    <w:rsid w:val="00473FBF"/>
    <w:rsid w:val="0047610F"/>
    <w:rsid w:val="00491689"/>
    <w:rsid w:val="004A19BB"/>
    <w:rsid w:val="004D1453"/>
    <w:rsid w:val="004D159B"/>
    <w:rsid w:val="004E3BCF"/>
    <w:rsid w:val="004F2C0E"/>
    <w:rsid w:val="00503079"/>
    <w:rsid w:val="00503F5A"/>
    <w:rsid w:val="00504B82"/>
    <w:rsid w:val="00505210"/>
    <w:rsid w:val="005136C8"/>
    <w:rsid w:val="00517623"/>
    <w:rsid w:val="005215FF"/>
    <w:rsid w:val="005335DF"/>
    <w:rsid w:val="00540DA9"/>
    <w:rsid w:val="00563B18"/>
    <w:rsid w:val="00566DC4"/>
    <w:rsid w:val="0057357D"/>
    <w:rsid w:val="00597193"/>
    <w:rsid w:val="005A14DC"/>
    <w:rsid w:val="005B044C"/>
    <w:rsid w:val="005B105D"/>
    <w:rsid w:val="005D1E48"/>
    <w:rsid w:val="005E6A36"/>
    <w:rsid w:val="005E7DE2"/>
    <w:rsid w:val="005F2E67"/>
    <w:rsid w:val="005F7DD4"/>
    <w:rsid w:val="00613DBC"/>
    <w:rsid w:val="00617C3F"/>
    <w:rsid w:val="0062301E"/>
    <w:rsid w:val="00641A8B"/>
    <w:rsid w:val="00642624"/>
    <w:rsid w:val="006A46C5"/>
    <w:rsid w:val="006A6195"/>
    <w:rsid w:val="006B1276"/>
    <w:rsid w:val="006C0E96"/>
    <w:rsid w:val="006C688B"/>
    <w:rsid w:val="006D44A8"/>
    <w:rsid w:val="006D6DB7"/>
    <w:rsid w:val="006F2CBC"/>
    <w:rsid w:val="006F4B95"/>
    <w:rsid w:val="006F7933"/>
    <w:rsid w:val="0070463C"/>
    <w:rsid w:val="00707058"/>
    <w:rsid w:val="0071300A"/>
    <w:rsid w:val="007153CC"/>
    <w:rsid w:val="00722789"/>
    <w:rsid w:val="007422D2"/>
    <w:rsid w:val="00762BAA"/>
    <w:rsid w:val="00763B3F"/>
    <w:rsid w:val="007811F9"/>
    <w:rsid w:val="007A11DA"/>
    <w:rsid w:val="007B59D3"/>
    <w:rsid w:val="007B5A10"/>
    <w:rsid w:val="007D29C9"/>
    <w:rsid w:val="007E3AEB"/>
    <w:rsid w:val="007F0A85"/>
    <w:rsid w:val="008054EC"/>
    <w:rsid w:val="008063F9"/>
    <w:rsid w:val="00814749"/>
    <w:rsid w:val="00825002"/>
    <w:rsid w:val="0082743F"/>
    <w:rsid w:val="00835360"/>
    <w:rsid w:val="0085298A"/>
    <w:rsid w:val="00855802"/>
    <w:rsid w:val="00857C48"/>
    <w:rsid w:val="00866D9D"/>
    <w:rsid w:val="00877225"/>
    <w:rsid w:val="008C55B1"/>
    <w:rsid w:val="008E15D0"/>
    <w:rsid w:val="008E4FB7"/>
    <w:rsid w:val="008E6064"/>
    <w:rsid w:val="008F02E0"/>
    <w:rsid w:val="00930C91"/>
    <w:rsid w:val="00937C87"/>
    <w:rsid w:val="00940245"/>
    <w:rsid w:val="0096590A"/>
    <w:rsid w:val="009702DD"/>
    <w:rsid w:val="00975877"/>
    <w:rsid w:val="009A791B"/>
    <w:rsid w:val="009D597B"/>
    <w:rsid w:val="009E7276"/>
    <w:rsid w:val="009F1E8B"/>
    <w:rsid w:val="009F268B"/>
    <w:rsid w:val="00A1402A"/>
    <w:rsid w:val="00A50DD9"/>
    <w:rsid w:val="00A77504"/>
    <w:rsid w:val="00A91CEA"/>
    <w:rsid w:val="00AC2856"/>
    <w:rsid w:val="00AE0C35"/>
    <w:rsid w:val="00AE0EF7"/>
    <w:rsid w:val="00AE473B"/>
    <w:rsid w:val="00AF6C4A"/>
    <w:rsid w:val="00B1603B"/>
    <w:rsid w:val="00B32735"/>
    <w:rsid w:val="00B33E61"/>
    <w:rsid w:val="00B37D59"/>
    <w:rsid w:val="00B416EF"/>
    <w:rsid w:val="00B57849"/>
    <w:rsid w:val="00B77899"/>
    <w:rsid w:val="00B91794"/>
    <w:rsid w:val="00BB30B8"/>
    <w:rsid w:val="00BB3562"/>
    <w:rsid w:val="00BB6328"/>
    <w:rsid w:val="00BC2F7C"/>
    <w:rsid w:val="00BC3D46"/>
    <w:rsid w:val="00BC687C"/>
    <w:rsid w:val="00BE114D"/>
    <w:rsid w:val="00BE3CAD"/>
    <w:rsid w:val="00BF7ED5"/>
    <w:rsid w:val="00C006AB"/>
    <w:rsid w:val="00C202DA"/>
    <w:rsid w:val="00C37D26"/>
    <w:rsid w:val="00C40B81"/>
    <w:rsid w:val="00C42478"/>
    <w:rsid w:val="00C44E4E"/>
    <w:rsid w:val="00C549EF"/>
    <w:rsid w:val="00CA060F"/>
    <w:rsid w:val="00CB4414"/>
    <w:rsid w:val="00CC7AF5"/>
    <w:rsid w:val="00D06C3E"/>
    <w:rsid w:val="00D147F2"/>
    <w:rsid w:val="00D254D3"/>
    <w:rsid w:val="00D26D4A"/>
    <w:rsid w:val="00D329B2"/>
    <w:rsid w:val="00D348D7"/>
    <w:rsid w:val="00D46A4D"/>
    <w:rsid w:val="00D604DD"/>
    <w:rsid w:val="00DB3E49"/>
    <w:rsid w:val="00DD65DE"/>
    <w:rsid w:val="00DE7976"/>
    <w:rsid w:val="00DF10F3"/>
    <w:rsid w:val="00E32EED"/>
    <w:rsid w:val="00E334B6"/>
    <w:rsid w:val="00E3794E"/>
    <w:rsid w:val="00E52F73"/>
    <w:rsid w:val="00E575F0"/>
    <w:rsid w:val="00E704CC"/>
    <w:rsid w:val="00E77C3F"/>
    <w:rsid w:val="00E929CD"/>
    <w:rsid w:val="00EB3C2D"/>
    <w:rsid w:val="00EB7083"/>
    <w:rsid w:val="00EC24B5"/>
    <w:rsid w:val="00ED0F13"/>
    <w:rsid w:val="00EF7503"/>
    <w:rsid w:val="00F047AA"/>
    <w:rsid w:val="00F06A87"/>
    <w:rsid w:val="00F2007E"/>
    <w:rsid w:val="00F223A7"/>
    <w:rsid w:val="00F30939"/>
    <w:rsid w:val="00F4058A"/>
    <w:rsid w:val="00F44133"/>
    <w:rsid w:val="00F44976"/>
    <w:rsid w:val="00F5730D"/>
    <w:rsid w:val="00F60F0B"/>
    <w:rsid w:val="00F61B76"/>
    <w:rsid w:val="00F6430D"/>
    <w:rsid w:val="00F811AB"/>
    <w:rsid w:val="00F920A4"/>
    <w:rsid w:val="00F971E7"/>
    <w:rsid w:val="00F977E4"/>
    <w:rsid w:val="00FA0490"/>
    <w:rsid w:val="00FC15AE"/>
    <w:rsid w:val="00FC45CB"/>
    <w:rsid w:val="00FC5B54"/>
    <w:rsid w:val="00FF2886"/>
    <w:rsid w:val="00FF3D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2478"/>
    <w:rPr>
      <w:sz w:val="24"/>
      <w:szCs w:val="24"/>
      <w:lang w:eastAsia="en-US"/>
    </w:rPr>
  </w:style>
  <w:style w:type="paragraph" w:styleId="Heading1">
    <w:name w:val="heading 1"/>
    <w:basedOn w:val="Normal"/>
    <w:next w:val="Normal"/>
    <w:qFormat/>
    <w:rsid w:val="00F977E4"/>
    <w:pPr>
      <w:keepNext/>
      <w:tabs>
        <w:tab w:val="left" w:pos="440"/>
        <w:tab w:val="right" w:pos="1620"/>
        <w:tab w:val="right" w:pos="4760"/>
        <w:tab w:val="right" w:pos="6840"/>
        <w:tab w:val="left" w:pos="8640"/>
      </w:tabs>
      <w:ind w:right="-540"/>
      <w:outlineLvl w:val="0"/>
    </w:pPr>
    <w:rPr>
      <w:rFonts w:ascii="Times" w:hAnsi="Time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23F0"/>
    <w:pPr>
      <w:tabs>
        <w:tab w:val="center" w:pos="4320"/>
        <w:tab w:val="right" w:pos="8640"/>
      </w:tabs>
    </w:pPr>
  </w:style>
  <w:style w:type="character" w:styleId="PageNumber">
    <w:name w:val="page number"/>
    <w:basedOn w:val="DefaultParagraphFont"/>
    <w:rsid w:val="002523F0"/>
  </w:style>
  <w:style w:type="paragraph" w:styleId="Header">
    <w:name w:val="header"/>
    <w:basedOn w:val="Normal"/>
    <w:rsid w:val="002523F0"/>
    <w:pPr>
      <w:tabs>
        <w:tab w:val="center" w:pos="4320"/>
        <w:tab w:val="right" w:pos="8640"/>
      </w:tabs>
    </w:pPr>
  </w:style>
  <w:style w:type="paragraph" w:customStyle="1" w:styleId="1">
    <w:name w:val="清單段落1"/>
    <w:basedOn w:val="Normal"/>
    <w:uiPriority w:val="34"/>
    <w:qFormat/>
    <w:rsid w:val="005D1E48"/>
    <w:pPr>
      <w:ind w:left="720"/>
    </w:pPr>
  </w:style>
  <w:style w:type="paragraph" w:styleId="ListParagraph">
    <w:name w:val="List Paragraph"/>
    <w:basedOn w:val="Normal"/>
    <w:uiPriority w:val="34"/>
    <w:qFormat/>
    <w:rsid w:val="00BB3562"/>
    <w:pPr>
      <w:ind w:leftChars="200" w:left="480"/>
    </w:pPr>
  </w:style>
  <w:style w:type="paragraph" w:styleId="BalloonText">
    <w:name w:val="Balloon Text"/>
    <w:basedOn w:val="Normal"/>
    <w:link w:val="BalloonTextChar"/>
    <w:rsid w:val="00F971E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971E7"/>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F971E7"/>
    <w:rPr>
      <w:color w:val="808080"/>
    </w:rPr>
  </w:style>
  <w:style w:type="character" w:customStyle="1" w:styleId="FooterChar">
    <w:name w:val="Footer Char"/>
    <w:basedOn w:val="DefaultParagraphFont"/>
    <w:link w:val="Footer"/>
    <w:uiPriority w:val="99"/>
    <w:rsid w:val="00BC687C"/>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2478"/>
    <w:rPr>
      <w:sz w:val="24"/>
      <w:szCs w:val="24"/>
      <w:lang w:eastAsia="en-US"/>
    </w:rPr>
  </w:style>
  <w:style w:type="paragraph" w:styleId="Heading1">
    <w:name w:val="heading 1"/>
    <w:basedOn w:val="Normal"/>
    <w:next w:val="Normal"/>
    <w:qFormat/>
    <w:rsid w:val="00F977E4"/>
    <w:pPr>
      <w:keepNext/>
      <w:tabs>
        <w:tab w:val="left" w:pos="440"/>
        <w:tab w:val="right" w:pos="1620"/>
        <w:tab w:val="right" w:pos="4760"/>
        <w:tab w:val="right" w:pos="6840"/>
        <w:tab w:val="left" w:pos="8640"/>
      </w:tabs>
      <w:ind w:right="-540"/>
      <w:outlineLvl w:val="0"/>
    </w:pPr>
    <w:rPr>
      <w:rFonts w:ascii="Times" w:hAnsi="Time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23F0"/>
    <w:pPr>
      <w:tabs>
        <w:tab w:val="center" w:pos="4320"/>
        <w:tab w:val="right" w:pos="8640"/>
      </w:tabs>
    </w:pPr>
  </w:style>
  <w:style w:type="character" w:styleId="PageNumber">
    <w:name w:val="page number"/>
    <w:basedOn w:val="DefaultParagraphFont"/>
    <w:rsid w:val="002523F0"/>
  </w:style>
  <w:style w:type="paragraph" w:styleId="Header">
    <w:name w:val="header"/>
    <w:basedOn w:val="Normal"/>
    <w:rsid w:val="002523F0"/>
    <w:pPr>
      <w:tabs>
        <w:tab w:val="center" w:pos="4320"/>
        <w:tab w:val="right" w:pos="8640"/>
      </w:tabs>
    </w:pPr>
  </w:style>
  <w:style w:type="paragraph" w:customStyle="1" w:styleId="1">
    <w:name w:val="清單段落1"/>
    <w:basedOn w:val="Normal"/>
    <w:uiPriority w:val="34"/>
    <w:qFormat/>
    <w:rsid w:val="005D1E48"/>
    <w:pPr>
      <w:ind w:left="720"/>
    </w:pPr>
  </w:style>
  <w:style w:type="paragraph" w:styleId="ListParagraph">
    <w:name w:val="List Paragraph"/>
    <w:basedOn w:val="Normal"/>
    <w:uiPriority w:val="34"/>
    <w:qFormat/>
    <w:rsid w:val="00BB3562"/>
    <w:pPr>
      <w:ind w:leftChars="200" w:left="480"/>
    </w:pPr>
  </w:style>
  <w:style w:type="paragraph" w:styleId="BalloonText">
    <w:name w:val="Balloon Text"/>
    <w:basedOn w:val="Normal"/>
    <w:link w:val="BalloonTextChar"/>
    <w:rsid w:val="00F971E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971E7"/>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F971E7"/>
    <w:rPr>
      <w:color w:val="808080"/>
    </w:rPr>
  </w:style>
  <w:style w:type="character" w:customStyle="1" w:styleId="FooterChar">
    <w:name w:val="Footer Char"/>
    <w:basedOn w:val="DefaultParagraphFont"/>
    <w:link w:val="Footer"/>
    <w:uiPriority w:val="99"/>
    <w:rsid w:val="00BC687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7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752A0-067E-4704-9EA6-4E1D5E512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1792</Words>
  <Characters>7844</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Chapter 2</vt:lpstr>
    </vt:vector>
  </TitlesOfParts>
  <Company>Hewlett-Packard</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creator>.</dc:creator>
  <cp:lastModifiedBy>Bathurst, Noelle</cp:lastModifiedBy>
  <cp:revision>7</cp:revision>
  <cp:lastPrinted>2012-02-25T02:24:00Z</cp:lastPrinted>
  <dcterms:created xsi:type="dcterms:W3CDTF">2015-03-23T18:14:00Z</dcterms:created>
  <dcterms:modified xsi:type="dcterms:W3CDTF">2016-01-04T20:45:00Z</dcterms:modified>
</cp:coreProperties>
</file>