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10F" w:rsidRPr="000B7DCD" w:rsidRDefault="00943940" w:rsidP="000B7DCD">
      <w:pPr>
        <w:pStyle w:val="chapternumber"/>
        <w:keepLines/>
        <w:pageBreakBefore w:val="0"/>
      </w:pPr>
      <w:r w:rsidRPr="000B7DCD">
        <w:t xml:space="preserve">Chapter </w:t>
      </w:r>
      <w:r w:rsidR="000B7DCD">
        <w:t>0</w:t>
      </w:r>
      <w:r w:rsidRPr="000B7DCD">
        <w:t>4</w:t>
      </w:r>
    </w:p>
    <w:p w:rsidR="007A7FEA" w:rsidRPr="000B7DCD" w:rsidRDefault="00023F95" w:rsidP="000B7DCD">
      <w:pPr>
        <w:pStyle w:val="chapternumber"/>
        <w:keepLines/>
        <w:pageBreakBefore w:val="0"/>
      </w:pPr>
      <w:r w:rsidRPr="000B7DCD">
        <w:t>Mutual Funds and Other Investment Companies</w:t>
      </w:r>
    </w:p>
    <w:p w:rsidR="00171D7B" w:rsidRDefault="00171D7B" w:rsidP="00896CC5">
      <w:pPr>
        <w:keepLines/>
      </w:pPr>
    </w:p>
    <w:p w:rsidR="00023F95" w:rsidRDefault="00023F95" w:rsidP="00896CC5">
      <w:pPr>
        <w:keepLines/>
      </w:pPr>
    </w:p>
    <w:p w:rsidR="00023F95" w:rsidRDefault="00023F95" w:rsidP="00896CC5">
      <w:pPr>
        <w:keepLines/>
      </w:pPr>
    </w:p>
    <w:p w:rsidR="00F83B6B" w:rsidRDefault="007F1C55" w:rsidP="007F1C55">
      <w:pPr>
        <w:keepLines/>
        <w:numPr>
          <w:ilvl w:val="0"/>
          <w:numId w:val="22"/>
        </w:numPr>
        <w:spacing w:after="120"/>
      </w:pPr>
      <w:r w:rsidRPr="007F1C55">
        <w:t>Mutual funds offer many benefits. Some of those benefits include</w:t>
      </w:r>
      <w:r w:rsidR="00E05A17">
        <w:t>:</w:t>
      </w:r>
      <w:r w:rsidRPr="007F1C55">
        <w:t xml:space="preserve"> the ability to invest with small amounts of money, diversification, professional management, low transaction costs, tax benefits, and </w:t>
      </w:r>
      <w:r w:rsidR="00E05A17">
        <w:t xml:space="preserve">the ability to </w:t>
      </w:r>
      <w:r w:rsidRPr="007F1C55">
        <w:t>reduce administrative functions. The costs associated with investing in mutual funds are generally operating expenses, marketing, distribution charges, and loads. Loads are fees paid when investors purchase or sell the shares.</w:t>
      </w:r>
    </w:p>
    <w:p w:rsidR="00F83B6B" w:rsidRDefault="00016E15" w:rsidP="00896CC5">
      <w:pPr>
        <w:keepLines/>
        <w:numPr>
          <w:ilvl w:val="0"/>
          <w:numId w:val="22"/>
        </w:numPr>
        <w:spacing w:after="120"/>
      </w:pPr>
      <w:r>
        <w:t>Close-end funds trade on the open market and are thus subject to</w:t>
      </w:r>
      <w:r w:rsidR="00257D17">
        <w:t xml:space="preserve"> market pricing. Open-end funds</w:t>
      </w:r>
      <w:r>
        <w:t xml:space="preserve"> are sold by the mutual fund and must reflect the NAV of the investments. </w:t>
      </w:r>
    </w:p>
    <w:p w:rsidR="00F83B6B" w:rsidRDefault="00E05A17" w:rsidP="00896CC5">
      <w:pPr>
        <w:keepLines/>
        <w:numPr>
          <w:ilvl w:val="0"/>
          <w:numId w:val="22"/>
        </w:numPr>
        <w:spacing w:after="120"/>
      </w:pPr>
      <w:r>
        <w:t>12b-1 fees are a</w:t>
      </w:r>
      <w:r w:rsidR="00016E15">
        <w:t>nnual fees charged by a mutual fund to pay for marketing and distribution costs.</w:t>
      </w:r>
    </w:p>
    <w:p w:rsidR="007F1C55" w:rsidRDefault="007F1C55" w:rsidP="007F1C55">
      <w:pPr>
        <w:keepLines/>
        <w:numPr>
          <w:ilvl w:val="0"/>
          <w:numId w:val="22"/>
        </w:numPr>
        <w:spacing w:after="120"/>
      </w:pPr>
      <w:r w:rsidRPr="007F1C55">
        <w:t>A unit investment trust is an unmanaged mutual fund. Its portfolio is fixed and does not change due to asset trades, as does a close-end fund. Investors who wish to liquidate their holdings of a unit investment trust may sell the shares back to the trustee for net asset value, while a close-end fund is traded on the open market.</w:t>
      </w:r>
    </w:p>
    <w:p w:rsidR="00684087" w:rsidRDefault="007F1C55" w:rsidP="007F1C55">
      <w:pPr>
        <w:keepLines/>
        <w:numPr>
          <w:ilvl w:val="0"/>
          <w:numId w:val="22"/>
        </w:numPr>
        <w:spacing w:after="120"/>
      </w:pPr>
      <w:r w:rsidRPr="007F1C55">
        <w:t>Exchange-traded funds can be traded during the day, just as the stocks they represent. They are most tax effective, in that they do not have as many distributions. They have much lower transaction costs. They also do not require load charges, management fees, and minimum investment amounts. The disadvantage is that ETFs must be purchased from brokers for a fee. Moreover, investors may incur a bid-ask spread when purchasing a</w:t>
      </w:r>
      <w:r w:rsidR="00E05A17">
        <w:t>n</w:t>
      </w:r>
      <w:r w:rsidRPr="007F1C55">
        <w:t xml:space="preserve"> ETF. </w:t>
      </w:r>
      <w:r w:rsidR="001F14E8">
        <w:rPr>
          <w:rFonts w:hint="eastAsia"/>
          <w:lang w:eastAsia="zh-TW"/>
        </w:rPr>
        <w:t xml:space="preserve"> </w:t>
      </w:r>
    </w:p>
    <w:p w:rsidR="00F83B6B" w:rsidRDefault="00CD31B7" w:rsidP="00896CC5">
      <w:pPr>
        <w:keepLines/>
        <w:numPr>
          <w:ilvl w:val="0"/>
          <w:numId w:val="22"/>
        </w:numPr>
        <w:spacing w:after="120"/>
      </w:pPr>
      <w:r>
        <w:t xml:space="preserve">Hedge funds have much less regulation since they are part of private partnerships and </w:t>
      </w:r>
      <w:proofErr w:type="gramStart"/>
      <w:r>
        <w:t>free</w:t>
      </w:r>
      <w:proofErr w:type="gramEnd"/>
      <w:r>
        <w:t xml:space="preserve"> from m</w:t>
      </w:r>
      <w:r w:rsidR="00E05A17">
        <w:t>o</w:t>
      </w:r>
      <w:r>
        <w:t>st SEC regulation. They permit investors to t</w:t>
      </w:r>
      <w:r w:rsidR="00D637CF">
        <w:t>ake on many risks unavailable t</w:t>
      </w:r>
      <w:r w:rsidR="00D637CF">
        <w:rPr>
          <w:rFonts w:hint="eastAsia"/>
          <w:lang w:eastAsia="zh-TW"/>
        </w:rPr>
        <w:t>o</w:t>
      </w:r>
      <w:r>
        <w:t xml:space="preserve"> mutual funds. Hedge funds, however, may require higher fees and provide less transparency to investors. This offers significant counter party risk and hedge fund investors need to be more careful about the firm the</w:t>
      </w:r>
      <w:r w:rsidR="00E05A17">
        <w:t>y</w:t>
      </w:r>
      <w:r>
        <w:t xml:space="preserve"> invest with. </w:t>
      </w:r>
    </w:p>
    <w:p w:rsidR="00F83B6B" w:rsidRDefault="00CD31B7" w:rsidP="00896CC5">
      <w:pPr>
        <w:keepLines/>
        <w:numPr>
          <w:ilvl w:val="0"/>
          <w:numId w:val="22"/>
        </w:numPr>
        <w:spacing w:after="120"/>
      </w:pPr>
      <w:r>
        <w:t xml:space="preserve">An open-end fund will have higher fees since they are actively marketing and managing their investor base. The fund is always looking for new investors. A unit investment trust need not spend too much time on such matters since investors find each other. </w:t>
      </w:r>
    </w:p>
    <w:p w:rsidR="00F83B6B" w:rsidRDefault="00CD31B7" w:rsidP="00896CC5">
      <w:pPr>
        <w:keepLines/>
        <w:numPr>
          <w:ilvl w:val="0"/>
          <w:numId w:val="22"/>
        </w:numPr>
        <w:spacing w:after="120"/>
      </w:pPr>
      <w:r>
        <w:t>Asset allocation funds may dramatically vary the proportions allocated to each market in accord with the portfolio manager’s forecast of the relative performance of each sector. Hence, these funds are engaged in market timing and are not designed to be low-risk investment vehicles.</w:t>
      </w:r>
    </w:p>
    <w:p w:rsidR="00CD31B7" w:rsidRDefault="00CD31B7" w:rsidP="00896CC5">
      <w:pPr>
        <w:keepLines/>
        <w:numPr>
          <w:ilvl w:val="0"/>
          <w:numId w:val="22"/>
        </w:numPr>
        <w:spacing w:after="120"/>
      </w:pPr>
    </w:p>
    <w:p w:rsidR="00CD31B7" w:rsidRDefault="00CD31B7" w:rsidP="00896CC5">
      <w:pPr>
        <w:keepLines/>
        <w:spacing w:after="120"/>
        <w:ind w:left="720"/>
      </w:pPr>
      <w:r>
        <w:t>a. A unit investment trust offer</w:t>
      </w:r>
      <w:r w:rsidR="00E05A17">
        <w:t>s</w:t>
      </w:r>
      <w:r>
        <w:t xml:space="preserve"> low costs and stable portfolios. Since they do not change their portfolio</w:t>
      </w:r>
      <w:r w:rsidR="00E05A17">
        <w:t>s</w:t>
      </w:r>
      <w:r>
        <w:t>, investor</w:t>
      </w:r>
      <w:r w:rsidR="00E05A17">
        <w:t>s</w:t>
      </w:r>
      <w:r>
        <w:t xml:space="preserve"> know exactly what they own. </w:t>
      </w:r>
      <w:r w:rsidR="009E303D">
        <w:t xml:space="preserve">They are better suited to sophisticated investors. </w:t>
      </w:r>
    </w:p>
    <w:p w:rsidR="00CD31B7" w:rsidRDefault="00CD31B7" w:rsidP="00896CC5">
      <w:pPr>
        <w:keepLines/>
        <w:spacing w:after="120"/>
        <w:ind w:left="720"/>
      </w:pPr>
      <w:r>
        <w:lastRenderedPageBreak/>
        <w:t xml:space="preserve">b. Open-end mutual funds offer higher levels of service to investors. The investors </w:t>
      </w:r>
      <w:r w:rsidR="009E303D">
        <w:t>do not have any administrative burdens and their money is actively managed. Th</w:t>
      </w:r>
      <w:r w:rsidR="00E05A17">
        <w:t>ese are</w:t>
      </w:r>
      <w:r w:rsidR="009E303D">
        <w:t xml:space="preserve"> better suited for less knowledgeable investors. </w:t>
      </w:r>
    </w:p>
    <w:p w:rsidR="009E303D" w:rsidRDefault="009E303D" w:rsidP="00896CC5">
      <w:pPr>
        <w:keepLines/>
        <w:spacing w:after="120"/>
        <w:ind w:left="720"/>
      </w:pPr>
      <w:r>
        <w:t xml:space="preserve">c. Individual securities offer the most sophisticated investors ultimate flexibility. </w:t>
      </w:r>
      <w:r w:rsidR="00E05A17">
        <w:t>Investors</w:t>
      </w:r>
      <w:r>
        <w:t xml:space="preserve"> are able to save money since they are only charged the expenses they incur. All decisions are under the control of the investor. </w:t>
      </w:r>
    </w:p>
    <w:p w:rsidR="00F83B6B" w:rsidRDefault="007904D5" w:rsidP="00896CC5">
      <w:pPr>
        <w:keepLines/>
        <w:numPr>
          <w:ilvl w:val="0"/>
          <w:numId w:val="22"/>
        </w:numPr>
        <w:spacing w:after="120"/>
      </w:pPr>
      <w:r>
        <w:t xml:space="preserve">Open-end funds must honor redemptions and receive deposits from investors. This flow of money necessitates retaining cash. Close-end funds no longer take and receive money from investors. As such, they are free to be fully invested at all times. </w:t>
      </w:r>
    </w:p>
    <w:p w:rsidR="00023F95" w:rsidRDefault="00023F95" w:rsidP="00896CC5">
      <w:pPr>
        <w:keepLines/>
        <w:numPr>
          <w:ilvl w:val="0"/>
          <w:numId w:val="22"/>
        </w:numPr>
        <w:spacing w:after="120"/>
      </w:pPr>
      <w:r>
        <w:t>The offering price includes a 6% front-end load, or sales commission, meaning that every dollar paid results in only $0.94 going toward</w:t>
      </w:r>
      <w:r w:rsidR="00E05A17">
        <w:t xml:space="preserve"> the</w:t>
      </w:r>
      <w:r>
        <w:t xml:space="preserve"> purchase of shares.  Therefore:</w:t>
      </w:r>
    </w:p>
    <w:p w:rsidR="00023F95" w:rsidRDefault="00023F95" w:rsidP="00896CC5">
      <w:pPr>
        <w:keepLines/>
        <w:ind w:left="1080"/>
      </w:pPr>
      <w:r>
        <w:t xml:space="preserve">Offering price = </w:t>
      </w:r>
      <w:r w:rsidRPr="000B3B07">
        <w:rPr>
          <w:position w:val="-24"/>
        </w:rPr>
        <w:object w:dxaOrig="18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0.75pt" o:ole="" fillcolor="window">
            <v:imagedata r:id="rId9" o:title=""/>
          </v:shape>
          <o:OLEObject Type="Embed" ProgID="Equation.3" ShapeID="_x0000_i1025" DrawAspect="Content" ObjectID="_1513424248" r:id="rId10"/>
        </w:object>
      </w:r>
      <w:r w:rsidR="00361177">
        <w:t xml:space="preserve">= </w:t>
      </w:r>
      <w:r>
        <w:t>$11.38</w:t>
      </w:r>
    </w:p>
    <w:p w:rsidR="00023F95" w:rsidRDefault="00023F95" w:rsidP="00896CC5">
      <w:pPr>
        <w:keepLines/>
      </w:pPr>
    </w:p>
    <w:p w:rsidR="00023F95" w:rsidRDefault="00023F95" w:rsidP="00896CC5">
      <w:pPr>
        <w:keepLines/>
        <w:numPr>
          <w:ilvl w:val="0"/>
          <w:numId w:val="22"/>
        </w:numPr>
      </w:pPr>
      <w:r>
        <w:t xml:space="preserve">NAV = </w:t>
      </w:r>
      <w:r w:rsidR="00E05A17">
        <w:t>O</w:t>
      </w:r>
      <w:r>
        <w:t xml:space="preserve">ffering price </w:t>
      </w:r>
      <w:r>
        <w:rPr>
          <w:rFonts w:ascii="Symbol" w:hAnsi="Symbol"/>
        </w:rPr>
        <w:sym w:font="Symbol" w:char="F0B4"/>
      </w:r>
      <w:r>
        <w:t xml:space="preserve"> (1 – load) = $12.30 </w:t>
      </w:r>
      <w:r>
        <w:rPr>
          <w:rFonts w:ascii="Symbol" w:hAnsi="Symbol"/>
        </w:rPr>
        <w:sym w:font="Symbol" w:char="F0B4"/>
      </w:r>
      <w:r>
        <w:rPr>
          <w:rFonts w:ascii="Symbol" w:hAnsi="Symbol"/>
        </w:rPr>
        <w:t></w:t>
      </w:r>
      <w:r>
        <w:rPr>
          <w:rFonts w:ascii="Symbol" w:hAnsi="Symbol"/>
        </w:rPr>
        <w:t></w:t>
      </w:r>
      <w:r>
        <w:t>.95 = $11.69</w:t>
      </w:r>
    </w:p>
    <w:p w:rsidR="00023F95" w:rsidRDefault="00023F95" w:rsidP="00896CC5">
      <w:pPr>
        <w:keepLines/>
      </w:pPr>
    </w:p>
    <w:p w:rsidR="00023F95" w:rsidRDefault="001375B1" w:rsidP="001375B1">
      <w:pPr>
        <w:keepLines/>
        <w:numPr>
          <w:ilvl w:val="0"/>
          <w:numId w:val="22"/>
        </w:numPr>
        <w:tabs>
          <w:tab w:val="left" w:pos="1260"/>
        </w:tabs>
      </w:pPr>
      <w:r>
        <w:rPr>
          <w:rFonts w:hint="eastAsia"/>
          <w:lang w:eastAsia="zh-TW"/>
        </w:rPr>
        <w:t>Given that n</w:t>
      </w:r>
      <w:r>
        <w:rPr>
          <w:lang w:eastAsia="zh-TW"/>
        </w:rPr>
        <w:t>et asset value equals assets minus liabilities</w:t>
      </w:r>
      <w:r>
        <w:rPr>
          <w:rFonts w:hint="eastAsia"/>
          <w:lang w:eastAsia="zh-TW"/>
        </w:rPr>
        <w:t xml:space="preserve"> </w:t>
      </w:r>
      <w:r>
        <w:rPr>
          <w:lang w:eastAsia="zh-TW"/>
        </w:rPr>
        <w:t>expressed on a per-share basis</w:t>
      </w:r>
      <w:r>
        <w:rPr>
          <w:rFonts w:hint="eastAsia"/>
          <w:lang w:eastAsia="zh-TW"/>
        </w:rPr>
        <w:t xml:space="preserve">, we first add up the value of the shares to get the market value of the portfolio: </w:t>
      </w:r>
    </w:p>
    <w:p w:rsidR="001375B1" w:rsidRDefault="001375B1" w:rsidP="001375B1">
      <w:pPr>
        <w:keepLines/>
        <w:tabs>
          <w:tab w:val="left" w:pos="1260"/>
        </w:tabs>
        <w:ind w:left="360"/>
      </w:pPr>
    </w:p>
    <w:tbl>
      <w:tblPr>
        <w:tblW w:w="0" w:type="auto"/>
        <w:tblInd w:w="1440" w:type="dxa"/>
        <w:tblLook w:val="01E0" w:firstRow="1" w:lastRow="1" w:firstColumn="1" w:lastColumn="1" w:noHBand="0" w:noVBand="0"/>
      </w:tblPr>
      <w:tblGrid>
        <w:gridCol w:w="1080"/>
        <w:gridCol w:w="2070"/>
      </w:tblGrid>
      <w:tr w:rsidR="00023F95">
        <w:tc>
          <w:tcPr>
            <w:tcW w:w="1080" w:type="dxa"/>
            <w:tcBorders>
              <w:bottom w:val="single" w:sz="4" w:space="0" w:color="auto"/>
            </w:tcBorders>
          </w:tcPr>
          <w:p w:rsidR="00023F95" w:rsidRPr="00E35370" w:rsidRDefault="00023F95" w:rsidP="00896CC5">
            <w:pPr>
              <w:keepLines/>
              <w:jc w:val="center"/>
            </w:pPr>
            <w:r w:rsidRPr="00E35370">
              <w:t>Stock</w:t>
            </w:r>
          </w:p>
        </w:tc>
        <w:tc>
          <w:tcPr>
            <w:tcW w:w="2070" w:type="dxa"/>
            <w:tcBorders>
              <w:bottom w:val="single" w:sz="4" w:space="0" w:color="auto"/>
            </w:tcBorders>
          </w:tcPr>
          <w:p w:rsidR="00023F95" w:rsidRPr="00E35370" w:rsidRDefault="00023F95" w:rsidP="00E05A17">
            <w:pPr>
              <w:keepLines/>
              <w:jc w:val="center"/>
            </w:pPr>
            <w:r w:rsidRPr="00E35370">
              <w:t xml:space="preserve">Value </w:t>
            </w:r>
            <w:r w:rsidR="00E05A17">
              <w:t>H</w:t>
            </w:r>
            <w:r w:rsidRPr="00E35370">
              <w:t xml:space="preserve">eld by </w:t>
            </w:r>
            <w:r w:rsidR="00E05A17">
              <w:t>F</w:t>
            </w:r>
            <w:r w:rsidRPr="00E35370">
              <w:t>und</w:t>
            </w:r>
          </w:p>
        </w:tc>
      </w:tr>
      <w:tr w:rsidR="00023F95">
        <w:tc>
          <w:tcPr>
            <w:tcW w:w="1080" w:type="dxa"/>
            <w:tcBorders>
              <w:top w:val="single" w:sz="4" w:space="0" w:color="auto"/>
            </w:tcBorders>
          </w:tcPr>
          <w:p w:rsidR="00023F95" w:rsidRPr="00F408A0" w:rsidRDefault="00023F95" w:rsidP="00896CC5">
            <w:pPr>
              <w:keepLines/>
              <w:spacing w:line="360" w:lineRule="atLeast"/>
              <w:jc w:val="center"/>
            </w:pPr>
            <w:r w:rsidRPr="00F408A0">
              <w:t>A</w:t>
            </w:r>
          </w:p>
        </w:tc>
        <w:tc>
          <w:tcPr>
            <w:tcW w:w="2070" w:type="dxa"/>
            <w:tcBorders>
              <w:top w:val="single" w:sz="4" w:space="0" w:color="auto"/>
            </w:tcBorders>
          </w:tcPr>
          <w:p w:rsidR="00023F95" w:rsidRPr="00F408A0" w:rsidRDefault="00023F95" w:rsidP="00896CC5">
            <w:pPr>
              <w:keepLines/>
              <w:tabs>
                <w:tab w:val="decimal" w:pos="1422"/>
              </w:tabs>
              <w:spacing w:line="360" w:lineRule="atLeast"/>
            </w:pPr>
            <w:r w:rsidRPr="00F408A0">
              <w:t>$ 7,000,000</w:t>
            </w:r>
          </w:p>
        </w:tc>
      </w:tr>
      <w:tr w:rsidR="00023F95">
        <w:tc>
          <w:tcPr>
            <w:tcW w:w="1080" w:type="dxa"/>
          </w:tcPr>
          <w:p w:rsidR="00023F95" w:rsidRPr="00F408A0" w:rsidRDefault="00023F95" w:rsidP="00896CC5">
            <w:pPr>
              <w:keepLines/>
              <w:jc w:val="center"/>
            </w:pPr>
            <w:r w:rsidRPr="00F408A0">
              <w:t>B</w:t>
            </w:r>
          </w:p>
        </w:tc>
        <w:tc>
          <w:tcPr>
            <w:tcW w:w="2070" w:type="dxa"/>
          </w:tcPr>
          <w:p w:rsidR="00023F95" w:rsidRPr="00F408A0" w:rsidRDefault="00023F95" w:rsidP="00896CC5">
            <w:pPr>
              <w:keepLines/>
              <w:tabs>
                <w:tab w:val="decimal" w:pos="1422"/>
              </w:tabs>
            </w:pPr>
            <w:r w:rsidRPr="00F408A0">
              <w:t>12,000,000</w:t>
            </w:r>
          </w:p>
        </w:tc>
      </w:tr>
      <w:tr w:rsidR="00023F95">
        <w:tc>
          <w:tcPr>
            <w:tcW w:w="1080" w:type="dxa"/>
          </w:tcPr>
          <w:p w:rsidR="00023F95" w:rsidRPr="00F408A0" w:rsidRDefault="00023F95" w:rsidP="00896CC5">
            <w:pPr>
              <w:keepLines/>
              <w:jc w:val="center"/>
            </w:pPr>
            <w:r w:rsidRPr="00F408A0">
              <w:t>C</w:t>
            </w:r>
          </w:p>
        </w:tc>
        <w:tc>
          <w:tcPr>
            <w:tcW w:w="2070" w:type="dxa"/>
          </w:tcPr>
          <w:p w:rsidR="00023F95" w:rsidRPr="00F408A0" w:rsidRDefault="00023F95" w:rsidP="00896CC5">
            <w:pPr>
              <w:keepLines/>
              <w:tabs>
                <w:tab w:val="decimal" w:pos="1422"/>
              </w:tabs>
            </w:pPr>
            <w:r w:rsidRPr="00F408A0">
              <w:t>8,000,000</w:t>
            </w:r>
          </w:p>
        </w:tc>
      </w:tr>
      <w:tr w:rsidR="00023F95">
        <w:tc>
          <w:tcPr>
            <w:tcW w:w="1080" w:type="dxa"/>
          </w:tcPr>
          <w:p w:rsidR="00023F95" w:rsidRPr="00E05A17" w:rsidRDefault="00023F95" w:rsidP="00896CC5">
            <w:pPr>
              <w:keepLines/>
              <w:jc w:val="center"/>
              <w:rPr>
                <w:u w:val="single"/>
              </w:rPr>
            </w:pPr>
            <w:r w:rsidRPr="00E05A17">
              <w:rPr>
                <w:u w:val="single"/>
              </w:rPr>
              <w:t>D</w:t>
            </w:r>
          </w:p>
        </w:tc>
        <w:tc>
          <w:tcPr>
            <w:tcW w:w="2070" w:type="dxa"/>
          </w:tcPr>
          <w:p w:rsidR="00023F95" w:rsidRPr="00F408A0" w:rsidRDefault="00023F95" w:rsidP="00896CC5">
            <w:pPr>
              <w:keepLines/>
              <w:tabs>
                <w:tab w:val="decimal" w:pos="1422"/>
              </w:tabs>
              <w:rPr>
                <w:u w:val="single"/>
              </w:rPr>
            </w:pPr>
            <w:r w:rsidRPr="00F408A0">
              <w:rPr>
                <w:u w:val="single"/>
              </w:rPr>
              <w:t>15,000,000</w:t>
            </w:r>
          </w:p>
        </w:tc>
      </w:tr>
      <w:tr w:rsidR="00023F95">
        <w:tc>
          <w:tcPr>
            <w:tcW w:w="1080" w:type="dxa"/>
          </w:tcPr>
          <w:p w:rsidR="00023F95" w:rsidRPr="00F408A0" w:rsidRDefault="00023F95" w:rsidP="00896CC5">
            <w:pPr>
              <w:keepLines/>
              <w:spacing w:line="360" w:lineRule="atLeast"/>
              <w:jc w:val="center"/>
            </w:pPr>
            <w:r w:rsidRPr="00F408A0">
              <w:t>Total</w:t>
            </w:r>
          </w:p>
        </w:tc>
        <w:tc>
          <w:tcPr>
            <w:tcW w:w="2070" w:type="dxa"/>
          </w:tcPr>
          <w:p w:rsidR="00023F95" w:rsidRPr="00F408A0" w:rsidRDefault="00023F95" w:rsidP="00896CC5">
            <w:pPr>
              <w:keepLines/>
              <w:tabs>
                <w:tab w:val="decimal" w:pos="1422"/>
              </w:tabs>
              <w:spacing w:line="360" w:lineRule="atLeast"/>
            </w:pPr>
            <w:r w:rsidRPr="00F408A0">
              <w:t>$42,000,000</w:t>
            </w:r>
          </w:p>
        </w:tc>
      </w:tr>
    </w:tbl>
    <w:p w:rsidR="002F7877" w:rsidRPr="002F7877" w:rsidRDefault="00E327A3" w:rsidP="002F7877">
      <w:pPr>
        <w:keepLines/>
        <w:spacing w:before="240"/>
        <w:ind w:left="567" w:hanging="20"/>
        <w:rPr>
          <w:lang w:eastAsia="zh-TW"/>
        </w:rPr>
      </w:pPr>
      <w:r>
        <w:rPr>
          <w:rFonts w:hint="eastAsia"/>
          <w:lang w:eastAsia="zh-TW"/>
        </w:rPr>
        <w:t>Knowing that the accrued management fee, which adjusts the value of the portfolio, totals $30,000, and the number of the shares outstanding is 4,000,000, we can use the NAV equation:</w:t>
      </w:r>
    </w:p>
    <w:p w:rsidR="00FE3133" w:rsidRDefault="00023F95" w:rsidP="00896CC5">
      <w:pPr>
        <w:keepLines/>
        <w:spacing w:before="240"/>
        <w:ind w:left="1094" w:hanging="547"/>
        <w:rPr>
          <w:lang w:eastAsia="zh-TW"/>
        </w:rPr>
      </w:pPr>
      <w:r>
        <w:tab/>
        <w:t>Net asset value =</w:t>
      </w:r>
      <w:r w:rsidR="00FE3133">
        <w:rPr>
          <w:rFonts w:hint="eastAsia"/>
          <w:lang w:eastAsia="zh-TW"/>
        </w:rPr>
        <w:t xml:space="preserve"> </w:t>
      </w:r>
      <m:oMath>
        <m:f>
          <m:fPr>
            <m:ctrlPr>
              <w:rPr>
                <w:rFonts w:ascii="Cambria Math" w:hAnsi="Cambria Math"/>
                <w:sz w:val="32"/>
              </w:rPr>
            </m:ctrlPr>
          </m:fPr>
          <m:num>
            <m:r>
              <m:rPr>
                <m:nor/>
              </m:rPr>
              <w:rPr>
                <w:sz w:val="32"/>
              </w:rPr>
              <m:t xml:space="preserve">Market </m:t>
            </m:r>
            <m:r>
              <m:rPr>
                <m:nor/>
              </m:rPr>
              <w:rPr>
                <w:sz w:val="32"/>
                <w:lang w:eastAsia="zh-TW"/>
              </w:rPr>
              <m:t>v</m:t>
            </m:r>
            <m:r>
              <m:rPr>
                <m:nor/>
              </m:rPr>
              <w:rPr>
                <w:sz w:val="32"/>
              </w:rPr>
              <m:t>alue of assets</m:t>
            </m:r>
            <m:r>
              <m:rPr>
                <m:nor/>
              </m:rPr>
              <w:rPr>
                <w:rFonts w:ascii="Cambria Math" w:hint="eastAsia"/>
                <w:sz w:val="32"/>
                <w:lang w:eastAsia="zh-TW"/>
              </w:rPr>
              <m:t xml:space="preserve"> </m:t>
            </m:r>
            <m:r>
              <m:rPr>
                <m:nor/>
              </m:rPr>
              <w:rPr>
                <w:rFonts w:asciiTheme="minorEastAsia" w:hAnsiTheme="minorEastAsia" w:hint="eastAsia"/>
                <w:sz w:val="32"/>
                <w:lang w:eastAsia="zh-TW"/>
              </w:rPr>
              <m:t>－</m:t>
            </m:r>
            <m:r>
              <m:rPr>
                <m:nor/>
              </m:rPr>
              <w:rPr>
                <w:rFonts w:ascii="Cambria Math" w:hint="eastAsia"/>
                <w:sz w:val="32"/>
                <w:lang w:eastAsia="zh-TW"/>
              </w:rPr>
              <m:t xml:space="preserve"> </m:t>
            </m:r>
            <m:r>
              <m:rPr>
                <m:nor/>
              </m:rPr>
              <w:rPr>
                <w:sz w:val="32"/>
              </w:rPr>
              <m:t>Market value of liabilities</m:t>
            </m:r>
          </m:num>
          <m:den>
            <m:r>
              <m:rPr>
                <m:nor/>
              </m:rPr>
              <w:rPr>
                <w:sz w:val="32"/>
              </w:rPr>
              <m:t>S</m:t>
            </m:r>
            <m:r>
              <m:rPr>
                <m:nor/>
              </m:rPr>
              <w:rPr>
                <w:rFonts w:cs="Cambria Math"/>
                <w:sz w:val="32"/>
              </w:rPr>
              <m:t>h</m:t>
            </m:r>
            <m:r>
              <m:rPr>
                <m:nor/>
              </m:rPr>
              <w:rPr>
                <w:sz w:val="32"/>
              </w:rPr>
              <m:t>ares outstanding</m:t>
            </m:r>
          </m:den>
        </m:f>
        <m:r>
          <m:rPr>
            <m:nor/>
          </m:rPr>
          <w:rPr>
            <w:sz w:val="32"/>
          </w:rPr>
          <m:t xml:space="preserve"> </m:t>
        </m:r>
      </m:oMath>
    </w:p>
    <w:p w:rsidR="00023F95" w:rsidRDefault="00C21A34" w:rsidP="00FE3133">
      <w:pPr>
        <w:keepLines/>
        <w:spacing w:before="240"/>
        <w:ind w:left="1094" w:firstLineChars="650" w:firstLine="1560"/>
      </w:pPr>
      <w:r>
        <w:rPr>
          <w:rFonts w:hint="eastAsia"/>
          <w:lang w:eastAsia="zh-TW"/>
        </w:rPr>
        <w:t>=</w:t>
      </w:r>
      <w:r w:rsidR="00023F95">
        <w:t xml:space="preserve"> </w:t>
      </w:r>
      <w:r w:rsidRPr="000B3B07">
        <w:rPr>
          <w:position w:val="-28"/>
        </w:rPr>
        <w:object w:dxaOrig="2299" w:dyaOrig="660">
          <v:shape id="_x0000_i1026" type="#_x0000_t75" style="width:114.75pt;height:33pt" o:ole="" fillcolor="window">
            <v:imagedata r:id="rId11" o:title=""/>
          </v:shape>
          <o:OLEObject Type="Embed" ProgID="Equation.3" ShapeID="_x0000_i1026" DrawAspect="Content" ObjectID="_1513424249" r:id="rId12"/>
        </w:object>
      </w:r>
      <w:r w:rsidR="00023F95">
        <w:t>= $10.49</w:t>
      </w:r>
    </w:p>
    <w:p w:rsidR="00023F95" w:rsidRDefault="00023F95" w:rsidP="00896CC5">
      <w:pPr>
        <w:keepLines/>
      </w:pPr>
    </w:p>
    <w:p w:rsidR="00023F95" w:rsidRDefault="00023F95" w:rsidP="00896CC5">
      <w:pPr>
        <w:keepLines/>
      </w:pPr>
    </w:p>
    <w:p w:rsidR="002F7877" w:rsidRDefault="007F1C55" w:rsidP="002F7877">
      <w:pPr>
        <w:keepLines/>
        <w:numPr>
          <w:ilvl w:val="0"/>
          <w:numId w:val="22"/>
        </w:numPr>
        <w:spacing w:line="360" w:lineRule="auto"/>
      </w:pPr>
      <w:r>
        <w:rPr>
          <w:lang w:eastAsia="zh-TW"/>
        </w:rPr>
        <w:t>T</w:t>
      </w:r>
      <w:r w:rsidR="00D55217">
        <w:rPr>
          <w:rFonts w:hint="eastAsia"/>
          <w:lang w:eastAsia="zh-TW"/>
        </w:rPr>
        <w:t>he v</w:t>
      </w:r>
      <w:r w:rsidR="00023F95">
        <w:t>alue of stocks sold and replaced = $15,000,000</w:t>
      </w:r>
      <w:r>
        <w:rPr>
          <w:lang w:eastAsia="zh-TW"/>
        </w:rPr>
        <w:t>.</w:t>
      </w:r>
    </w:p>
    <w:p w:rsidR="0000482A" w:rsidRDefault="00023F95" w:rsidP="00BF08BA">
      <w:pPr>
        <w:keepLines/>
        <w:ind w:left="993" w:hanging="633"/>
        <w:rPr>
          <w:lang w:eastAsia="zh-TW"/>
        </w:rPr>
      </w:pPr>
      <w:r>
        <w:tab/>
        <w:t>Turnover rate =</w:t>
      </w:r>
      <w:r w:rsidR="00F421D0">
        <w:rPr>
          <w:rFonts w:hint="eastAsia"/>
          <w:lang w:eastAsia="zh-TW"/>
        </w:rPr>
        <w:t xml:space="preserve"> </w:t>
      </w:r>
      <m:oMath>
        <m:f>
          <m:fPr>
            <m:ctrlPr>
              <w:rPr>
                <w:rFonts w:ascii="Cambria Math" w:hAnsi="Cambria Math"/>
                <w:sz w:val="32"/>
              </w:rPr>
            </m:ctrlPr>
          </m:fPr>
          <m:num>
            <m:r>
              <m:rPr>
                <m:nor/>
              </m:rPr>
              <w:rPr>
                <w:rFonts w:hint="eastAsia"/>
                <w:sz w:val="32"/>
                <w:lang w:eastAsia="zh-TW"/>
              </w:rPr>
              <m:t>Value of stocks sold or replaced</m:t>
            </m:r>
          </m:num>
          <m:den>
            <m:r>
              <m:rPr>
                <m:nor/>
              </m:rPr>
              <w:rPr>
                <w:rFonts w:hint="eastAsia"/>
                <w:sz w:val="32"/>
                <w:lang w:eastAsia="zh-TW"/>
              </w:rPr>
              <m:t>Value of assets</m:t>
            </m:r>
          </m:den>
        </m:f>
      </m:oMath>
      <w:r>
        <w:t xml:space="preserve"> </w:t>
      </w:r>
      <w:r w:rsidR="00F421D0">
        <w:rPr>
          <w:rFonts w:hint="eastAsia"/>
          <w:lang w:eastAsia="zh-TW"/>
        </w:rPr>
        <w:t xml:space="preserve"> </w:t>
      </w:r>
    </w:p>
    <w:p w:rsidR="0000482A" w:rsidRDefault="0000482A" w:rsidP="0000482A">
      <w:pPr>
        <w:keepLines/>
        <w:ind w:left="907" w:hanging="547"/>
        <w:rPr>
          <w:lang w:eastAsia="zh-TW"/>
        </w:rPr>
      </w:pPr>
    </w:p>
    <w:p w:rsidR="00023F95" w:rsidRDefault="00F421D0" w:rsidP="002F7877">
      <w:pPr>
        <w:keepLines/>
        <w:ind w:left="907" w:firstLineChars="600" w:firstLine="1440"/>
        <w:rPr>
          <w:lang w:eastAsia="zh-TW"/>
        </w:rPr>
      </w:pPr>
      <w:r>
        <w:rPr>
          <w:rFonts w:hint="eastAsia"/>
          <w:lang w:eastAsia="zh-TW"/>
        </w:rPr>
        <w:lastRenderedPageBreak/>
        <w:t xml:space="preserve">= </w:t>
      </w:r>
      <w:r w:rsidR="00023F95" w:rsidRPr="000B3B07">
        <w:rPr>
          <w:position w:val="-28"/>
        </w:rPr>
        <w:object w:dxaOrig="1300" w:dyaOrig="660">
          <v:shape id="_x0000_i1027" type="#_x0000_t75" style="width:65.25pt;height:33pt" o:ole="" fillcolor="window">
            <v:imagedata r:id="rId13" o:title=""/>
          </v:shape>
          <o:OLEObject Type="Embed" ProgID="Equation.3" ShapeID="_x0000_i1027" DrawAspect="Content" ObjectID="_1513424250" r:id="rId14"/>
        </w:object>
      </w:r>
      <w:r w:rsidR="00023F95">
        <w:t>= 0.357</w:t>
      </w:r>
      <w:r w:rsidR="00230543">
        <w:t>1</w:t>
      </w:r>
      <w:r w:rsidR="00023F95">
        <w:t xml:space="preserve"> = 35.7</w:t>
      </w:r>
      <w:r w:rsidR="00230543">
        <w:t>1</w:t>
      </w:r>
      <w:r w:rsidR="00023F95">
        <w:t>%</w:t>
      </w:r>
    </w:p>
    <w:p w:rsidR="00023F95" w:rsidRDefault="00023F95" w:rsidP="00896CC5">
      <w:pPr>
        <w:keepLines/>
      </w:pPr>
    </w:p>
    <w:p w:rsidR="00023F95" w:rsidRDefault="00023F95" w:rsidP="00896CC5">
      <w:pPr>
        <w:keepLines/>
      </w:pPr>
    </w:p>
    <w:p w:rsidR="00023F95" w:rsidRDefault="00023F95" w:rsidP="00896CC5">
      <w:pPr>
        <w:keepLines/>
        <w:numPr>
          <w:ilvl w:val="0"/>
          <w:numId w:val="22"/>
        </w:numPr>
        <w:tabs>
          <w:tab w:val="left" w:pos="540"/>
        </w:tabs>
      </w:pPr>
    </w:p>
    <w:p w:rsidR="008D48FA" w:rsidRPr="008D48FA" w:rsidRDefault="00023F95" w:rsidP="00896CC5">
      <w:pPr>
        <w:keepLines/>
        <w:numPr>
          <w:ilvl w:val="1"/>
          <w:numId w:val="22"/>
        </w:numPr>
        <w:tabs>
          <w:tab w:val="left" w:pos="540"/>
        </w:tabs>
      </w:pPr>
      <w:r>
        <w:t>NAV =</w:t>
      </w:r>
      <w:r w:rsidR="008D48FA">
        <w:rPr>
          <w:rFonts w:hint="eastAsia"/>
          <w:lang w:eastAsia="zh-TW"/>
        </w:rPr>
        <w:t xml:space="preserve"> </w:t>
      </w:r>
      <w:r>
        <w:t xml:space="preserve"> </w:t>
      </w:r>
      <m:oMath>
        <m:f>
          <m:fPr>
            <m:ctrlPr>
              <w:rPr>
                <w:rFonts w:ascii="Cambria Math" w:hAnsi="Cambria Math"/>
                <w:sz w:val="32"/>
              </w:rPr>
            </m:ctrlPr>
          </m:fPr>
          <m:num>
            <m:r>
              <m:rPr>
                <m:nor/>
              </m:rPr>
              <w:rPr>
                <w:sz w:val="32"/>
              </w:rPr>
              <m:t xml:space="preserve">Market </m:t>
            </m:r>
            <m:r>
              <m:rPr>
                <m:nor/>
              </m:rPr>
              <w:rPr>
                <w:sz w:val="32"/>
                <w:lang w:eastAsia="zh-TW"/>
              </w:rPr>
              <m:t>v</m:t>
            </m:r>
            <m:r>
              <m:rPr>
                <m:nor/>
              </m:rPr>
              <w:rPr>
                <w:sz w:val="32"/>
              </w:rPr>
              <m:t>alue of assets</m:t>
            </m:r>
            <m:r>
              <m:rPr>
                <m:nor/>
              </m:rPr>
              <w:rPr>
                <w:rFonts w:ascii="Cambria Math" w:hint="eastAsia"/>
                <w:sz w:val="32"/>
                <w:lang w:eastAsia="zh-TW"/>
              </w:rPr>
              <m:t xml:space="preserve"> </m:t>
            </m:r>
            <m:r>
              <m:rPr>
                <m:nor/>
              </m:rPr>
              <w:rPr>
                <w:rFonts w:asciiTheme="minorEastAsia" w:hAnsiTheme="minorEastAsia" w:hint="eastAsia"/>
                <w:sz w:val="32"/>
              </w:rPr>
              <m:t>－</m:t>
            </m:r>
            <m:r>
              <m:rPr>
                <m:nor/>
              </m:rPr>
              <w:rPr>
                <w:rFonts w:ascii="Cambria Math" w:hint="eastAsia"/>
                <w:sz w:val="32"/>
                <w:lang w:eastAsia="zh-TW"/>
              </w:rPr>
              <m:t xml:space="preserve"> </m:t>
            </m:r>
            <m:r>
              <m:rPr>
                <m:nor/>
              </m:rPr>
              <w:rPr>
                <w:sz w:val="32"/>
              </w:rPr>
              <m:t>Market value of liabilities</m:t>
            </m:r>
          </m:num>
          <m:den>
            <m:r>
              <m:rPr>
                <m:nor/>
              </m:rPr>
              <w:rPr>
                <w:sz w:val="32"/>
              </w:rPr>
              <m:t>S</m:t>
            </m:r>
            <m:r>
              <m:rPr>
                <m:nor/>
              </m:rPr>
              <w:rPr>
                <w:rFonts w:cs="Cambria Math"/>
                <w:sz w:val="32"/>
              </w:rPr>
              <m:t>h</m:t>
            </m:r>
            <m:r>
              <m:rPr>
                <m:nor/>
              </m:rPr>
              <w:rPr>
                <w:sz w:val="32"/>
              </w:rPr>
              <m:t>ares outstanding</m:t>
            </m:r>
          </m:den>
        </m:f>
      </m:oMath>
    </w:p>
    <w:p w:rsidR="008D48FA" w:rsidRDefault="008D48FA" w:rsidP="008D48FA">
      <w:pPr>
        <w:keepLines/>
        <w:tabs>
          <w:tab w:val="left" w:pos="540"/>
        </w:tabs>
        <w:ind w:left="1440"/>
      </w:pPr>
    </w:p>
    <w:p w:rsidR="00023F95" w:rsidRDefault="008D48FA" w:rsidP="008D48FA">
      <w:pPr>
        <w:keepLines/>
        <w:tabs>
          <w:tab w:val="left" w:pos="540"/>
        </w:tabs>
        <w:ind w:firstLineChars="827" w:firstLine="1985"/>
      </w:pPr>
      <w:r>
        <w:rPr>
          <w:rFonts w:hint="eastAsia"/>
          <w:lang w:eastAsia="zh-TW"/>
        </w:rPr>
        <w:t xml:space="preserve">= </w:t>
      </w:r>
      <m:oMath>
        <m:f>
          <m:fPr>
            <m:ctrlPr>
              <w:rPr>
                <w:rFonts w:ascii="Cambria Math" w:hAnsi="Cambria Math"/>
                <w:sz w:val="32"/>
              </w:rPr>
            </m:ctrlPr>
          </m:fPr>
          <m:num>
            <m:r>
              <m:rPr>
                <m:nor/>
              </m:rPr>
              <w:rPr>
                <w:sz w:val="32"/>
              </w:rPr>
              <m:t>$200,000,000</m:t>
            </m:r>
            <m:r>
              <m:rPr>
                <m:nor/>
              </m:rPr>
              <w:rPr>
                <w:rFonts w:hAnsiTheme="minorEastAsia"/>
                <w:sz w:val="32"/>
              </w:rPr>
              <m:t>－</m:t>
            </m:r>
            <m:r>
              <m:rPr>
                <m:nor/>
              </m:rPr>
              <w:rPr>
                <w:sz w:val="32"/>
                <w:lang w:eastAsia="zh-TW"/>
              </w:rPr>
              <m:t xml:space="preserve"> $3,000,000</m:t>
            </m:r>
          </m:num>
          <m:den>
            <m:r>
              <m:rPr>
                <m:nor/>
              </m:rPr>
              <w:rPr>
                <w:sz w:val="32"/>
              </w:rPr>
              <m:t>5,000,000</m:t>
            </m:r>
          </m:den>
        </m:f>
      </m:oMath>
      <w:r w:rsidR="00F94217">
        <w:rPr>
          <w:sz w:val="32"/>
        </w:rPr>
        <w:t xml:space="preserve"> </w:t>
      </w:r>
      <w:r w:rsidR="00023F95">
        <w:t>= $39.40</w:t>
      </w:r>
    </w:p>
    <w:p w:rsidR="00023F95" w:rsidRDefault="00023F95" w:rsidP="00896CC5">
      <w:pPr>
        <w:keepLines/>
        <w:tabs>
          <w:tab w:val="left" w:pos="540"/>
        </w:tabs>
        <w:spacing w:line="360" w:lineRule="auto"/>
      </w:pPr>
    </w:p>
    <w:p w:rsidR="00023F95" w:rsidRDefault="00023F95" w:rsidP="00896CC5">
      <w:pPr>
        <w:keepLines/>
        <w:numPr>
          <w:ilvl w:val="1"/>
          <w:numId w:val="22"/>
        </w:numPr>
        <w:tabs>
          <w:tab w:val="left" w:pos="540"/>
        </w:tabs>
        <w:spacing w:line="360" w:lineRule="auto"/>
      </w:pPr>
      <w:r>
        <w:t xml:space="preserve">Premium (or discount) = </w:t>
      </w:r>
      <w:r w:rsidRPr="000B3B07">
        <w:rPr>
          <w:position w:val="-24"/>
        </w:rPr>
        <w:object w:dxaOrig="1400" w:dyaOrig="620">
          <v:shape id="_x0000_i1028" type="#_x0000_t75" style="width:69.75pt;height:30.75pt" o:ole="" fillcolor="window">
            <v:imagedata r:id="rId15" o:title=""/>
          </v:shape>
          <o:OLEObject Type="Embed" ProgID="Equation.3" ShapeID="_x0000_i1028" DrawAspect="Content" ObjectID="_1513424251" r:id="rId16"/>
        </w:object>
      </w:r>
      <w:r>
        <w:t xml:space="preserve"> = </w:t>
      </w:r>
      <w:r w:rsidRPr="000B3B07">
        <w:rPr>
          <w:position w:val="-26"/>
        </w:rPr>
        <w:object w:dxaOrig="1340" w:dyaOrig="639">
          <v:shape id="_x0000_i1029" type="#_x0000_t75" style="width:66.75pt;height:32.25pt" o:ole="" fillcolor="window">
            <v:imagedata r:id="rId17" o:title=""/>
          </v:shape>
          <o:OLEObject Type="Embed" ProgID="Equation.3" ShapeID="_x0000_i1029" DrawAspect="Content" ObjectID="_1513424252" r:id="rId18"/>
        </w:object>
      </w:r>
      <w:r w:rsidR="0097117D">
        <w:t>= –0.086</w:t>
      </w:r>
      <w:r w:rsidR="00230543">
        <w:t>3</w:t>
      </w:r>
      <w:r w:rsidR="0097117D">
        <w:t xml:space="preserve"> =  –</w:t>
      </w:r>
      <w:r>
        <w:t>8.6</w:t>
      </w:r>
      <w:r w:rsidR="00230543">
        <w:t>3</w:t>
      </w:r>
      <w:r>
        <w:t>%</w:t>
      </w:r>
    </w:p>
    <w:p w:rsidR="00023F95" w:rsidRDefault="00023F95" w:rsidP="00896CC5">
      <w:pPr>
        <w:keepLines/>
        <w:ind w:left="2520" w:hanging="1080"/>
      </w:pPr>
      <w:r>
        <w:t>The fund sells at an 8.6</w:t>
      </w:r>
      <w:r w:rsidR="00230543">
        <w:t>3</w:t>
      </w:r>
      <w:r>
        <w:t>% discount from NAV</w:t>
      </w:r>
      <w:r w:rsidR="00E05A17">
        <w:t>.</w:t>
      </w:r>
    </w:p>
    <w:p w:rsidR="00023F95" w:rsidRDefault="00023F95" w:rsidP="00896CC5">
      <w:pPr>
        <w:keepLines/>
      </w:pPr>
    </w:p>
    <w:p w:rsidR="00023F95" w:rsidRDefault="00023F95" w:rsidP="00896CC5">
      <w:pPr>
        <w:keepLines/>
      </w:pPr>
    </w:p>
    <w:p w:rsidR="00237D06" w:rsidRDefault="007F1C55" w:rsidP="007F1C55">
      <w:pPr>
        <w:keepLines/>
        <w:numPr>
          <w:ilvl w:val="0"/>
          <w:numId w:val="22"/>
        </w:numPr>
      </w:pPr>
      <w:r w:rsidRPr="007F1C55">
        <w:rPr>
          <w:lang w:eastAsia="zh-TW"/>
        </w:rPr>
        <w:t>Given the NAV at the beginning and the end of the period, and the distributions during the period, we can use the equation below to solve for the rate of return of the Corporate Fund:</w:t>
      </w:r>
    </w:p>
    <w:p w:rsidR="002F7877" w:rsidRDefault="002F7877" w:rsidP="002F7877">
      <w:pPr>
        <w:keepLines/>
        <w:ind w:left="720"/>
      </w:pPr>
    </w:p>
    <w:p w:rsidR="00023F95" w:rsidRDefault="00023F95" w:rsidP="00FE0349">
      <w:pPr>
        <w:keepLines/>
        <w:ind w:left="993"/>
      </w:pPr>
      <w:r>
        <w:t>Rate of return =</w:t>
      </w:r>
      <w:r w:rsidR="00237D06">
        <w:rPr>
          <w:rFonts w:hint="eastAsia"/>
          <w:lang w:eastAsia="zh-TW"/>
        </w:rPr>
        <w:t xml:space="preserve"> </w:t>
      </w:r>
      <m:oMath>
        <m:f>
          <m:fPr>
            <m:ctrlPr>
              <w:rPr>
                <w:rFonts w:ascii="Cambria Math" w:hAnsi="Cambria Math"/>
                <w:sz w:val="32"/>
              </w:rPr>
            </m:ctrlPr>
          </m:fPr>
          <m:num>
            <w:proofErr w:type="gramStart"/>
            <m:r>
              <m:rPr>
                <m:nor/>
              </m:rPr>
              <w:rPr>
                <w:rFonts w:asciiTheme="minorEastAsia" w:hAnsiTheme="minorEastAsia"/>
                <w:sz w:val="32"/>
              </w:rPr>
              <m:t>Δ</m:t>
            </m:r>
            <m:r>
              <m:rPr>
                <m:nor/>
              </m:rPr>
              <w:rPr>
                <w:rFonts w:ascii="Cambria Math" w:hAnsiTheme="minorEastAsia" w:hint="eastAsia"/>
                <w:sz w:val="32"/>
                <w:lang w:eastAsia="zh-TW"/>
              </w:rPr>
              <m:t>(</m:t>
            </m:r>
            <w:proofErr w:type="gramEnd"/>
            <m:r>
              <m:rPr>
                <m:nor/>
              </m:rPr>
              <w:rPr>
                <w:rFonts w:ascii="Cambria Math" w:hAnsiTheme="minorEastAsia" w:hint="eastAsia"/>
                <w:sz w:val="32"/>
                <w:lang w:eastAsia="zh-TW"/>
              </w:rPr>
              <m:t>NAV)</m:t>
            </m:r>
            <m:r>
              <m:rPr>
                <m:nor/>
              </m:rPr>
              <w:rPr>
                <w:rFonts w:ascii="Cambria Math" w:hint="eastAsia"/>
                <w:sz w:val="32"/>
                <w:lang w:eastAsia="zh-TW"/>
              </w:rPr>
              <m:t xml:space="preserve"> </m:t>
            </m:r>
            <m:r>
              <m:rPr>
                <m:nor/>
              </m:rPr>
              <w:rPr>
                <w:rFonts w:asciiTheme="minorEastAsia" w:hAnsiTheme="minorEastAsia" w:hint="eastAsia"/>
                <w:sz w:val="32"/>
              </w:rPr>
              <m:t>＋</m:t>
            </m:r>
            <m:r>
              <m:rPr>
                <m:nor/>
              </m:rPr>
              <w:rPr>
                <w:rFonts w:ascii="Cambria Math" w:hint="eastAsia"/>
                <w:sz w:val="32"/>
                <w:lang w:eastAsia="zh-TW"/>
              </w:rPr>
              <m:t xml:space="preserve"> Distribution</m:t>
            </m:r>
            <m:r>
              <m:rPr>
                <m:nor/>
              </m:rPr>
              <w:rPr>
                <w:sz w:val="32"/>
              </w:rPr>
              <m:t>s</m:t>
            </m:r>
          </m:num>
          <m:den>
            <m:r>
              <m:rPr>
                <m:nor/>
              </m:rPr>
              <w:rPr>
                <w:sz w:val="32"/>
              </w:rPr>
              <m:t>S</m:t>
            </m:r>
            <m:r>
              <m:rPr>
                <m:nor/>
              </m:rPr>
              <w:rPr>
                <w:rFonts w:cs="Cambria Math" w:hint="eastAsia"/>
                <w:sz w:val="32"/>
                <w:lang w:eastAsia="zh-TW"/>
              </w:rPr>
              <m:t>tart of year NAV</m:t>
            </m:r>
          </m:den>
        </m:f>
      </m:oMath>
      <w:r>
        <w:t xml:space="preserve">  = </w:t>
      </w:r>
      <w:r w:rsidRPr="00AD70C1">
        <w:rPr>
          <w:position w:val="-26"/>
        </w:rPr>
        <w:object w:dxaOrig="1579" w:dyaOrig="639">
          <v:shape id="_x0000_i1030" type="#_x0000_t75" style="width:78.75pt;height:32.25pt" o:ole="" fillcolor="window">
            <v:imagedata r:id="rId19" o:title=""/>
          </v:shape>
          <o:OLEObject Type="Embed" ProgID="Equation.3" ShapeID="_x0000_i1030" DrawAspect="Content" ObjectID="_1513424253" r:id="rId20"/>
        </w:object>
      </w:r>
      <w:r>
        <w:t>= 0.0880 = 8.80%</w:t>
      </w:r>
    </w:p>
    <w:p w:rsidR="00FE0349" w:rsidRDefault="00FE0349" w:rsidP="00FE0349">
      <w:pPr>
        <w:keepLines/>
        <w:ind w:left="993"/>
      </w:pPr>
    </w:p>
    <w:p w:rsidR="002F7877" w:rsidRDefault="007F1C55" w:rsidP="007F1C55">
      <w:pPr>
        <w:keepLines/>
        <w:numPr>
          <w:ilvl w:val="0"/>
          <w:numId w:val="22"/>
        </w:numPr>
        <w:tabs>
          <w:tab w:val="left" w:pos="540"/>
        </w:tabs>
        <w:spacing w:line="360" w:lineRule="auto"/>
      </w:pPr>
      <w:r w:rsidRPr="007F1C55">
        <w:rPr>
          <w:lang w:eastAsia="zh-TW"/>
        </w:rPr>
        <w:t xml:space="preserve">As the price of a close-end fund may deviate from its NAV, we </w:t>
      </w:r>
      <w:r w:rsidR="00E05A17" w:rsidRPr="007F1C55">
        <w:rPr>
          <w:lang w:eastAsia="zh-TW"/>
        </w:rPr>
        <w:t xml:space="preserve">instead </w:t>
      </w:r>
      <w:r w:rsidRPr="007F1C55">
        <w:rPr>
          <w:lang w:eastAsia="zh-TW"/>
        </w:rPr>
        <w:t>use the price of the net asset value when we calculate the rate of return</w:t>
      </w:r>
      <w:r>
        <w:rPr>
          <w:lang w:eastAsia="zh-TW"/>
        </w:rPr>
        <w:t>:</w:t>
      </w:r>
    </w:p>
    <w:p w:rsidR="00023F95" w:rsidRDefault="00023F95" w:rsidP="00896CC5">
      <w:pPr>
        <w:keepLines/>
        <w:numPr>
          <w:ilvl w:val="1"/>
          <w:numId w:val="22"/>
        </w:numPr>
        <w:tabs>
          <w:tab w:val="left" w:pos="540"/>
        </w:tabs>
        <w:spacing w:line="360" w:lineRule="auto"/>
      </w:pPr>
      <w:r>
        <w:t xml:space="preserve">Start of year price = $12.00 </w:t>
      </w:r>
      <w:r>
        <w:rPr>
          <w:rFonts w:ascii="Symbol" w:hAnsi="Symbol"/>
        </w:rPr>
        <w:sym w:font="Symbol" w:char="F0B4"/>
      </w:r>
      <w:r>
        <w:t xml:space="preserve"> 1.02 = $12.24</w:t>
      </w:r>
    </w:p>
    <w:p w:rsidR="00023F95" w:rsidRDefault="00023F95" w:rsidP="00896CC5">
      <w:pPr>
        <w:keepLines/>
        <w:spacing w:line="360" w:lineRule="auto"/>
        <w:ind w:left="2520" w:hanging="1080"/>
      </w:pPr>
      <w:r>
        <w:t xml:space="preserve">End of year price = $12.10 </w:t>
      </w:r>
      <w:r>
        <w:rPr>
          <w:rFonts w:ascii="Symbol" w:hAnsi="Symbol"/>
        </w:rPr>
        <w:sym w:font="Symbol" w:char="F0B4"/>
      </w:r>
      <w:r>
        <w:t xml:space="preserve"> 0.93 = $11.25</w:t>
      </w:r>
      <w:r w:rsidR="00202383">
        <w:t>3</w:t>
      </w:r>
    </w:p>
    <w:p w:rsidR="00023F95" w:rsidRDefault="00023F95" w:rsidP="00896CC5">
      <w:pPr>
        <w:keepLines/>
        <w:spacing w:line="360" w:lineRule="auto"/>
        <w:ind w:left="2520" w:hanging="1080"/>
      </w:pPr>
      <w:r>
        <w:t>Although NAV increased, the</w:t>
      </w:r>
      <w:r w:rsidR="00202383">
        <w:t xml:space="preserve"> price of the fund fell by $0.987</w:t>
      </w:r>
      <w:r>
        <w:t>.</w:t>
      </w:r>
    </w:p>
    <w:p w:rsidR="00023F95" w:rsidRDefault="00023F95" w:rsidP="002F7877">
      <w:pPr>
        <w:keepLines/>
        <w:ind w:left="1418" w:right="-180" w:hanging="1418"/>
      </w:pPr>
      <w:r>
        <w:tab/>
        <w:t>Rate of return =</w:t>
      </w:r>
      <w:r w:rsidRPr="00F94217">
        <w:t xml:space="preserve"> </w:t>
      </w:r>
      <m:oMath>
        <m:f>
          <m:fPr>
            <m:ctrlPr>
              <w:rPr>
                <w:rFonts w:ascii="Cambria Math" w:hAnsi="Cambria Math"/>
                <w:sz w:val="32"/>
              </w:rPr>
            </m:ctrlPr>
          </m:fPr>
          <m:num>
            <w:proofErr w:type="gramStart"/>
            <m:r>
              <m:rPr>
                <m:nor/>
              </m:rPr>
              <w:rPr>
                <w:sz w:val="32"/>
              </w:rPr>
              <m:t>Δ</m:t>
            </m:r>
            <m:r>
              <m:rPr>
                <m:nor/>
              </m:rPr>
              <w:rPr>
                <w:sz w:val="32"/>
                <w:lang w:eastAsia="zh-TW"/>
              </w:rPr>
              <m:t>(</m:t>
            </m:r>
            <w:proofErr w:type="gramEnd"/>
            <m:r>
              <m:rPr>
                <m:nor/>
              </m:rPr>
              <w:rPr>
                <w:sz w:val="32"/>
                <w:lang w:eastAsia="zh-TW"/>
              </w:rPr>
              <m:t xml:space="preserve">Price) </m:t>
            </m:r>
            <m:r>
              <m:rPr>
                <m:nor/>
              </m:rPr>
              <w:rPr>
                <w:rFonts w:hAnsiTheme="minorEastAsia"/>
                <w:sz w:val="32"/>
              </w:rPr>
              <m:t>＋</m:t>
            </m:r>
            <m:r>
              <m:rPr>
                <m:nor/>
              </m:rPr>
              <w:rPr>
                <w:sz w:val="32"/>
                <w:lang w:eastAsia="zh-TW"/>
              </w:rPr>
              <m:t xml:space="preserve"> Distribution</m:t>
            </m:r>
            <m:r>
              <m:rPr>
                <m:nor/>
              </m:rPr>
              <w:rPr>
                <w:sz w:val="32"/>
              </w:rPr>
              <m:t>s</m:t>
            </m:r>
          </m:num>
          <m:den>
            <m:r>
              <m:rPr>
                <m:nor/>
              </m:rPr>
              <w:rPr>
                <w:sz w:val="32"/>
              </w:rPr>
              <m:t>S</m:t>
            </m:r>
            <m:r>
              <m:rPr>
                <m:nor/>
              </m:rPr>
              <w:rPr>
                <w:sz w:val="32"/>
                <w:lang w:eastAsia="zh-TW"/>
              </w:rPr>
              <m:t xml:space="preserve">tart of year </m:t>
            </m:r>
            <m:r>
              <m:rPr>
                <m:nor/>
              </m:rPr>
              <w:rPr>
                <w:rFonts w:hint="eastAsia"/>
                <w:sz w:val="32"/>
                <w:lang w:eastAsia="zh-TW"/>
              </w:rPr>
              <m:t>p</m:t>
            </m:r>
            <m:r>
              <m:rPr>
                <m:nor/>
              </m:rPr>
              <w:rPr>
                <w:sz w:val="32"/>
                <w:lang w:eastAsia="zh-TW"/>
              </w:rPr>
              <m:t>rice</m:t>
            </m:r>
          </m:den>
        </m:f>
      </m:oMath>
      <w:r>
        <w:t xml:space="preserve"> = </w:t>
      </w:r>
      <w:r w:rsidR="006C6460" w:rsidRPr="000B3B07">
        <w:rPr>
          <w:position w:val="-26"/>
        </w:rPr>
        <w:object w:dxaOrig="1719" w:dyaOrig="639">
          <v:shape id="_x0000_i1031" type="#_x0000_t75" style="width:85.5pt;height:32.25pt" o:ole="" fillcolor="window">
            <v:imagedata r:id="rId21" o:title=""/>
          </v:shape>
          <o:OLEObject Type="Embed" ProgID="Equation.3" ShapeID="_x0000_i1031" DrawAspect="Content" ObjectID="_1513424254" r:id="rId22"/>
        </w:object>
      </w:r>
      <w:r w:rsidR="00202383">
        <w:t>= 0.0419 = 4.19</w:t>
      </w:r>
      <w:r>
        <w:t>%</w:t>
      </w:r>
    </w:p>
    <w:p w:rsidR="00023F95" w:rsidRDefault="00023F95" w:rsidP="00896CC5">
      <w:pPr>
        <w:keepLines/>
      </w:pPr>
    </w:p>
    <w:p w:rsidR="00023F95" w:rsidRDefault="00023F95" w:rsidP="00896CC5">
      <w:pPr>
        <w:keepLines/>
        <w:numPr>
          <w:ilvl w:val="1"/>
          <w:numId w:val="22"/>
        </w:numPr>
        <w:tabs>
          <w:tab w:val="left" w:pos="540"/>
        </w:tabs>
        <w:spacing w:after="120"/>
      </w:pPr>
      <w:r>
        <w:t>An investor holding the same portfolio as the fund manager would have earned a rate of return based on the increase in the NAV of the portfolio:</w:t>
      </w:r>
    </w:p>
    <w:p w:rsidR="00023F95" w:rsidRDefault="00023F95" w:rsidP="002F7877">
      <w:pPr>
        <w:keepLines/>
        <w:ind w:left="1418" w:hanging="1080"/>
      </w:pPr>
      <w:r>
        <w:tab/>
        <w:t>Rate of return =</w:t>
      </w:r>
      <w:r w:rsidR="00CB2712">
        <w:rPr>
          <w:rFonts w:hint="eastAsia"/>
          <w:lang w:eastAsia="zh-TW"/>
        </w:rPr>
        <w:t xml:space="preserve"> </w:t>
      </w:r>
      <m:oMath>
        <m:f>
          <m:fPr>
            <m:ctrlPr>
              <w:rPr>
                <w:rFonts w:ascii="Cambria Math" w:hAnsi="Cambria Math"/>
                <w:sz w:val="32"/>
              </w:rPr>
            </m:ctrlPr>
          </m:fPr>
          <m:num>
            <w:proofErr w:type="gramStart"/>
            <m:r>
              <m:rPr>
                <m:nor/>
              </m:rPr>
              <w:rPr>
                <w:sz w:val="32"/>
              </w:rPr>
              <m:t>Δ</m:t>
            </m:r>
            <m:r>
              <m:rPr>
                <m:nor/>
              </m:rPr>
              <w:rPr>
                <w:sz w:val="32"/>
                <w:lang w:eastAsia="zh-TW"/>
              </w:rPr>
              <m:t>(</m:t>
            </m:r>
            <w:proofErr w:type="gramEnd"/>
            <m:r>
              <m:rPr>
                <m:nor/>
              </m:rPr>
              <w:rPr>
                <w:sz w:val="32"/>
                <w:lang w:eastAsia="zh-TW"/>
              </w:rPr>
              <m:t xml:space="preserve">NAV) </m:t>
            </m:r>
            <m:r>
              <m:rPr>
                <m:nor/>
              </m:rPr>
              <w:rPr>
                <w:rFonts w:hAnsiTheme="minorEastAsia"/>
                <w:sz w:val="32"/>
              </w:rPr>
              <m:t>＋</m:t>
            </m:r>
            <m:r>
              <m:rPr>
                <m:nor/>
              </m:rPr>
              <w:rPr>
                <w:sz w:val="32"/>
                <w:lang w:eastAsia="zh-TW"/>
              </w:rPr>
              <m:t xml:space="preserve"> Distribution</m:t>
            </m:r>
            <m:r>
              <m:rPr>
                <m:nor/>
              </m:rPr>
              <w:rPr>
                <w:sz w:val="32"/>
              </w:rPr>
              <m:t>s</m:t>
            </m:r>
          </m:num>
          <m:den>
            <m:r>
              <m:rPr>
                <m:nor/>
              </m:rPr>
              <w:rPr>
                <w:sz w:val="32"/>
              </w:rPr>
              <m:t>S</m:t>
            </m:r>
            <m:r>
              <m:rPr>
                <m:nor/>
              </m:rPr>
              <w:rPr>
                <w:rFonts w:cs="Cambria Math" w:hint="eastAsia"/>
                <w:sz w:val="32"/>
                <w:lang w:eastAsia="zh-TW"/>
              </w:rPr>
              <m:t>tart of year NAV</m:t>
            </m:r>
          </m:den>
        </m:f>
      </m:oMath>
      <w:r>
        <w:t xml:space="preserve">  = </w:t>
      </w:r>
      <w:r w:rsidRPr="000B3B07">
        <w:rPr>
          <w:position w:val="-26"/>
        </w:rPr>
        <w:object w:dxaOrig="1400" w:dyaOrig="639">
          <v:shape id="_x0000_i1032" type="#_x0000_t75" style="width:69.75pt;height:32.25pt" o:ole="" fillcolor="window">
            <v:imagedata r:id="rId23" o:title=""/>
          </v:shape>
          <o:OLEObject Type="Embed" ProgID="Equation.3" ShapeID="_x0000_i1032" DrawAspect="Content" ObjectID="_1513424255" r:id="rId24"/>
        </w:object>
      </w:r>
      <w:r>
        <w:t>= 0.1333 = 13.33%</w:t>
      </w:r>
    </w:p>
    <w:p w:rsidR="00023F95" w:rsidRDefault="00023F95" w:rsidP="00896CC5">
      <w:pPr>
        <w:keepLines/>
      </w:pPr>
    </w:p>
    <w:p w:rsidR="00135085" w:rsidRPr="00D51998" w:rsidRDefault="00135085" w:rsidP="00896CC5">
      <w:pPr>
        <w:keepLines/>
        <w:numPr>
          <w:ilvl w:val="0"/>
          <w:numId w:val="22"/>
        </w:numPr>
        <w:rPr>
          <w:i/>
        </w:rPr>
      </w:pPr>
      <w:r>
        <w:t xml:space="preserve">Assume a hypothetical investment of $100. </w:t>
      </w:r>
      <w:r w:rsidR="00C36660">
        <w:rPr>
          <w:rFonts w:hint="eastAsia"/>
          <w:lang w:eastAsia="zh-TW"/>
        </w:rPr>
        <w:t xml:space="preserve">The end value of the investment will </w:t>
      </w:r>
      <w:r w:rsidR="007F1C55">
        <w:rPr>
          <w:lang w:eastAsia="zh-TW"/>
        </w:rPr>
        <w:t xml:space="preserve">be </w:t>
      </w:r>
      <w:r w:rsidR="00C36660">
        <w:rPr>
          <w:rFonts w:hint="eastAsia"/>
          <w:lang w:eastAsia="zh-TW"/>
        </w:rPr>
        <w:t xml:space="preserve">equal </w:t>
      </w:r>
      <w:r w:rsidR="00C36660" w:rsidRPr="00FC73C5">
        <w:rPr>
          <w:lang w:eastAsia="zh-TW"/>
        </w:rPr>
        <w:t>to</w:t>
      </w:r>
      <w:r w:rsidR="00D51998" w:rsidRPr="00FC73C5">
        <w:rPr>
          <w:i/>
          <w:lang w:eastAsia="zh-TW"/>
        </w:rPr>
        <w:t xml:space="preserve"> I × </w:t>
      </w:r>
      <w:r w:rsidR="00D51998" w:rsidRPr="00E05A17">
        <w:rPr>
          <w:lang w:eastAsia="zh-TW"/>
        </w:rPr>
        <w:t>(1</w:t>
      </w:r>
      <w:r w:rsidR="00AB0C4B" w:rsidRPr="00E05A17">
        <w:rPr>
          <w:lang w:eastAsia="zh-TW"/>
        </w:rPr>
        <w:t xml:space="preserve"> </w:t>
      </w:r>
      <w:r w:rsidR="00AB0C4B" w:rsidRPr="00E05A17">
        <w:t>–</w:t>
      </w:r>
      <w:r w:rsidR="00D51998" w:rsidRPr="00E05A17">
        <w:rPr>
          <w:lang w:eastAsia="zh-TW"/>
        </w:rPr>
        <w:t xml:space="preserve"> front-end load) × (1 + </w:t>
      </w:r>
      <w:r w:rsidR="00FC73C5" w:rsidRPr="00E05A17">
        <w:rPr>
          <w:i/>
          <w:lang w:eastAsia="zh-TW"/>
        </w:rPr>
        <w:t>r</w:t>
      </w:r>
      <w:r w:rsidR="00AB0C4B" w:rsidRPr="00E05A17">
        <w:rPr>
          <w:lang w:eastAsia="zh-TW"/>
        </w:rPr>
        <w:t xml:space="preserve"> </w:t>
      </w:r>
      <w:r w:rsidR="00AB0C4B" w:rsidRPr="00E05A17">
        <w:t xml:space="preserve">– </w:t>
      </w:r>
      <w:r w:rsidR="00D51998" w:rsidRPr="00E05A17">
        <w:rPr>
          <w:lang w:eastAsia="zh-TW"/>
        </w:rPr>
        <w:t>true</w:t>
      </w:r>
      <w:r w:rsidR="00FC73C5" w:rsidRPr="00E05A17">
        <w:rPr>
          <w:lang w:eastAsia="zh-TW"/>
        </w:rPr>
        <w:t xml:space="preserve"> expense ratio</w:t>
      </w:r>
      <w:r w:rsidR="00D51998" w:rsidRPr="00E05A17">
        <w:rPr>
          <w:lang w:eastAsia="zh-TW"/>
        </w:rPr>
        <w:t>)</w:t>
      </w:r>
      <w:r w:rsidR="00D51998" w:rsidRPr="00FC73C5">
        <w:rPr>
          <w:i/>
          <w:vertAlign w:val="superscript"/>
          <w:lang w:eastAsia="zh-TW"/>
        </w:rPr>
        <w:t>T</w:t>
      </w:r>
    </w:p>
    <w:p w:rsidR="00D51998" w:rsidRPr="00D51998" w:rsidRDefault="00D51998" w:rsidP="00D51998">
      <w:pPr>
        <w:keepLines/>
        <w:ind w:left="720"/>
        <w:rPr>
          <w:i/>
        </w:rPr>
      </w:pPr>
    </w:p>
    <w:p w:rsidR="00023F95" w:rsidRPr="00FC73C5" w:rsidRDefault="002B499A" w:rsidP="002F7877">
      <w:pPr>
        <w:keepLines/>
        <w:ind w:left="993"/>
        <w:rPr>
          <w:lang w:eastAsia="zh-TW"/>
        </w:rPr>
      </w:pPr>
      <w:r w:rsidRPr="00FC73C5">
        <w:t>Loaded</w:t>
      </w:r>
      <w:r w:rsidRPr="00FC73C5">
        <w:rPr>
          <w:lang w:eastAsia="zh-TW"/>
        </w:rPr>
        <w:t>-U</w:t>
      </w:r>
      <w:r w:rsidR="00FF4DBE" w:rsidRPr="00FC73C5">
        <w:t xml:space="preserve">p </w:t>
      </w:r>
    </w:p>
    <w:p w:rsidR="00D51998" w:rsidRPr="00FC73C5" w:rsidRDefault="000132F8" w:rsidP="000132F8">
      <w:pPr>
        <w:keepLines/>
        <w:ind w:left="993"/>
        <w:rPr>
          <w:lang w:eastAsia="zh-TW"/>
        </w:rPr>
      </w:pPr>
      <w:r>
        <w:rPr>
          <w:lang w:eastAsia="zh-TW"/>
        </w:rPr>
        <w:lastRenderedPageBreak/>
        <w:t xml:space="preserve">We add </w:t>
      </w:r>
      <w:r w:rsidR="00E05A17">
        <w:rPr>
          <w:lang w:eastAsia="zh-TW"/>
        </w:rPr>
        <w:t>the</w:t>
      </w:r>
      <w:r>
        <w:rPr>
          <w:lang w:eastAsia="zh-TW"/>
        </w:rPr>
        <w:t xml:space="preserve"> 12b-1 fee to the operating expenses to obtain t</w:t>
      </w:r>
      <w:r w:rsidR="00FC73C5" w:rsidRPr="00FC73C5">
        <w:rPr>
          <w:lang w:eastAsia="zh-TW"/>
        </w:rPr>
        <w:t>he true</w:t>
      </w:r>
      <w:r w:rsidR="00D51998" w:rsidRPr="00FC73C5">
        <w:rPr>
          <w:lang w:eastAsia="zh-TW"/>
        </w:rPr>
        <w:t xml:space="preserve"> expense </w:t>
      </w:r>
      <w:r>
        <w:rPr>
          <w:lang w:eastAsia="zh-TW"/>
        </w:rPr>
        <w:t>ratio:</w:t>
      </w:r>
      <w:r w:rsidR="00FC73C5" w:rsidRPr="00FC73C5">
        <w:rPr>
          <w:lang w:eastAsia="zh-TW"/>
        </w:rPr>
        <w:t xml:space="preserve"> </w:t>
      </w:r>
      <w:r w:rsidR="00E05A17">
        <w:rPr>
          <w:lang w:eastAsia="zh-TW"/>
        </w:rPr>
        <w:t>E</w:t>
      </w:r>
      <w:r w:rsidR="00FC73C5" w:rsidRPr="00FC73C5">
        <w:rPr>
          <w:lang w:eastAsia="zh-TW"/>
        </w:rPr>
        <w:t>xpense ratio + (12b-1 fee) = 1% + 0.75% = 1.75%</w:t>
      </w:r>
    </w:p>
    <w:p w:rsidR="00135085" w:rsidRPr="00FC73C5" w:rsidRDefault="00D51998" w:rsidP="002F7877">
      <w:pPr>
        <w:keepLines/>
        <w:tabs>
          <w:tab w:val="left" w:pos="1418"/>
        </w:tabs>
        <w:ind w:left="720" w:firstLineChars="290" w:firstLine="696"/>
      </w:pPr>
      <w:r w:rsidRPr="00FC73C5">
        <w:tab/>
      </w:r>
      <w:r w:rsidRPr="00FC73C5">
        <w:tab/>
        <w:t xml:space="preserve">a. Year 1 = </w:t>
      </w:r>
      <w:r w:rsidR="00FF1ABB">
        <w:rPr>
          <w:rFonts w:hint="eastAsia"/>
          <w:lang w:eastAsia="zh-TW"/>
        </w:rPr>
        <w:t>$</w:t>
      </w:r>
      <w:r w:rsidRPr="00FC73C5">
        <w:t xml:space="preserve">100 </w:t>
      </w:r>
      <w:r w:rsidR="00AB0C4B">
        <w:sym w:font="Symbol" w:char="F0B4"/>
      </w:r>
      <w:r w:rsidRPr="00FC73C5">
        <w:t xml:space="preserve"> (1</w:t>
      </w:r>
      <w:r w:rsidR="004D1020" w:rsidRPr="00FC73C5">
        <w:rPr>
          <w:lang w:eastAsia="zh-TW"/>
        </w:rPr>
        <w:t xml:space="preserve"> + </w:t>
      </w:r>
      <w:r w:rsidR="00FC73C5" w:rsidRPr="00FC73C5">
        <w:t>0</w:t>
      </w:r>
      <w:r w:rsidRPr="00FC73C5">
        <w:t>.06</w:t>
      </w:r>
      <w:r w:rsidR="00AB0C4B">
        <w:t xml:space="preserve"> – </w:t>
      </w:r>
      <w:r w:rsidR="00FC73C5" w:rsidRPr="00FC73C5">
        <w:t>0</w:t>
      </w:r>
      <w:r w:rsidR="00135085" w:rsidRPr="00FC73C5">
        <w:t xml:space="preserve">.0175) = </w:t>
      </w:r>
      <w:r w:rsidR="00FF1ABB">
        <w:rPr>
          <w:rFonts w:hint="eastAsia"/>
          <w:lang w:eastAsia="zh-TW"/>
        </w:rPr>
        <w:t>$</w:t>
      </w:r>
      <w:r w:rsidR="00135085" w:rsidRPr="00FC73C5">
        <w:t>104.25</w:t>
      </w:r>
    </w:p>
    <w:p w:rsidR="00135085" w:rsidRPr="00FC73C5" w:rsidRDefault="00135085" w:rsidP="002F7877">
      <w:pPr>
        <w:keepLines/>
        <w:tabs>
          <w:tab w:val="left" w:pos="1418"/>
        </w:tabs>
        <w:ind w:left="720" w:firstLineChars="290" w:firstLine="696"/>
      </w:pPr>
      <w:r w:rsidRPr="00FC73C5">
        <w:tab/>
      </w:r>
      <w:r w:rsidRPr="00FC73C5">
        <w:tab/>
        <w:t>b</w:t>
      </w:r>
      <w:r w:rsidR="00D51998" w:rsidRPr="00FC73C5">
        <w:t xml:space="preserve">. Year 3 = </w:t>
      </w:r>
      <w:r w:rsidR="00FF1ABB">
        <w:rPr>
          <w:rFonts w:hint="eastAsia"/>
          <w:lang w:eastAsia="zh-TW"/>
        </w:rPr>
        <w:t>$</w:t>
      </w:r>
      <w:r w:rsidR="00D51998" w:rsidRPr="00FC73C5">
        <w:t xml:space="preserve">100 </w:t>
      </w:r>
      <w:r w:rsidR="00AB0C4B">
        <w:sym w:font="Symbol" w:char="F0B4"/>
      </w:r>
      <w:r w:rsidR="00D51998" w:rsidRPr="00FC73C5">
        <w:t xml:space="preserve"> (1</w:t>
      </w:r>
      <w:r w:rsidR="004D1020" w:rsidRPr="00FC73C5">
        <w:rPr>
          <w:lang w:eastAsia="zh-TW"/>
        </w:rPr>
        <w:t xml:space="preserve"> + </w:t>
      </w:r>
      <w:r w:rsidR="00FC73C5" w:rsidRPr="00FC73C5">
        <w:rPr>
          <w:lang w:eastAsia="zh-TW"/>
        </w:rPr>
        <w:t>0</w:t>
      </w:r>
      <w:r w:rsidR="00D51998" w:rsidRPr="00FC73C5">
        <w:t>.06</w:t>
      </w:r>
      <w:r w:rsidR="00AB0C4B">
        <w:t xml:space="preserve"> – </w:t>
      </w:r>
      <w:r w:rsidR="00FC73C5" w:rsidRPr="00FC73C5">
        <w:t>0</w:t>
      </w:r>
      <w:r w:rsidR="00D51998" w:rsidRPr="00FC73C5">
        <w:t>.0175)</w:t>
      </w:r>
      <w:r w:rsidR="00D51998" w:rsidRPr="00FC73C5">
        <w:rPr>
          <w:vertAlign w:val="superscript"/>
          <w:lang w:eastAsia="zh-TW"/>
        </w:rPr>
        <w:t>3</w:t>
      </w:r>
      <w:r w:rsidRPr="00FC73C5">
        <w:t xml:space="preserve"> = </w:t>
      </w:r>
      <w:r w:rsidR="00FF1ABB">
        <w:rPr>
          <w:rFonts w:hint="eastAsia"/>
          <w:lang w:eastAsia="zh-TW"/>
        </w:rPr>
        <w:t>$</w:t>
      </w:r>
      <w:r w:rsidR="0088356F">
        <w:t>113</w:t>
      </w:r>
      <w:r w:rsidRPr="00FC73C5">
        <w:t>.30</w:t>
      </w:r>
    </w:p>
    <w:p w:rsidR="00135085" w:rsidRPr="00FC73C5" w:rsidRDefault="00135085" w:rsidP="002F7877">
      <w:pPr>
        <w:keepLines/>
        <w:tabs>
          <w:tab w:val="left" w:pos="1418"/>
        </w:tabs>
        <w:ind w:left="720" w:firstLineChars="290" w:firstLine="696"/>
      </w:pPr>
      <w:r w:rsidRPr="00FC73C5">
        <w:tab/>
      </w:r>
      <w:r w:rsidRPr="00FC73C5">
        <w:tab/>
        <w:t xml:space="preserve">c. </w:t>
      </w:r>
      <w:r w:rsidR="00D51998" w:rsidRPr="00FC73C5">
        <w:t xml:space="preserve">Year 10 = </w:t>
      </w:r>
      <w:r w:rsidR="00FF1ABB">
        <w:rPr>
          <w:rFonts w:hint="eastAsia"/>
          <w:lang w:eastAsia="zh-TW"/>
        </w:rPr>
        <w:t>$</w:t>
      </w:r>
      <w:r w:rsidR="00D51998" w:rsidRPr="00FC73C5">
        <w:t xml:space="preserve">100 </w:t>
      </w:r>
      <w:r w:rsidR="00AB0C4B">
        <w:sym w:font="Symbol" w:char="F0B4"/>
      </w:r>
      <w:r w:rsidR="00D51998" w:rsidRPr="00FC73C5">
        <w:t xml:space="preserve"> (1</w:t>
      </w:r>
      <w:r w:rsidR="004D1020" w:rsidRPr="00FC73C5">
        <w:rPr>
          <w:lang w:eastAsia="zh-TW"/>
        </w:rPr>
        <w:t xml:space="preserve"> + </w:t>
      </w:r>
      <w:r w:rsidR="00FC73C5" w:rsidRPr="00FC73C5">
        <w:t>0</w:t>
      </w:r>
      <w:r w:rsidR="00D51998" w:rsidRPr="00FC73C5">
        <w:t>.06</w:t>
      </w:r>
      <w:r w:rsidR="00AB0C4B">
        <w:t xml:space="preserve"> – </w:t>
      </w:r>
      <w:r w:rsidR="00FC73C5" w:rsidRPr="00FC73C5">
        <w:t>0</w:t>
      </w:r>
      <w:r w:rsidR="00D51998" w:rsidRPr="00FC73C5">
        <w:t>.0175)</w:t>
      </w:r>
      <w:r w:rsidR="00D51998" w:rsidRPr="00FC73C5">
        <w:rPr>
          <w:vertAlign w:val="superscript"/>
          <w:lang w:eastAsia="zh-TW"/>
        </w:rPr>
        <w:t>10</w:t>
      </w:r>
      <w:r w:rsidRPr="00FC73C5">
        <w:t xml:space="preserve"> = </w:t>
      </w:r>
      <w:r w:rsidR="00FF1ABB">
        <w:rPr>
          <w:rFonts w:hint="eastAsia"/>
          <w:lang w:eastAsia="zh-TW"/>
        </w:rPr>
        <w:t>$</w:t>
      </w:r>
      <w:r w:rsidRPr="00FC73C5">
        <w:t>151.62</w:t>
      </w:r>
    </w:p>
    <w:p w:rsidR="00135085" w:rsidRPr="00FC73C5" w:rsidRDefault="00135085" w:rsidP="002F7877">
      <w:pPr>
        <w:keepLines/>
        <w:tabs>
          <w:tab w:val="left" w:pos="1418"/>
        </w:tabs>
        <w:ind w:left="720" w:firstLineChars="290" w:firstLine="696"/>
      </w:pPr>
    </w:p>
    <w:p w:rsidR="00135085" w:rsidRDefault="00135085" w:rsidP="002F7877">
      <w:pPr>
        <w:keepLines/>
        <w:tabs>
          <w:tab w:val="left" w:pos="1418"/>
        </w:tabs>
        <w:ind w:left="720" w:firstLineChars="113" w:firstLine="271"/>
      </w:pPr>
      <w:r>
        <w:t>Economy fund</w:t>
      </w:r>
    </w:p>
    <w:p w:rsidR="00135085" w:rsidRDefault="00FC73C5" w:rsidP="002F7877">
      <w:pPr>
        <w:keepLines/>
        <w:tabs>
          <w:tab w:val="left" w:pos="1418"/>
        </w:tabs>
        <w:ind w:left="720" w:firstLineChars="290" w:firstLine="696"/>
      </w:pPr>
      <w:r>
        <w:tab/>
      </w:r>
      <w:r>
        <w:tab/>
        <w:t xml:space="preserve">a. Year 1 = </w:t>
      </w:r>
      <w:r w:rsidR="00FF1ABB">
        <w:rPr>
          <w:rFonts w:hint="eastAsia"/>
          <w:lang w:eastAsia="zh-TW"/>
        </w:rPr>
        <w:t>$</w:t>
      </w:r>
      <w:r>
        <w:t xml:space="preserve">100 </w:t>
      </w:r>
      <w:r w:rsidR="00AB0C4B">
        <w:sym w:font="Symbol" w:char="F0B4"/>
      </w:r>
      <w:r w:rsidR="00135085">
        <w:t xml:space="preserve"> </w:t>
      </w:r>
      <w:r>
        <w:t>0</w:t>
      </w:r>
      <w:r w:rsidR="00135085">
        <w:t>.98</w:t>
      </w:r>
      <w:r>
        <w:t xml:space="preserve"> </w:t>
      </w:r>
      <w:r w:rsidR="00AB0C4B">
        <w:sym w:font="Symbol" w:char="F0B4"/>
      </w:r>
      <w:r w:rsidR="00135085">
        <w:t xml:space="preserve"> (1</w:t>
      </w:r>
      <w:r w:rsidR="004D1020" w:rsidRPr="00FC73C5">
        <w:rPr>
          <w:lang w:eastAsia="zh-TW"/>
        </w:rPr>
        <w:t xml:space="preserve"> + </w:t>
      </w:r>
      <w:r>
        <w:t>0</w:t>
      </w:r>
      <w:r w:rsidR="00135085">
        <w:t>.06</w:t>
      </w:r>
      <w:r w:rsidR="00AB0C4B">
        <w:t xml:space="preserve"> – </w:t>
      </w:r>
      <w:r>
        <w:rPr>
          <w:rFonts w:hAnsiTheme="minorEastAsia"/>
        </w:rPr>
        <w:t>0</w:t>
      </w:r>
      <w:r w:rsidR="00135085">
        <w:t xml:space="preserve">.0025) = </w:t>
      </w:r>
      <w:r w:rsidR="00FF1ABB">
        <w:rPr>
          <w:rFonts w:hint="eastAsia"/>
          <w:lang w:eastAsia="zh-TW"/>
        </w:rPr>
        <w:t>$</w:t>
      </w:r>
      <w:r w:rsidR="00135085">
        <w:t>103.64</w:t>
      </w:r>
    </w:p>
    <w:p w:rsidR="00135085" w:rsidRDefault="00135085" w:rsidP="002F7877">
      <w:pPr>
        <w:keepLines/>
        <w:tabs>
          <w:tab w:val="left" w:pos="1418"/>
        </w:tabs>
        <w:ind w:left="720" w:firstLineChars="290" w:firstLine="696"/>
      </w:pPr>
      <w:r>
        <w:tab/>
      </w:r>
      <w:r>
        <w:tab/>
      </w:r>
      <w:r w:rsidR="00FC73C5">
        <w:t xml:space="preserve">b. Year 3 = </w:t>
      </w:r>
      <w:r w:rsidR="00FF1ABB">
        <w:rPr>
          <w:rFonts w:hint="eastAsia"/>
          <w:lang w:eastAsia="zh-TW"/>
        </w:rPr>
        <w:t>$</w:t>
      </w:r>
      <w:r w:rsidR="00FC73C5">
        <w:t xml:space="preserve">100 </w:t>
      </w:r>
      <w:r w:rsidR="00AB0C4B">
        <w:sym w:font="Symbol" w:char="F0B4"/>
      </w:r>
      <w:r>
        <w:t xml:space="preserve"> </w:t>
      </w:r>
      <w:r w:rsidR="00FC73C5">
        <w:t>0</w:t>
      </w:r>
      <w:r>
        <w:t xml:space="preserve">.98 </w:t>
      </w:r>
      <w:r w:rsidR="00AB0C4B">
        <w:sym w:font="Symbol" w:char="F0B4"/>
      </w:r>
      <w:r>
        <w:t xml:space="preserve"> (1</w:t>
      </w:r>
      <w:r w:rsidR="004D1020" w:rsidRPr="00FC73C5">
        <w:rPr>
          <w:lang w:eastAsia="zh-TW"/>
        </w:rPr>
        <w:t xml:space="preserve"> + </w:t>
      </w:r>
      <w:r w:rsidR="00FC73C5">
        <w:t>0</w:t>
      </w:r>
      <w:r>
        <w:t>.06</w:t>
      </w:r>
      <w:r w:rsidR="00AB0C4B">
        <w:t xml:space="preserve"> – </w:t>
      </w:r>
      <w:r w:rsidR="00FC73C5">
        <w:rPr>
          <w:rFonts w:hAnsiTheme="minorEastAsia"/>
        </w:rPr>
        <w:t>0</w:t>
      </w:r>
      <w:r>
        <w:t>.0025)</w:t>
      </w:r>
      <w:r w:rsidR="00FC73C5">
        <w:rPr>
          <w:vertAlign w:val="superscript"/>
        </w:rPr>
        <w:t>3</w:t>
      </w:r>
      <w:r>
        <w:t xml:space="preserve"> = </w:t>
      </w:r>
      <w:r w:rsidR="00FF1ABB">
        <w:rPr>
          <w:rFonts w:hint="eastAsia"/>
          <w:lang w:eastAsia="zh-TW"/>
        </w:rPr>
        <w:t>$</w:t>
      </w:r>
      <w:r>
        <w:t>115.90</w:t>
      </w:r>
    </w:p>
    <w:p w:rsidR="00135085" w:rsidRDefault="00135085" w:rsidP="002F7877">
      <w:pPr>
        <w:keepLines/>
        <w:tabs>
          <w:tab w:val="left" w:pos="1418"/>
        </w:tabs>
        <w:ind w:left="720" w:firstLineChars="290" w:firstLine="696"/>
      </w:pPr>
      <w:r>
        <w:tab/>
      </w:r>
      <w:r>
        <w:tab/>
        <w:t>c. Year</w:t>
      </w:r>
      <w:r w:rsidR="00FC73C5">
        <w:t xml:space="preserve"> 10 = </w:t>
      </w:r>
      <w:r w:rsidR="00FF1ABB">
        <w:rPr>
          <w:rFonts w:hint="eastAsia"/>
          <w:lang w:eastAsia="zh-TW"/>
        </w:rPr>
        <w:t>$</w:t>
      </w:r>
      <w:r w:rsidR="00FC73C5">
        <w:t xml:space="preserve">100 </w:t>
      </w:r>
      <w:r w:rsidR="00AB0C4B">
        <w:sym w:font="Symbol" w:char="F0B4"/>
      </w:r>
      <w:r w:rsidR="00FC73C5">
        <w:t xml:space="preserve"> 0.98 </w:t>
      </w:r>
      <w:r w:rsidR="00AB0C4B">
        <w:sym w:font="Symbol" w:char="F0B4"/>
      </w:r>
      <w:r w:rsidR="00FC73C5">
        <w:t xml:space="preserve"> (1</w:t>
      </w:r>
      <w:r w:rsidR="004D1020" w:rsidRPr="00FC73C5">
        <w:rPr>
          <w:lang w:eastAsia="zh-TW"/>
        </w:rPr>
        <w:t xml:space="preserve"> + </w:t>
      </w:r>
      <w:r w:rsidR="00FC73C5">
        <w:t>0.06</w:t>
      </w:r>
      <w:r w:rsidR="00AB0C4B">
        <w:t xml:space="preserve"> – </w:t>
      </w:r>
      <w:r w:rsidR="00FC73C5">
        <w:rPr>
          <w:rFonts w:hAnsiTheme="minorEastAsia"/>
        </w:rPr>
        <w:t>0</w:t>
      </w:r>
      <w:r w:rsidR="00FC73C5">
        <w:t>.0025)</w:t>
      </w:r>
      <w:r w:rsidR="00FC73C5">
        <w:rPr>
          <w:vertAlign w:val="superscript"/>
        </w:rPr>
        <w:t>10</w:t>
      </w:r>
      <w:r>
        <w:t xml:space="preserve"> = </w:t>
      </w:r>
      <w:r w:rsidR="00FF1ABB">
        <w:rPr>
          <w:rFonts w:hint="eastAsia"/>
          <w:lang w:eastAsia="zh-TW"/>
        </w:rPr>
        <w:t>$</w:t>
      </w:r>
      <w:r>
        <w:t>171.41</w:t>
      </w:r>
    </w:p>
    <w:p w:rsidR="00135085" w:rsidRDefault="00135085" w:rsidP="002F7877">
      <w:pPr>
        <w:keepLines/>
        <w:tabs>
          <w:tab w:val="left" w:pos="1418"/>
        </w:tabs>
        <w:ind w:left="720" w:firstLineChars="290" w:firstLine="696"/>
      </w:pPr>
    </w:p>
    <w:p w:rsidR="00C17403" w:rsidRPr="00F94217" w:rsidRDefault="00C17403" w:rsidP="00896CC5">
      <w:pPr>
        <w:keepLines/>
        <w:numPr>
          <w:ilvl w:val="0"/>
          <w:numId w:val="22"/>
        </w:numPr>
      </w:pPr>
    </w:p>
    <w:p w:rsidR="00F94217" w:rsidRPr="00FF1ABB" w:rsidRDefault="00135085" w:rsidP="00D6559A">
      <w:pPr>
        <w:keepLines/>
        <w:numPr>
          <w:ilvl w:val="1"/>
          <w:numId w:val="22"/>
        </w:numPr>
        <w:tabs>
          <w:tab w:val="left" w:pos="540"/>
        </w:tabs>
      </w:pPr>
      <w:r w:rsidRPr="00F94217">
        <w:t xml:space="preserve"> </w:t>
      </w:r>
      <w:r w:rsidR="00F94217" w:rsidRPr="00F94217">
        <w:t>NAV =</w:t>
      </w:r>
      <w:r w:rsidR="00F94217" w:rsidRPr="00F94217">
        <w:rPr>
          <w:lang w:eastAsia="zh-TW"/>
        </w:rPr>
        <w:t xml:space="preserve"> </w:t>
      </w:r>
      <w:r w:rsidR="00F94217" w:rsidRPr="00F94217">
        <w:t xml:space="preserve"> </w:t>
      </w:r>
      <m:oMath>
        <m:f>
          <m:fPr>
            <m:ctrlPr>
              <w:rPr>
                <w:rFonts w:ascii="Cambria Math" w:hAnsi="Cambria Math"/>
                <w:sz w:val="32"/>
              </w:rPr>
            </m:ctrlPr>
          </m:fPr>
          <m:num>
            <m:r>
              <m:rPr>
                <m:nor/>
              </m:rPr>
              <w:rPr>
                <w:sz w:val="32"/>
              </w:rPr>
              <m:t xml:space="preserve">Market </m:t>
            </m:r>
            <m:r>
              <m:rPr>
                <m:nor/>
              </m:rPr>
              <w:rPr>
                <w:sz w:val="32"/>
                <w:lang w:eastAsia="zh-TW"/>
              </w:rPr>
              <m:t>v</m:t>
            </m:r>
            <m:r>
              <m:rPr>
                <m:nor/>
              </m:rPr>
              <w:rPr>
                <w:sz w:val="32"/>
              </w:rPr>
              <m:t>alue of assets</m:t>
            </m:r>
            <m:r>
              <m:rPr>
                <m:nor/>
              </m:rPr>
              <w:rPr>
                <w:sz w:val="32"/>
                <w:lang w:eastAsia="zh-TW"/>
              </w:rPr>
              <m:t xml:space="preserve"> </m:t>
            </m:r>
            <m:r>
              <m:rPr>
                <m:nor/>
              </m:rPr>
              <w:rPr>
                <w:sz w:val="32"/>
              </w:rPr>
              <m:t>－</m:t>
            </m:r>
            <m:r>
              <m:rPr>
                <m:nor/>
              </m:rPr>
              <w:rPr>
                <w:sz w:val="32"/>
                <w:lang w:eastAsia="zh-TW"/>
              </w:rPr>
              <m:t xml:space="preserve"> </m:t>
            </m:r>
            <m:r>
              <m:rPr>
                <m:nor/>
              </m:rPr>
              <w:rPr>
                <w:sz w:val="32"/>
              </w:rPr>
              <m:t>Market value of liabilities</m:t>
            </m:r>
          </m:num>
          <m:den>
            <m:r>
              <m:rPr>
                <m:nor/>
              </m:rPr>
              <w:rPr>
                <w:sz w:val="32"/>
              </w:rPr>
              <m:t>Shares outstanding</m:t>
            </m:r>
          </m:den>
        </m:f>
      </m:oMath>
    </w:p>
    <w:p w:rsidR="00FF1ABB" w:rsidRPr="00F94217" w:rsidRDefault="00FF1ABB" w:rsidP="00FF1ABB">
      <w:pPr>
        <w:keepLines/>
        <w:tabs>
          <w:tab w:val="left" w:pos="540"/>
        </w:tabs>
        <w:ind w:left="1440"/>
      </w:pPr>
    </w:p>
    <w:p w:rsidR="00135085" w:rsidRDefault="00F94217" w:rsidP="00F94217">
      <w:pPr>
        <w:keepLines/>
        <w:ind w:left="720" w:firstLineChars="527" w:firstLine="1265"/>
      </w:pPr>
      <w:r>
        <w:t xml:space="preserve"> </w:t>
      </w:r>
      <w:r w:rsidR="002F7877">
        <w:t xml:space="preserve"> </w:t>
      </w:r>
      <w:r>
        <w:t xml:space="preserve">= </w:t>
      </w:r>
      <m:oMath>
        <m:f>
          <m:fPr>
            <m:ctrlPr>
              <w:rPr>
                <w:rFonts w:ascii="Cambria Math" w:hAnsi="Cambria Math"/>
                <w:sz w:val="32"/>
              </w:rPr>
            </m:ctrlPr>
          </m:fPr>
          <m:num>
            <m:r>
              <m:rPr>
                <m:nor/>
              </m:rPr>
              <w:rPr>
                <w:sz w:val="32"/>
              </w:rPr>
              <m:t>$450,000,000</m:t>
            </m:r>
            <m:r>
              <m:rPr>
                <m:nor/>
              </m:rPr>
              <w:rPr>
                <w:sz w:val="32"/>
                <w:lang w:eastAsia="zh-TW"/>
              </w:rPr>
              <m:t xml:space="preserve"> </m:t>
            </m:r>
            <m:r>
              <m:rPr>
                <m:nor/>
              </m:rPr>
              <w:rPr>
                <w:sz w:val="32"/>
              </w:rPr>
              <m:t>－</m:t>
            </m:r>
            <m:r>
              <m:rPr>
                <m:nor/>
              </m:rPr>
              <w:rPr>
                <w:sz w:val="32"/>
                <w:lang w:eastAsia="zh-TW"/>
              </w:rPr>
              <m:t xml:space="preserve"> </m:t>
            </m:r>
            <m:r>
              <m:rPr>
                <m:nor/>
              </m:rPr>
              <w:rPr>
                <w:sz w:val="32"/>
              </w:rPr>
              <m:t>$10</m:t>
            </m:r>
            <m:r>
              <m:rPr>
                <m:nor/>
              </m:rPr>
              <w:rPr>
                <w:rFonts w:ascii="Cambria Math"/>
                <w:sz w:val="32"/>
              </w:rPr>
              <m:t>,000,000</m:t>
            </m:r>
          </m:num>
          <m:den>
            <m:r>
              <m:rPr>
                <m:nor/>
              </m:rPr>
              <w:rPr>
                <w:sz w:val="32"/>
              </w:rPr>
              <m:t>44,000,000</m:t>
            </m:r>
          </m:den>
        </m:f>
      </m:oMath>
      <w:r>
        <w:t xml:space="preserve"> </w:t>
      </w:r>
      <w:r w:rsidR="0011643C">
        <w:t xml:space="preserve"> = $10</w:t>
      </w:r>
    </w:p>
    <w:p w:rsidR="00135085" w:rsidRDefault="00135085" w:rsidP="00896CC5">
      <w:pPr>
        <w:keepLines/>
        <w:ind w:left="720"/>
      </w:pPr>
    </w:p>
    <w:p w:rsidR="00111A4A" w:rsidRDefault="00FF1ABB" w:rsidP="00111A4A">
      <w:pPr>
        <w:pStyle w:val="ListParagraph"/>
        <w:keepLines/>
        <w:numPr>
          <w:ilvl w:val="1"/>
          <w:numId w:val="22"/>
        </w:numPr>
        <w:ind w:leftChars="0"/>
      </w:pPr>
      <w:r>
        <w:t>Because 1</w:t>
      </w:r>
      <w:r w:rsidR="00111A4A">
        <w:t xml:space="preserve"> million shares are redeemed at NAV = $10, the value of the portfolio decreases to:</w:t>
      </w:r>
    </w:p>
    <w:p w:rsidR="00111A4A" w:rsidRDefault="00111A4A" w:rsidP="00111A4A">
      <w:pPr>
        <w:pStyle w:val="ListParagraph"/>
        <w:keepLines/>
        <w:ind w:leftChars="0" w:left="1440"/>
        <w:rPr>
          <w:lang w:eastAsia="zh-TW"/>
        </w:rPr>
      </w:pPr>
      <w:r>
        <w:t>Portfolio value = $450mill</w:t>
      </w:r>
      <w:r w:rsidR="00FF1ABB">
        <w:t>ion</w:t>
      </w:r>
      <w:r w:rsidR="00AB0C4B">
        <w:t xml:space="preserve"> –</w:t>
      </w:r>
      <w:r w:rsidR="00AB0C4B">
        <w:rPr>
          <w:rFonts w:hAnsiTheme="minorEastAsia"/>
        </w:rPr>
        <w:t xml:space="preserve"> </w:t>
      </w:r>
      <w:r w:rsidRPr="00FF1ABB">
        <w:t>($10</w:t>
      </w:r>
      <w:r w:rsidR="00AB0C4B">
        <w:t xml:space="preserve"> </w:t>
      </w:r>
      <w:r w:rsidRPr="00FF1ABB">
        <w:t>×</w:t>
      </w:r>
      <w:r w:rsidR="00AB0C4B">
        <w:t xml:space="preserve"> </w:t>
      </w:r>
      <w:r w:rsidR="00FF1ABB">
        <w:t>1</w:t>
      </w:r>
      <w:r w:rsidRPr="00FF1ABB">
        <w:t>million) =</w:t>
      </w:r>
      <w:r w:rsidR="00FF1ABB">
        <w:rPr>
          <w:rFonts w:hint="eastAsia"/>
          <w:lang w:eastAsia="zh-TW"/>
        </w:rPr>
        <w:t xml:space="preserve"> $440million</w:t>
      </w:r>
    </w:p>
    <w:p w:rsidR="002F7877" w:rsidRDefault="002F7877" w:rsidP="00111A4A">
      <w:pPr>
        <w:pStyle w:val="ListParagraph"/>
        <w:keepLines/>
        <w:ind w:leftChars="0" w:left="1440"/>
        <w:rPr>
          <w:lang w:eastAsia="zh-TW"/>
        </w:rPr>
      </w:pPr>
    </w:p>
    <w:p w:rsidR="00FF1ABB" w:rsidRDefault="007F1C55" w:rsidP="00111A4A">
      <w:pPr>
        <w:pStyle w:val="ListParagraph"/>
        <w:keepLines/>
        <w:ind w:leftChars="0" w:left="1440"/>
        <w:rPr>
          <w:lang w:eastAsia="zh-TW"/>
        </w:rPr>
      </w:pPr>
      <w:r>
        <w:rPr>
          <w:lang w:eastAsia="zh-TW"/>
        </w:rPr>
        <w:t>The n</w:t>
      </w:r>
      <w:r w:rsidR="00FF1ABB">
        <w:rPr>
          <w:rFonts w:hint="eastAsia"/>
          <w:lang w:eastAsia="zh-TW"/>
        </w:rPr>
        <w:t xml:space="preserve">umber of shares outstanding will be the current shares outstanding minus the </w:t>
      </w:r>
      <w:r w:rsidR="00C4382A">
        <w:rPr>
          <w:rFonts w:hint="eastAsia"/>
          <w:lang w:eastAsia="zh-TW"/>
        </w:rPr>
        <w:t xml:space="preserve">number of </w:t>
      </w:r>
      <w:r w:rsidR="00FF1ABB">
        <w:rPr>
          <w:rFonts w:hint="eastAsia"/>
          <w:lang w:eastAsia="zh-TW"/>
        </w:rPr>
        <w:t>shares redeemed: 44million</w:t>
      </w:r>
      <w:r w:rsidR="004D1020">
        <w:t xml:space="preserve"> – </w:t>
      </w:r>
      <w:r w:rsidR="00FF1ABB">
        <w:rPr>
          <w:rFonts w:hint="eastAsia"/>
          <w:lang w:eastAsia="zh-TW"/>
        </w:rPr>
        <w:t xml:space="preserve">1million </w:t>
      </w:r>
      <w:r w:rsidR="00FF1ABB">
        <w:t xml:space="preserve">= </w:t>
      </w:r>
      <w:r w:rsidR="00FF1ABB">
        <w:rPr>
          <w:rFonts w:hint="eastAsia"/>
          <w:lang w:eastAsia="zh-TW"/>
        </w:rPr>
        <w:t xml:space="preserve">43million. </w:t>
      </w:r>
    </w:p>
    <w:p w:rsidR="002F7877" w:rsidRDefault="002F7877" w:rsidP="00111A4A">
      <w:pPr>
        <w:pStyle w:val="ListParagraph"/>
        <w:keepLines/>
        <w:ind w:leftChars="0" w:left="1440"/>
        <w:rPr>
          <w:lang w:eastAsia="zh-TW"/>
        </w:rPr>
      </w:pPr>
    </w:p>
    <w:p w:rsidR="00C4382A" w:rsidRDefault="00C4382A" w:rsidP="00111A4A">
      <w:pPr>
        <w:pStyle w:val="ListParagraph"/>
        <w:keepLines/>
        <w:ind w:leftChars="0" w:left="1440"/>
        <w:rPr>
          <w:lang w:eastAsia="zh-TW"/>
        </w:rPr>
      </w:pPr>
      <w:r>
        <w:rPr>
          <w:rFonts w:hint="eastAsia"/>
          <w:lang w:eastAsia="zh-TW"/>
        </w:rPr>
        <w:t xml:space="preserve">Thus, net asset value </w:t>
      </w:r>
      <w:r w:rsidR="002F7877">
        <w:rPr>
          <w:lang w:eastAsia="zh-TW"/>
        </w:rPr>
        <w:t xml:space="preserve">after the redemption </w:t>
      </w:r>
      <w:r>
        <w:rPr>
          <w:rFonts w:hint="eastAsia"/>
          <w:lang w:eastAsia="zh-TW"/>
        </w:rPr>
        <w:t>will be:</w:t>
      </w:r>
    </w:p>
    <w:p w:rsidR="002F7877" w:rsidRDefault="002F7877" w:rsidP="00111A4A">
      <w:pPr>
        <w:pStyle w:val="ListParagraph"/>
        <w:keepLines/>
        <w:ind w:leftChars="0" w:left="1440"/>
        <w:rPr>
          <w:lang w:eastAsia="zh-TW"/>
        </w:rPr>
      </w:pPr>
    </w:p>
    <w:p w:rsidR="00C4382A" w:rsidRPr="00FF1ABB" w:rsidRDefault="00C4382A" w:rsidP="00D6559A">
      <w:pPr>
        <w:keepLines/>
        <w:tabs>
          <w:tab w:val="left" w:pos="540"/>
        </w:tabs>
        <w:ind w:left="1843"/>
      </w:pPr>
      <w:r w:rsidRPr="00F94217">
        <w:t>NAV =</w:t>
      </w:r>
      <w:r w:rsidRPr="00F94217">
        <w:rPr>
          <w:lang w:eastAsia="zh-TW"/>
        </w:rPr>
        <w:t xml:space="preserve"> </w:t>
      </w:r>
      <w:r w:rsidRPr="00F94217">
        <w:t xml:space="preserve"> </w:t>
      </w:r>
      <m:oMath>
        <m:f>
          <m:fPr>
            <m:ctrlPr>
              <w:rPr>
                <w:rFonts w:ascii="Cambria Math" w:hAnsi="Cambria Math"/>
                <w:sz w:val="32"/>
              </w:rPr>
            </m:ctrlPr>
          </m:fPr>
          <m:num>
            <m:r>
              <m:rPr>
                <m:nor/>
              </m:rPr>
              <w:rPr>
                <w:sz w:val="32"/>
              </w:rPr>
              <m:t xml:space="preserve">Market </m:t>
            </m:r>
            <m:r>
              <m:rPr>
                <m:nor/>
              </m:rPr>
              <w:rPr>
                <w:sz w:val="32"/>
                <w:lang w:eastAsia="zh-TW"/>
              </w:rPr>
              <m:t>v</m:t>
            </m:r>
            <m:r>
              <m:rPr>
                <m:nor/>
              </m:rPr>
              <w:rPr>
                <w:sz w:val="32"/>
              </w:rPr>
              <m:t>alue of assets</m:t>
            </m:r>
            <m:r>
              <m:rPr>
                <m:nor/>
              </m:rPr>
              <w:rPr>
                <w:sz w:val="32"/>
                <w:lang w:eastAsia="zh-TW"/>
              </w:rPr>
              <m:t xml:space="preserve"> </m:t>
            </m:r>
            <m:r>
              <m:rPr>
                <m:nor/>
              </m:rPr>
              <w:rPr>
                <w:sz w:val="32"/>
              </w:rPr>
              <m:t>－</m:t>
            </m:r>
            <m:r>
              <m:rPr>
                <m:nor/>
              </m:rPr>
              <w:rPr>
                <w:sz w:val="32"/>
                <w:lang w:eastAsia="zh-TW"/>
              </w:rPr>
              <m:t xml:space="preserve"> </m:t>
            </m:r>
            <m:r>
              <m:rPr>
                <m:nor/>
              </m:rPr>
              <w:rPr>
                <w:sz w:val="32"/>
              </w:rPr>
              <m:t>Market value of liabilities</m:t>
            </m:r>
          </m:num>
          <m:den>
            <m:r>
              <m:rPr>
                <m:nor/>
              </m:rPr>
              <w:rPr>
                <w:sz w:val="32"/>
              </w:rPr>
              <m:t>Shares outstanding</m:t>
            </m:r>
          </m:den>
        </m:f>
      </m:oMath>
    </w:p>
    <w:p w:rsidR="00C4382A" w:rsidRPr="00F94217" w:rsidRDefault="00C4382A" w:rsidP="00C4382A">
      <w:pPr>
        <w:keepLines/>
        <w:tabs>
          <w:tab w:val="left" w:pos="540"/>
        </w:tabs>
        <w:ind w:left="1440"/>
      </w:pPr>
    </w:p>
    <w:p w:rsidR="00C4382A" w:rsidRPr="00FF1ABB" w:rsidRDefault="00C4382A" w:rsidP="00C4382A">
      <w:pPr>
        <w:pStyle w:val="ListParagraph"/>
        <w:keepLines/>
        <w:ind w:leftChars="0" w:left="1418" w:firstLineChars="236" w:firstLine="566"/>
        <w:rPr>
          <w:lang w:eastAsia="zh-TW"/>
        </w:rPr>
      </w:pPr>
      <w:r>
        <w:t xml:space="preserve"> </w:t>
      </w:r>
      <w:r w:rsidR="00D6559A">
        <w:t xml:space="preserve">       </w:t>
      </w:r>
      <w:r>
        <w:t xml:space="preserve">= </w:t>
      </w:r>
      <m:oMath>
        <m:f>
          <m:fPr>
            <m:ctrlPr>
              <w:rPr>
                <w:rFonts w:ascii="Cambria Math" w:hAnsi="Cambria Math"/>
                <w:sz w:val="32"/>
              </w:rPr>
            </m:ctrlPr>
          </m:fPr>
          <m:num>
            <m:r>
              <m:rPr>
                <m:nor/>
              </m:rPr>
              <w:rPr>
                <w:sz w:val="32"/>
              </w:rPr>
              <m:t>$4</m:t>
            </m:r>
            <m:r>
              <m:rPr>
                <m:nor/>
              </m:rPr>
              <w:rPr>
                <w:rFonts w:hint="eastAsia"/>
                <w:sz w:val="32"/>
                <w:lang w:eastAsia="zh-TW"/>
              </w:rPr>
              <m:t>4</m:t>
            </m:r>
            <m:r>
              <m:rPr>
                <m:nor/>
              </m:rPr>
              <w:rPr>
                <w:sz w:val="32"/>
              </w:rPr>
              <m:t>0,000,000</m:t>
            </m:r>
            <m:r>
              <m:rPr>
                <m:nor/>
              </m:rPr>
              <w:rPr>
                <w:sz w:val="32"/>
                <w:lang w:eastAsia="zh-TW"/>
              </w:rPr>
              <m:t xml:space="preserve"> </m:t>
            </m:r>
            <m:r>
              <m:rPr>
                <m:nor/>
              </m:rPr>
              <w:rPr>
                <w:sz w:val="32"/>
              </w:rPr>
              <m:t>－</m:t>
            </m:r>
            <m:r>
              <m:rPr>
                <m:nor/>
              </m:rPr>
              <w:rPr>
                <w:sz w:val="32"/>
                <w:lang w:eastAsia="zh-TW"/>
              </w:rPr>
              <m:t xml:space="preserve"> </m:t>
            </m:r>
            <m:r>
              <m:rPr>
                <m:nor/>
              </m:rPr>
              <w:rPr>
                <w:sz w:val="32"/>
              </w:rPr>
              <m:t>$10</m:t>
            </m:r>
            <m:r>
              <m:rPr>
                <m:nor/>
              </m:rPr>
              <w:rPr>
                <w:rFonts w:ascii="Cambria Math"/>
                <w:sz w:val="32"/>
              </w:rPr>
              <m:t>,000,000</m:t>
            </m:r>
          </m:num>
          <m:den>
            <m:r>
              <m:rPr>
                <m:nor/>
              </m:rPr>
              <w:rPr>
                <w:sz w:val="32"/>
              </w:rPr>
              <m:t>4</m:t>
            </m:r>
            <m:r>
              <m:rPr>
                <m:nor/>
              </m:rPr>
              <w:rPr>
                <w:rFonts w:hint="eastAsia"/>
                <w:sz w:val="32"/>
                <w:lang w:eastAsia="zh-TW"/>
              </w:rPr>
              <m:t>3</m:t>
            </m:r>
            <m:r>
              <m:rPr>
                <m:nor/>
              </m:rPr>
              <w:rPr>
                <w:sz w:val="32"/>
              </w:rPr>
              <m:t>,000,000</m:t>
            </m:r>
          </m:den>
        </m:f>
      </m:oMath>
      <w:r>
        <w:t xml:space="preserve"> </w:t>
      </w:r>
      <w:r w:rsidR="00E278FF">
        <w:t xml:space="preserve"> = $10</w:t>
      </w:r>
    </w:p>
    <w:p w:rsidR="00C17403" w:rsidRDefault="00C17403" w:rsidP="00896CC5">
      <w:pPr>
        <w:keepLines/>
        <w:ind w:left="720"/>
      </w:pPr>
    </w:p>
    <w:p w:rsidR="00C17403" w:rsidRDefault="00C17403" w:rsidP="00896CC5">
      <w:pPr>
        <w:keepLines/>
        <w:numPr>
          <w:ilvl w:val="0"/>
          <w:numId w:val="22"/>
        </w:numPr>
      </w:pPr>
    </w:p>
    <w:p w:rsidR="00023F95" w:rsidRDefault="00023F95" w:rsidP="00896CC5">
      <w:pPr>
        <w:keepLines/>
        <w:numPr>
          <w:ilvl w:val="1"/>
          <w:numId w:val="22"/>
        </w:numPr>
        <w:tabs>
          <w:tab w:val="left" w:pos="540"/>
        </w:tabs>
      </w:pPr>
      <w:r>
        <w:t xml:space="preserve">Empirical research indicates that past performance of mutual funds is not highly predictive of future performance, especially for better-performing funds.  While there </w:t>
      </w:r>
      <w:r>
        <w:rPr>
          <w:i/>
        </w:rPr>
        <w:t>may</w:t>
      </w:r>
      <w:r>
        <w:t xml:space="preserve"> be some tendency for the fund to be an above average performer next year, it is unlikely to once again be a top 10% performer.</w:t>
      </w:r>
    </w:p>
    <w:p w:rsidR="00023F95" w:rsidRDefault="00023F95" w:rsidP="00896CC5">
      <w:pPr>
        <w:keepLines/>
      </w:pPr>
    </w:p>
    <w:p w:rsidR="00FE0349" w:rsidRDefault="00023F95" w:rsidP="00FE0349">
      <w:pPr>
        <w:keepLines/>
        <w:numPr>
          <w:ilvl w:val="1"/>
          <w:numId w:val="22"/>
        </w:numPr>
        <w:tabs>
          <w:tab w:val="left" w:pos="540"/>
        </w:tabs>
      </w:pPr>
      <w:r>
        <w:t>On the other hand, the evidence is more suggestive of a tendency for poor performance to persist.  This tendency is probably related to fund costs and turnover rates.  Thus if the fund is among the poorest performers, investors would be concerned that the poor performance will persist.</w:t>
      </w:r>
    </w:p>
    <w:p w:rsidR="00FE0349" w:rsidRDefault="00FE0349" w:rsidP="00FE0349">
      <w:pPr>
        <w:keepLines/>
        <w:tabs>
          <w:tab w:val="left" w:pos="540"/>
        </w:tabs>
      </w:pPr>
    </w:p>
    <w:p w:rsidR="005E193E" w:rsidRPr="005E193E" w:rsidRDefault="00B83A61" w:rsidP="00896CC5">
      <w:pPr>
        <w:keepLines/>
        <w:numPr>
          <w:ilvl w:val="0"/>
          <w:numId w:val="22"/>
        </w:numPr>
        <w:spacing w:line="360" w:lineRule="auto"/>
      </w:pPr>
      <w:r>
        <w:rPr>
          <w:rFonts w:eastAsia="MS Mincho" w:hint="eastAsia"/>
          <w:lang w:eastAsia="ja-JP"/>
        </w:rPr>
        <w:lastRenderedPageBreak/>
        <w:tab/>
        <w:t xml:space="preserve">a. </w:t>
      </w:r>
      <w:r w:rsidR="00023F95">
        <w:t>Start of year NAV =</w:t>
      </w:r>
      <w:r w:rsidR="005E193E">
        <w:t xml:space="preserve"> </w:t>
      </w:r>
      <w:r w:rsidR="00023F95">
        <w:t xml:space="preserve"> </w:t>
      </w:r>
      <m:oMath>
        <m:f>
          <m:fPr>
            <m:ctrlPr>
              <w:rPr>
                <w:rFonts w:ascii="Cambria Math" w:hAnsi="Cambria Math"/>
                <w:sz w:val="32"/>
              </w:rPr>
            </m:ctrlPr>
          </m:fPr>
          <m:num>
            <m:r>
              <m:rPr>
                <m:nor/>
              </m:rPr>
              <w:rPr>
                <w:sz w:val="32"/>
              </w:rPr>
              <m:t xml:space="preserve">Market </m:t>
            </m:r>
            <m:r>
              <m:rPr>
                <m:nor/>
              </m:rPr>
              <w:rPr>
                <w:sz w:val="32"/>
                <w:lang w:eastAsia="zh-TW"/>
              </w:rPr>
              <m:t>v</m:t>
            </m:r>
            <m:r>
              <m:rPr>
                <m:nor/>
              </m:rPr>
              <w:rPr>
                <w:sz w:val="32"/>
              </w:rPr>
              <m:t>alue of assets</m:t>
            </m:r>
            <m:r>
              <m:rPr>
                <m:nor/>
              </m:rPr>
              <w:rPr>
                <w:sz w:val="32"/>
                <w:lang w:eastAsia="zh-TW"/>
              </w:rPr>
              <m:t xml:space="preserve"> </m:t>
            </m:r>
            <m:r>
              <m:rPr>
                <m:nor/>
              </m:rPr>
              <w:rPr>
                <w:sz w:val="32"/>
              </w:rPr>
              <m:t>－</m:t>
            </m:r>
            <m:r>
              <m:rPr>
                <m:nor/>
              </m:rPr>
              <w:rPr>
                <w:sz w:val="32"/>
                <w:lang w:eastAsia="zh-TW"/>
              </w:rPr>
              <m:t xml:space="preserve"> </m:t>
            </m:r>
            <m:r>
              <m:rPr>
                <m:nor/>
              </m:rPr>
              <w:rPr>
                <w:sz w:val="32"/>
              </w:rPr>
              <m:t>Market value of liabilities</m:t>
            </m:r>
          </m:num>
          <m:den>
            <m:r>
              <m:rPr>
                <m:nor/>
              </m:rPr>
              <w:rPr>
                <w:sz w:val="32"/>
              </w:rPr>
              <m:t>Shares outstanding</m:t>
            </m:r>
          </m:den>
        </m:f>
      </m:oMath>
      <w:r w:rsidR="005E193E">
        <w:rPr>
          <w:rFonts w:hint="eastAsia"/>
          <w:sz w:val="32"/>
          <w:lang w:eastAsia="zh-TW"/>
        </w:rPr>
        <w:t xml:space="preserve"> </w:t>
      </w:r>
    </w:p>
    <w:p w:rsidR="00023F95" w:rsidRDefault="005E193E" w:rsidP="005E193E">
      <w:pPr>
        <w:keepLines/>
        <w:spacing w:line="360" w:lineRule="auto"/>
        <w:ind w:left="720" w:firstLineChars="763" w:firstLine="1831"/>
      </w:pPr>
      <w:r>
        <w:t xml:space="preserve">= </w:t>
      </w:r>
      <m:oMath>
        <m:f>
          <m:fPr>
            <m:ctrlPr>
              <w:rPr>
                <w:rFonts w:ascii="Cambria Math" w:hAnsi="Cambria Math"/>
                <w:sz w:val="32"/>
              </w:rPr>
            </m:ctrlPr>
          </m:fPr>
          <m:num>
            <m:r>
              <m:rPr>
                <m:nor/>
              </m:rPr>
              <w:rPr>
                <w:sz w:val="32"/>
              </w:rPr>
              <m:t>$200,000,000</m:t>
            </m:r>
            <m:r>
              <m:rPr>
                <m:nor/>
              </m:rPr>
              <w:rPr>
                <w:sz w:val="32"/>
                <w:lang w:eastAsia="zh-TW"/>
              </w:rPr>
              <m:t xml:space="preserve"> </m:t>
            </m:r>
          </m:num>
          <m:den>
            <m:r>
              <m:rPr>
                <m:nor/>
              </m:rPr>
              <w:rPr>
                <w:sz w:val="32"/>
              </w:rPr>
              <m:t>10,000,000</m:t>
            </m:r>
          </m:den>
        </m:f>
      </m:oMath>
      <w:r>
        <w:rPr>
          <w:sz w:val="32"/>
        </w:rPr>
        <w:t xml:space="preserve"> </w:t>
      </w:r>
      <w:r>
        <w:t xml:space="preserve">= </w:t>
      </w:r>
      <w:r w:rsidR="00023F95">
        <w:t>$20</w:t>
      </w:r>
    </w:p>
    <w:p w:rsidR="00023F95" w:rsidRDefault="00B83A61" w:rsidP="005E193E">
      <w:pPr>
        <w:keepLines/>
        <w:spacing w:line="360" w:lineRule="auto"/>
        <w:ind w:firstLineChars="300" w:firstLine="720"/>
      </w:pPr>
      <w:r>
        <w:rPr>
          <w:rFonts w:eastAsia="MS Mincho" w:hint="eastAsia"/>
          <w:lang w:eastAsia="ja-JP"/>
        </w:rPr>
        <w:tab/>
        <w:t xml:space="preserve">     </w:t>
      </w:r>
      <w:r w:rsidR="00023F95">
        <w:t>End of year NAV is based on the 8% price gain, less the 1% 12b-1 fee:</w:t>
      </w:r>
    </w:p>
    <w:p w:rsidR="00023F95" w:rsidRDefault="00B83A61" w:rsidP="00D6559A">
      <w:pPr>
        <w:keepLines/>
        <w:spacing w:line="360" w:lineRule="auto"/>
        <w:ind w:firstLineChars="472" w:firstLine="1133"/>
        <w:rPr>
          <w:rFonts w:eastAsia="MS Mincho"/>
          <w:lang w:eastAsia="ja-JP"/>
        </w:rPr>
      </w:pPr>
      <w:r>
        <w:rPr>
          <w:rFonts w:eastAsia="MS Mincho" w:hint="eastAsia"/>
          <w:lang w:eastAsia="ja-JP"/>
        </w:rPr>
        <w:t xml:space="preserve">          </w:t>
      </w:r>
      <w:r w:rsidR="00023F95">
        <w:t>End of year NAV = $20</w:t>
      </w:r>
      <w:r w:rsidR="004D1020" w:rsidRPr="00FC73C5">
        <w:t xml:space="preserve"> </w:t>
      </w:r>
      <w:r w:rsidR="004D1020">
        <w:sym w:font="Symbol" w:char="F0B4"/>
      </w:r>
      <w:r w:rsidR="004D1020" w:rsidRPr="00FC73C5">
        <w:t xml:space="preserve"> </w:t>
      </w:r>
      <w:r w:rsidR="00023F95">
        <w:t>1.08</w:t>
      </w:r>
      <w:r w:rsidR="004D1020" w:rsidRPr="00FC73C5">
        <w:t xml:space="preserve"> </w:t>
      </w:r>
      <w:r w:rsidR="004D1020">
        <w:sym w:font="Symbol" w:char="F0B4"/>
      </w:r>
      <w:r w:rsidR="004D1020" w:rsidRPr="00FC73C5">
        <w:t xml:space="preserve"> </w:t>
      </w:r>
      <w:r w:rsidR="00023F95">
        <w:t>(1 – 0.01) = $21.384</w:t>
      </w:r>
    </w:p>
    <w:p w:rsidR="00B83A61" w:rsidRPr="00C248AD" w:rsidRDefault="00B83A61" w:rsidP="00D6559A">
      <w:pPr>
        <w:keepLines/>
        <w:spacing w:line="360" w:lineRule="auto"/>
        <w:ind w:firstLineChars="472" w:firstLine="1133"/>
        <w:rPr>
          <w:rFonts w:eastAsia="MS Mincho"/>
          <w:lang w:eastAsia="ja-JP"/>
        </w:rPr>
      </w:pPr>
    </w:p>
    <w:p w:rsidR="005E193E" w:rsidRDefault="005E193E" w:rsidP="00C248AD">
      <w:pPr>
        <w:keepLines/>
        <w:spacing w:line="360" w:lineRule="auto"/>
        <w:ind w:leftChars="295" w:left="708" w:firstLineChars="4" w:firstLine="10"/>
      </w:pPr>
      <w:r>
        <w:t>Given the dividends per share is $0.20, we can calculate the rate of return using the following equation:</w:t>
      </w:r>
      <w:r w:rsidR="00B83A61">
        <w:rPr>
          <w:rFonts w:eastAsia="MS Mincho" w:hint="eastAsia"/>
          <w:lang w:eastAsia="ja-JP"/>
        </w:rPr>
        <w:tab/>
      </w:r>
      <w:r w:rsidR="00B83A61">
        <w:rPr>
          <w:rFonts w:eastAsia="MS Mincho" w:hint="eastAsia"/>
          <w:lang w:eastAsia="ja-JP"/>
        </w:rPr>
        <w:tab/>
        <w:t xml:space="preserve">b. </w:t>
      </w:r>
      <w:r w:rsidR="00023F95">
        <w:t>Rate of return =</w:t>
      </w:r>
      <w:r w:rsidR="00D6559A">
        <w:t xml:space="preserve"> </w:t>
      </w:r>
      <w:r w:rsidR="00023F95">
        <w:t xml:space="preserve"> </w:t>
      </w:r>
      <m:oMath>
        <m:f>
          <m:fPr>
            <m:ctrlPr>
              <w:rPr>
                <w:rFonts w:ascii="Cambria Math" w:hAnsi="Cambria Math"/>
                <w:sz w:val="32"/>
              </w:rPr>
            </m:ctrlPr>
          </m:fPr>
          <m:num>
            <m:r>
              <m:rPr>
                <m:nor/>
              </m:rPr>
              <w:rPr>
                <w:sz w:val="32"/>
              </w:rPr>
              <m:t>Δ</m:t>
            </m:r>
            <m:r>
              <m:rPr>
                <m:nor/>
              </m:rPr>
              <w:rPr>
                <w:sz w:val="32"/>
                <w:lang w:eastAsia="zh-TW"/>
              </w:rPr>
              <m:t xml:space="preserve">(NAV) </m:t>
            </m:r>
            <m:r>
              <m:rPr>
                <m:nor/>
              </m:rPr>
              <w:rPr>
                <w:rFonts w:hAnsiTheme="minorEastAsia"/>
              </w:rPr>
              <m:t>＋</m:t>
            </m:r>
            <m:r>
              <m:rPr>
                <m:nor/>
              </m:rPr>
              <w:rPr>
                <w:sz w:val="32"/>
                <w:lang w:eastAsia="zh-TW"/>
              </w:rPr>
              <m:t xml:space="preserve"> Distribution</m:t>
            </m:r>
            <m:r>
              <m:rPr>
                <m:nor/>
              </m:rPr>
              <w:rPr>
                <w:sz w:val="32"/>
              </w:rPr>
              <m:t>s</m:t>
            </m:r>
          </m:num>
          <m:den>
            <m:r>
              <m:rPr>
                <m:nor/>
              </m:rPr>
              <w:rPr>
                <w:sz w:val="32"/>
              </w:rPr>
              <m:t>S</m:t>
            </m:r>
            <m:r>
              <m:rPr>
                <m:nor/>
              </m:rPr>
              <w:rPr>
                <w:rFonts w:cs="Cambria Math" w:hint="eastAsia"/>
                <w:sz w:val="32"/>
                <w:lang w:eastAsia="zh-TW"/>
              </w:rPr>
              <m:t>tart of year NAV</m:t>
            </m:r>
          </m:den>
        </m:f>
      </m:oMath>
      <w:r>
        <w:rPr>
          <w:sz w:val="32"/>
        </w:rPr>
        <w:t xml:space="preserve"> </w:t>
      </w:r>
      <w:r>
        <w:t xml:space="preserve"> </w:t>
      </w:r>
    </w:p>
    <w:p w:rsidR="005E193E" w:rsidRDefault="005E193E" w:rsidP="005E193E">
      <w:pPr>
        <w:keepLines/>
        <w:ind w:left="1814" w:firstLineChars="350" w:firstLine="840"/>
      </w:pPr>
    </w:p>
    <w:p w:rsidR="00023F95" w:rsidRDefault="00B83A61" w:rsidP="00D6559A">
      <w:pPr>
        <w:keepLines/>
        <w:ind w:left="2127" w:firstLineChars="150" w:firstLine="360"/>
      </w:pPr>
      <w:r>
        <w:rPr>
          <w:rFonts w:eastAsia="MS Mincho" w:hint="eastAsia"/>
          <w:lang w:eastAsia="ja-JP"/>
        </w:rPr>
        <w:t xml:space="preserve">          </w:t>
      </w:r>
      <w:r w:rsidR="005E193E">
        <w:t xml:space="preserve">= </w:t>
      </w:r>
      <w:r w:rsidR="00C605E1" w:rsidRPr="000B3B07">
        <w:rPr>
          <w:position w:val="-26"/>
        </w:rPr>
        <w:object w:dxaOrig="2360" w:dyaOrig="639">
          <v:shape id="_x0000_i1033" type="#_x0000_t75" style="width:117.75pt;height:32.25pt" o:ole="" fillcolor="window">
            <v:imagedata r:id="rId25" o:title=""/>
          </v:shape>
          <o:OLEObject Type="Embed" ProgID="Equation.3" ShapeID="_x0000_i1033" DrawAspect="Content" ObjectID="_1513424256" r:id="rId26"/>
        </w:object>
      </w:r>
      <w:r w:rsidR="00023F95">
        <w:t>= 0.0792 = 7.92%</w:t>
      </w:r>
    </w:p>
    <w:p w:rsidR="00023F95" w:rsidRDefault="00023F95" w:rsidP="00896CC5">
      <w:pPr>
        <w:keepLines/>
      </w:pPr>
    </w:p>
    <w:p w:rsidR="00D6559A" w:rsidRDefault="00023F95" w:rsidP="00896CC5">
      <w:pPr>
        <w:keepLines/>
        <w:numPr>
          <w:ilvl w:val="0"/>
          <w:numId w:val="22"/>
        </w:numPr>
      </w:pPr>
      <w:r>
        <w:t xml:space="preserve">The excess of purchases over sales must be due to new inflows into the fund.  Therefore, $400 million of stock previously held by the fund was replaced by new holdings.  So turnover is: </w:t>
      </w:r>
    </w:p>
    <w:p w:rsidR="00D6559A" w:rsidRDefault="00D6559A" w:rsidP="00D6559A">
      <w:pPr>
        <w:keepLines/>
        <w:ind w:left="720" w:firstLineChars="172" w:firstLine="413"/>
      </w:pPr>
      <w:r>
        <w:t>Turnover rate =</w:t>
      </w:r>
      <w:r>
        <w:rPr>
          <w:rFonts w:hint="eastAsia"/>
          <w:lang w:eastAsia="zh-TW"/>
        </w:rPr>
        <w:t xml:space="preserve"> </w:t>
      </w:r>
      <m:oMath>
        <m:f>
          <m:fPr>
            <m:ctrlPr>
              <w:rPr>
                <w:rFonts w:ascii="Cambria Math" w:hAnsi="Cambria Math"/>
                <w:sz w:val="32"/>
              </w:rPr>
            </m:ctrlPr>
          </m:fPr>
          <m:num>
            <m:r>
              <m:rPr>
                <m:nor/>
              </m:rPr>
              <w:rPr>
                <w:rFonts w:hint="eastAsia"/>
                <w:sz w:val="32"/>
                <w:lang w:eastAsia="zh-TW"/>
              </w:rPr>
              <m:t>Value of stocks sold or replaced</m:t>
            </m:r>
          </m:num>
          <m:den>
            <m:r>
              <m:rPr>
                <m:nor/>
              </m:rPr>
              <w:rPr>
                <w:rFonts w:hint="eastAsia"/>
                <w:sz w:val="32"/>
                <w:lang w:eastAsia="zh-TW"/>
              </w:rPr>
              <m:t>Value of assets</m:t>
            </m:r>
          </m:den>
        </m:f>
      </m:oMath>
      <w:r>
        <w:t xml:space="preserve"> </w:t>
      </w:r>
    </w:p>
    <w:p w:rsidR="00D6559A" w:rsidRDefault="00D6559A" w:rsidP="00D6559A">
      <w:pPr>
        <w:keepLines/>
        <w:ind w:left="720" w:firstLineChars="172" w:firstLine="413"/>
      </w:pPr>
    </w:p>
    <w:p w:rsidR="00023F95" w:rsidRDefault="00D6559A" w:rsidP="00D6559A">
      <w:pPr>
        <w:keepLines/>
        <w:ind w:left="720" w:firstLineChars="722" w:firstLine="1733"/>
      </w:pPr>
      <w:r>
        <w:t xml:space="preserve">=  </w:t>
      </w:r>
      <m:oMath>
        <m:f>
          <m:fPr>
            <m:ctrlPr>
              <w:rPr>
                <w:rFonts w:ascii="Cambria Math" w:hAnsi="Cambria Math"/>
                <w:sz w:val="32"/>
              </w:rPr>
            </m:ctrlPr>
          </m:fPr>
          <m:num>
            <m:r>
              <m:rPr>
                <m:nor/>
              </m:rPr>
              <w:rPr>
                <w:sz w:val="32"/>
              </w:rPr>
              <m:t>$400,000,000</m:t>
            </m:r>
          </m:num>
          <m:den>
            <m:r>
              <m:rPr>
                <m:nor/>
              </m:rPr>
              <w:rPr>
                <w:sz w:val="32"/>
              </w:rPr>
              <m:t>$2,200,000,000</m:t>
            </m:r>
          </m:den>
        </m:f>
      </m:oMath>
      <w:r w:rsidR="00AB7712">
        <w:t xml:space="preserve"> = 0.1818 = 18.18</w:t>
      </w:r>
      <w:r w:rsidR="00023F95">
        <w:t>%</w:t>
      </w:r>
    </w:p>
    <w:p w:rsidR="00023F95" w:rsidRDefault="00023F95" w:rsidP="00896CC5">
      <w:pPr>
        <w:keepLines/>
      </w:pPr>
    </w:p>
    <w:p w:rsidR="00023F95" w:rsidRDefault="00B83A61" w:rsidP="00896CC5">
      <w:pPr>
        <w:keepLines/>
        <w:numPr>
          <w:ilvl w:val="0"/>
          <w:numId w:val="22"/>
        </w:numPr>
      </w:pPr>
      <w:r>
        <w:rPr>
          <w:rFonts w:eastAsia="MS Mincho"/>
          <w:lang w:eastAsia="ja-JP"/>
        </w:rPr>
        <w:tab/>
      </w:r>
      <w:r>
        <w:rPr>
          <w:rFonts w:eastAsia="MS Mincho" w:hint="eastAsia"/>
          <w:lang w:eastAsia="ja-JP"/>
        </w:rPr>
        <w:t xml:space="preserve">a. </w:t>
      </w:r>
      <w:r w:rsidR="00023F95">
        <w:t>Fees paid t</w:t>
      </w:r>
      <w:r w:rsidR="0097117D">
        <w:t>o investment managers were: 0.</w:t>
      </w:r>
      <w:r w:rsidR="00023F95">
        <w:t>7</w:t>
      </w:r>
      <w:r w:rsidR="0097117D">
        <w:t>%</w:t>
      </w:r>
      <w:r w:rsidR="00023F95">
        <w:t xml:space="preserve"> </w:t>
      </w:r>
      <w:r w:rsidR="0097117D" w:rsidRPr="00FC73C5">
        <w:rPr>
          <w:rFonts w:asciiTheme="minorEastAsia" w:hAnsiTheme="minorEastAsia"/>
        </w:rPr>
        <w:t>×</w:t>
      </w:r>
      <w:r w:rsidR="00023F95">
        <w:t xml:space="preserve"> $2.2 billion = $15.4 million</w:t>
      </w:r>
      <w:r w:rsidR="00E05A17">
        <w:t>.</w:t>
      </w:r>
    </w:p>
    <w:p w:rsidR="00B83A61" w:rsidRDefault="00B83A61" w:rsidP="00896CC5">
      <w:pPr>
        <w:keepLines/>
        <w:ind w:left="720"/>
        <w:rPr>
          <w:rFonts w:eastAsia="MS Mincho"/>
          <w:lang w:eastAsia="ja-JP"/>
        </w:rPr>
      </w:pPr>
    </w:p>
    <w:p w:rsidR="00023F95" w:rsidRDefault="00B83A61" w:rsidP="00896CC5">
      <w:pPr>
        <w:keepLines/>
        <w:ind w:left="720"/>
      </w:pPr>
      <w:r>
        <w:rPr>
          <w:rFonts w:eastAsia="MS Mincho" w:hint="eastAsia"/>
          <w:lang w:eastAsia="ja-JP"/>
        </w:rPr>
        <w:tab/>
        <w:t>b.</w:t>
      </w:r>
      <w:r w:rsidR="00023F95">
        <w:t xml:space="preserve">Since the total expense ratio was 1.1% and the management fee was 0.7%, we </w:t>
      </w:r>
      <w:r>
        <w:rPr>
          <w:rFonts w:eastAsia="MS Mincho" w:hint="eastAsia"/>
          <w:lang w:eastAsia="ja-JP"/>
        </w:rPr>
        <w:tab/>
        <w:t xml:space="preserve">   </w:t>
      </w:r>
      <w:r w:rsidR="00023F95">
        <w:t xml:space="preserve">conclude that 0.4% must be for other expenses.  Therefore, other </w:t>
      </w:r>
      <w:r>
        <w:rPr>
          <w:rFonts w:eastAsia="MS Mincho" w:hint="eastAsia"/>
          <w:lang w:eastAsia="ja-JP"/>
        </w:rPr>
        <w:tab/>
        <w:t xml:space="preserve"> </w:t>
      </w:r>
      <w:r>
        <w:rPr>
          <w:rFonts w:eastAsia="MS Mincho" w:hint="eastAsia"/>
          <w:lang w:eastAsia="ja-JP"/>
        </w:rPr>
        <w:tab/>
        <w:t xml:space="preserve">     </w:t>
      </w:r>
      <w:r>
        <w:rPr>
          <w:rFonts w:eastAsia="MS Mincho" w:hint="eastAsia"/>
          <w:lang w:eastAsia="ja-JP"/>
        </w:rPr>
        <w:tab/>
        <w:t xml:space="preserve">   </w:t>
      </w:r>
      <w:r w:rsidR="00023F95">
        <w:t>ad</w:t>
      </w:r>
      <w:r w:rsidR="0097117D">
        <w:t>ministrative expenses were: 0.</w:t>
      </w:r>
      <w:r w:rsidR="00CD4277">
        <w:t>00</w:t>
      </w:r>
      <w:r w:rsidR="00023F95">
        <w:t xml:space="preserve">4 </w:t>
      </w:r>
      <w:r w:rsidR="0097117D" w:rsidRPr="00FC73C5">
        <w:rPr>
          <w:rFonts w:asciiTheme="minorEastAsia" w:hAnsiTheme="minorEastAsia"/>
        </w:rPr>
        <w:t>×</w:t>
      </w:r>
      <w:r w:rsidR="00023F95">
        <w:t xml:space="preserve"> $2.2 billion = $8.8 million</w:t>
      </w:r>
      <w:r w:rsidR="00CD4277">
        <w:t>.</w:t>
      </w:r>
    </w:p>
    <w:p w:rsidR="00023F95" w:rsidRDefault="00023F95" w:rsidP="00896CC5">
      <w:pPr>
        <w:keepLines/>
      </w:pPr>
    </w:p>
    <w:p w:rsidR="00361177" w:rsidRDefault="007F1C55" w:rsidP="007F1C55">
      <w:pPr>
        <w:pStyle w:val="BodyTextIndent"/>
        <w:keepLines/>
        <w:numPr>
          <w:ilvl w:val="0"/>
          <w:numId w:val="22"/>
        </w:numPr>
        <w:spacing w:after="120"/>
      </w:pPr>
      <w:r w:rsidRPr="007F1C55">
        <w:t>Because the 4% load was paid up front and reduced the actual amount invested, only 96% (1.00 - .04) of the contribution was invested. Given the value of the portfolio increased by 12% and the expense ratio was 1.2%, we can calculate the end value of the investment against the initial contribution:</w:t>
      </w:r>
    </w:p>
    <w:p w:rsidR="00023F95" w:rsidRDefault="00361177" w:rsidP="00361177">
      <w:pPr>
        <w:pStyle w:val="BodyTextIndent"/>
        <w:keepLines/>
        <w:spacing w:after="120"/>
        <w:ind w:leftChars="472" w:left="1133"/>
      </w:pPr>
      <w:r>
        <w:t xml:space="preserve"> </w:t>
      </w:r>
      <w:r w:rsidR="007064BA">
        <w:t>1 + r</w:t>
      </w:r>
      <w:r>
        <w:t xml:space="preserve"> = </w:t>
      </w:r>
      <w:r w:rsidR="00CD4277">
        <w:t>0.</w:t>
      </w:r>
      <w:r>
        <w:t>96</w:t>
      </w:r>
      <w:r w:rsidR="004D1020" w:rsidRPr="00FC73C5">
        <w:t xml:space="preserve"> </w:t>
      </w:r>
      <w:r w:rsidR="004D1020">
        <w:sym w:font="Symbol" w:char="F0B4"/>
      </w:r>
      <w:r w:rsidR="004D1020" w:rsidRPr="00FC73C5">
        <w:t xml:space="preserve"> </w:t>
      </w:r>
      <w:r>
        <w:t xml:space="preserve">(1 </w:t>
      </w:r>
      <w:r w:rsidRPr="00FC73C5">
        <w:rPr>
          <w:lang w:eastAsia="zh-TW"/>
        </w:rPr>
        <w:t>+</w:t>
      </w:r>
      <w:r>
        <w:rPr>
          <w:lang w:eastAsia="zh-TW"/>
        </w:rPr>
        <w:t xml:space="preserve"> </w:t>
      </w:r>
      <w:r w:rsidR="00CD4277">
        <w:rPr>
          <w:lang w:eastAsia="zh-TW"/>
        </w:rPr>
        <w:t>0.</w:t>
      </w:r>
      <w:r>
        <w:rPr>
          <w:lang w:eastAsia="zh-TW"/>
        </w:rPr>
        <w:t xml:space="preserve">12 </w:t>
      </w:r>
      <w:r>
        <w:sym w:font="Symbol" w:char="F02D"/>
      </w:r>
      <w:r>
        <w:t xml:space="preserve"> </w:t>
      </w:r>
      <w:r w:rsidR="00CD4277">
        <w:t>0.0</w:t>
      </w:r>
      <w:r>
        <w:t xml:space="preserve">12) </w:t>
      </w:r>
      <w:r w:rsidR="000D5DEF">
        <w:t xml:space="preserve">= </w:t>
      </w:r>
      <w:r w:rsidR="00672B15">
        <w:t>1.0637</w:t>
      </w:r>
      <w:r w:rsidR="000D5DEF">
        <w:t xml:space="preserve"> </w:t>
      </w:r>
    </w:p>
    <w:p w:rsidR="00591F3F" w:rsidRDefault="00672B15" w:rsidP="00591F3F">
      <w:pPr>
        <w:pStyle w:val="BodyTextIndent"/>
        <w:keepLines/>
        <w:spacing w:after="120"/>
        <w:ind w:leftChars="224" w:left="538"/>
      </w:pPr>
      <w:r>
        <w:t xml:space="preserve">   Thus, the rate of return was: 1.0637</w:t>
      </w:r>
      <w:r>
        <w:rPr>
          <w:lang w:eastAsia="zh-TW"/>
        </w:rPr>
        <w:t xml:space="preserve"> </w:t>
      </w:r>
      <w:r>
        <w:sym w:font="Symbol" w:char="F02D"/>
      </w:r>
      <w:r>
        <w:t xml:space="preserve"> 1 = 0.0637 = 6.37%</w:t>
      </w:r>
    </w:p>
    <w:p w:rsidR="00672B15" w:rsidRDefault="00672B15" w:rsidP="000D5DEF">
      <w:pPr>
        <w:pStyle w:val="BodyTextIndent"/>
        <w:keepLines/>
        <w:spacing w:after="120"/>
        <w:ind w:leftChars="295" w:left="708"/>
      </w:pPr>
      <w:r>
        <w:t xml:space="preserve">Or otherwise, you can calculate the </w:t>
      </w:r>
      <w:r w:rsidR="000D5DEF">
        <w:t xml:space="preserve">rate of return by the </w:t>
      </w:r>
      <w:r>
        <w:t xml:space="preserve">actual amount </w:t>
      </w:r>
      <w:r w:rsidR="000D5DEF">
        <w:t>invested and value changes:</w:t>
      </w:r>
    </w:p>
    <w:p w:rsidR="00023F95" w:rsidRDefault="00023F95" w:rsidP="00896CC5">
      <w:pPr>
        <w:pStyle w:val="BlockText"/>
        <w:keepLines/>
        <w:spacing w:after="120"/>
        <w:ind w:left="720" w:right="-187" w:hanging="547"/>
      </w:pPr>
      <w:r>
        <w:tab/>
        <w:t xml:space="preserve">To purchase the shares, you would have had to invest: $20,000/(1 </w:t>
      </w:r>
      <w:r>
        <w:sym w:font="Symbol" w:char="F02D"/>
      </w:r>
      <w:r>
        <w:t xml:space="preserve"> 0.04) = $20,833</w:t>
      </w:r>
    </w:p>
    <w:p w:rsidR="00023F95" w:rsidRDefault="00023F95" w:rsidP="00896CC5">
      <w:pPr>
        <w:pStyle w:val="BlockText"/>
        <w:keepLines/>
        <w:spacing w:after="120"/>
        <w:ind w:left="1267" w:right="-187" w:hanging="547"/>
      </w:pPr>
      <w:r>
        <w:t>The shares increase in value from $20,000 to $20,000</w:t>
      </w:r>
      <w:r w:rsidR="004D1020" w:rsidRPr="00FC73C5">
        <w:t xml:space="preserve"> </w:t>
      </w:r>
      <w:r w:rsidR="004D1020">
        <w:sym w:font="Symbol" w:char="F0B4"/>
      </w:r>
      <w:r w:rsidR="004D1020" w:rsidRPr="00FC73C5">
        <w:t xml:space="preserve"> </w:t>
      </w:r>
      <w:r>
        <w:t xml:space="preserve">(1.12 </w:t>
      </w:r>
      <w:r>
        <w:sym w:font="Symbol" w:char="F02D"/>
      </w:r>
      <w:r>
        <w:t xml:space="preserve"> 0.012) = $22,160</w:t>
      </w:r>
    </w:p>
    <w:p w:rsidR="00023F95" w:rsidRDefault="00710270" w:rsidP="00896CC5">
      <w:pPr>
        <w:pStyle w:val="BlockText"/>
        <w:keepLines/>
        <w:ind w:left="1260"/>
      </w:pPr>
      <w:r>
        <w:lastRenderedPageBreak/>
        <w:t>The rate of return wa</w:t>
      </w:r>
      <w:r w:rsidR="00023F95">
        <w:t xml:space="preserve">s: ($22,160 </w:t>
      </w:r>
      <w:r w:rsidR="00023F95">
        <w:sym w:font="Symbol" w:char="F02D"/>
      </w:r>
      <w:r w:rsidR="00023F95">
        <w:t xml:space="preserve"> $20,833)/$20,833 = </w:t>
      </w:r>
      <w:r w:rsidR="00CD4277">
        <w:t xml:space="preserve">0.0637 or </w:t>
      </w:r>
      <w:r w:rsidR="00023F95">
        <w:t>6.37%</w:t>
      </w:r>
    </w:p>
    <w:p w:rsidR="00023F95" w:rsidRDefault="00023F95" w:rsidP="00896CC5">
      <w:pPr>
        <w:keepLines/>
      </w:pPr>
    </w:p>
    <w:p w:rsidR="008D45F8" w:rsidRPr="00C248AD" w:rsidRDefault="008D45F8" w:rsidP="008D45F8">
      <w:pPr>
        <w:pStyle w:val="BodyTextIndent2"/>
        <w:keepLines/>
        <w:numPr>
          <w:ilvl w:val="0"/>
          <w:numId w:val="22"/>
        </w:numPr>
        <w:spacing w:after="120"/>
      </w:pPr>
    </w:p>
    <w:p w:rsidR="00023F95" w:rsidRDefault="008D45F8" w:rsidP="00C248AD">
      <w:pPr>
        <w:pStyle w:val="BodyTextIndent2"/>
        <w:keepLines/>
        <w:spacing w:after="120"/>
        <w:ind w:left="720" w:firstLine="0"/>
      </w:pPr>
      <w:r w:rsidRPr="008D45F8">
        <w:rPr>
          <w:rFonts w:eastAsia="MS Mincho" w:hint="eastAsia"/>
          <w:lang w:eastAsia="ja-JP"/>
        </w:rPr>
        <w:t>a.</w:t>
      </w:r>
      <w:r w:rsidR="00023F95">
        <w:t xml:space="preserve">Suppose you have $1000 to invest.  The initial investment in Class A shares is </w:t>
      </w:r>
      <w:r>
        <w:rPr>
          <w:rFonts w:eastAsia="MS Mincho" w:hint="eastAsia"/>
          <w:lang w:eastAsia="ja-JP"/>
        </w:rPr>
        <w:tab/>
      </w:r>
      <w:r w:rsidR="00023F95">
        <w:t>$940 net of the front-end load.  After 4 years, your portfolio will be worth:</w:t>
      </w:r>
    </w:p>
    <w:p w:rsidR="00023F95" w:rsidRDefault="00023F95" w:rsidP="0047569D">
      <w:pPr>
        <w:keepLines/>
        <w:tabs>
          <w:tab w:val="center" w:pos="5223"/>
        </w:tabs>
        <w:spacing w:line="360" w:lineRule="auto"/>
        <w:ind w:left="1276" w:hanging="283"/>
      </w:pPr>
      <w:r>
        <w:t xml:space="preserve"> </w:t>
      </w:r>
      <w:r w:rsidR="008D45F8">
        <w:rPr>
          <w:rFonts w:eastAsia="MS Mincho" w:hint="eastAsia"/>
          <w:lang w:eastAsia="ja-JP"/>
        </w:rPr>
        <w:tab/>
      </w:r>
      <w:r w:rsidR="008D45F8">
        <w:rPr>
          <w:rFonts w:eastAsia="MS Mincho" w:hint="eastAsia"/>
          <w:lang w:eastAsia="ja-JP"/>
        </w:rPr>
        <w:tab/>
      </w:r>
      <w:r>
        <w:t xml:space="preserve">  $940 </w:t>
      </w:r>
      <w:r>
        <w:rPr>
          <w:rFonts w:ascii="Symbol" w:hAnsi="Symbol"/>
        </w:rPr>
        <w:sym w:font="Symbol" w:char="F0B4"/>
      </w:r>
      <w:r>
        <w:t xml:space="preserve"> (1.10)</w:t>
      </w:r>
      <w:r w:rsidRPr="00DC7377">
        <w:rPr>
          <w:position w:val="6"/>
          <w:sz w:val="16"/>
          <w:szCs w:val="16"/>
        </w:rPr>
        <w:t>4</w:t>
      </w:r>
      <w:r>
        <w:t xml:space="preserve"> = $1,376.25</w:t>
      </w:r>
      <w:r w:rsidR="004821CA">
        <w:tab/>
      </w:r>
    </w:p>
    <w:p w:rsidR="00023F95" w:rsidRDefault="008D45F8" w:rsidP="0047569D">
      <w:pPr>
        <w:pStyle w:val="BodyTextIndent2"/>
        <w:keepLines/>
        <w:spacing w:after="120"/>
        <w:ind w:left="709" w:firstLine="11"/>
      </w:pPr>
      <w:r>
        <w:rPr>
          <w:rFonts w:eastAsia="MS Mincho" w:hint="eastAsia"/>
          <w:lang w:eastAsia="ja-JP"/>
        </w:rPr>
        <w:tab/>
      </w:r>
      <w:r w:rsidR="00023F95">
        <w:t xml:space="preserve">Class B shares allow you to invest the full $1,000, but your investment </w:t>
      </w:r>
      <w:r>
        <w:rPr>
          <w:rFonts w:eastAsia="MS Mincho" w:hint="eastAsia"/>
          <w:lang w:eastAsia="ja-JP"/>
        </w:rPr>
        <w:tab/>
      </w:r>
      <w:r>
        <w:rPr>
          <w:rFonts w:eastAsia="MS Mincho" w:hint="eastAsia"/>
          <w:lang w:eastAsia="ja-JP"/>
        </w:rPr>
        <w:tab/>
      </w:r>
      <w:r>
        <w:rPr>
          <w:rFonts w:eastAsia="MS Mincho" w:hint="eastAsia"/>
          <w:lang w:eastAsia="ja-JP"/>
        </w:rPr>
        <w:tab/>
      </w:r>
      <w:r w:rsidR="00023F95">
        <w:t>performance net of 12b-1 fees will be only 9.5%, and you will pay a 1% back-</w:t>
      </w:r>
      <w:r>
        <w:rPr>
          <w:rFonts w:eastAsia="MS Mincho" w:hint="eastAsia"/>
          <w:lang w:eastAsia="ja-JP"/>
        </w:rPr>
        <w:tab/>
      </w:r>
      <w:r>
        <w:rPr>
          <w:rFonts w:eastAsia="MS Mincho" w:hint="eastAsia"/>
          <w:lang w:eastAsia="ja-JP"/>
        </w:rPr>
        <w:tab/>
      </w:r>
      <w:r w:rsidR="00023F95">
        <w:t>end load fee if you sell after 4 years.  Your portfolio value after 4 years will be:</w:t>
      </w:r>
    </w:p>
    <w:p w:rsidR="00023F95" w:rsidRDefault="00023F95" w:rsidP="0047569D">
      <w:pPr>
        <w:keepLines/>
        <w:spacing w:line="360" w:lineRule="auto"/>
        <w:ind w:left="1134" w:hanging="414"/>
      </w:pPr>
      <w:r>
        <w:tab/>
      </w:r>
      <w:r w:rsidR="008D45F8">
        <w:rPr>
          <w:rFonts w:eastAsia="MS Mincho" w:hint="eastAsia"/>
          <w:lang w:eastAsia="ja-JP"/>
        </w:rPr>
        <w:tab/>
      </w:r>
      <w:r w:rsidR="008D45F8">
        <w:rPr>
          <w:rFonts w:eastAsia="MS Mincho" w:hint="eastAsia"/>
          <w:lang w:eastAsia="ja-JP"/>
        </w:rPr>
        <w:tab/>
      </w:r>
      <w:r w:rsidR="008D45F8">
        <w:rPr>
          <w:rFonts w:eastAsia="MS Mincho" w:hint="eastAsia"/>
          <w:lang w:eastAsia="ja-JP"/>
        </w:rPr>
        <w:tab/>
      </w:r>
      <w:r w:rsidR="008D45F8">
        <w:rPr>
          <w:rFonts w:eastAsia="MS Mincho" w:hint="eastAsia"/>
          <w:lang w:eastAsia="ja-JP"/>
        </w:rPr>
        <w:tab/>
        <w:t xml:space="preserve">     </w:t>
      </w:r>
      <w:r>
        <w:t xml:space="preserve">$1,000 </w:t>
      </w:r>
      <w:r>
        <w:rPr>
          <w:rFonts w:ascii="Symbol" w:hAnsi="Symbol"/>
        </w:rPr>
        <w:sym w:font="Symbol" w:char="F0B4"/>
      </w:r>
      <w:r>
        <w:t xml:space="preserve"> (1.095)</w:t>
      </w:r>
      <w:r w:rsidRPr="00DC7377">
        <w:rPr>
          <w:position w:val="6"/>
          <w:sz w:val="16"/>
          <w:szCs w:val="16"/>
        </w:rPr>
        <w:t>4</w:t>
      </w:r>
      <w:r>
        <w:t xml:space="preserve"> = $1,437.66</w:t>
      </w:r>
    </w:p>
    <w:p w:rsidR="00023F95" w:rsidRDefault="008D45F8" w:rsidP="0047569D">
      <w:pPr>
        <w:keepLines/>
        <w:spacing w:line="360" w:lineRule="auto"/>
        <w:ind w:left="709"/>
      </w:pPr>
      <w:r>
        <w:rPr>
          <w:rFonts w:eastAsia="MS Mincho" w:hint="eastAsia"/>
          <w:lang w:eastAsia="ja-JP"/>
        </w:rPr>
        <w:tab/>
      </w:r>
      <w:r w:rsidR="00023F95">
        <w:tab/>
        <w:t>After paying the back-end load fee, your portfolio value will be:</w:t>
      </w:r>
    </w:p>
    <w:p w:rsidR="00023F95" w:rsidRDefault="008D45F8" w:rsidP="0047569D">
      <w:pPr>
        <w:keepLines/>
        <w:spacing w:line="360" w:lineRule="auto"/>
        <w:ind w:leftChars="470" w:left="1130" w:hangingChars="1" w:hanging="2"/>
      </w:pP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r>
      <w:r>
        <w:rPr>
          <w:rFonts w:eastAsia="MS Mincho" w:hint="eastAsia"/>
          <w:lang w:eastAsia="ja-JP"/>
        </w:rPr>
        <w:tab/>
        <w:t xml:space="preserve">     </w:t>
      </w:r>
      <w:r w:rsidR="00023F95">
        <w:t xml:space="preserve">$1,437.66 </w:t>
      </w:r>
      <w:r w:rsidR="00023F95">
        <w:rPr>
          <w:rFonts w:ascii="Symbol" w:hAnsi="Symbol"/>
        </w:rPr>
        <w:sym w:font="Symbol" w:char="F0B4"/>
      </w:r>
      <w:r w:rsidR="00023F95">
        <w:rPr>
          <w:rFonts w:ascii="Symbol" w:hAnsi="Symbol"/>
        </w:rPr>
        <w:t></w:t>
      </w:r>
      <w:r w:rsidR="00023F95">
        <w:rPr>
          <w:rFonts w:ascii="Symbol" w:hAnsi="Symbol"/>
        </w:rPr>
        <w:t></w:t>
      </w:r>
      <w:r w:rsidR="00023F95">
        <w:t>.99 = $1,423.28</w:t>
      </w:r>
    </w:p>
    <w:p w:rsidR="00023F95" w:rsidRDefault="008D45F8" w:rsidP="0047569D">
      <w:pPr>
        <w:keepLines/>
        <w:spacing w:line="360" w:lineRule="auto"/>
        <w:ind w:left="709" w:firstLine="18"/>
      </w:pPr>
      <w:r>
        <w:rPr>
          <w:rFonts w:eastAsia="MS Mincho" w:hint="eastAsia"/>
          <w:lang w:eastAsia="ja-JP"/>
        </w:rPr>
        <w:tab/>
      </w:r>
      <w:r w:rsidR="00023F95">
        <w:t>Class B shares are the better choice if your horizon is 4 years.</w:t>
      </w:r>
    </w:p>
    <w:p w:rsidR="000450B6" w:rsidRDefault="008D45F8" w:rsidP="000450B6">
      <w:pPr>
        <w:keepLines/>
        <w:spacing w:line="360" w:lineRule="auto"/>
        <w:ind w:left="709" w:firstLine="18"/>
      </w:pPr>
      <w:r>
        <w:rPr>
          <w:rFonts w:eastAsia="MS Mincho" w:hint="eastAsia"/>
          <w:lang w:eastAsia="ja-JP"/>
        </w:rPr>
        <w:tab/>
        <w:t>b.</w:t>
      </w:r>
      <w:r w:rsidR="00023F95">
        <w:t>With a 15-year horizon, the Class A shares will be worth:</w:t>
      </w:r>
    </w:p>
    <w:p w:rsidR="00023F95" w:rsidRDefault="00023F95" w:rsidP="006C6460">
      <w:pPr>
        <w:keepLines/>
        <w:spacing w:line="360" w:lineRule="auto"/>
        <w:ind w:left="1134" w:hanging="407"/>
      </w:pPr>
      <w:r>
        <w:tab/>
      </w:r>
      <w:r w:rsidR="008D45F8">
        <w:rPr>
          <w:rFonts w:eastAsia="MS Mincho" w:hint="eastAsia"/>
          <w:lang w:eastAsia="ja-JP"/>
        </w:rPr>
        <w:tab/>
      </w:r>
      <w:r w:rsidR="008D45F8">
        <w:rPr>
          <w:rFonts w:eastAsia="MS Mincho" w:hint="eastAsia"/>
          <w:lang w:eastAsia="ja-JP"/>
        </w:rPr>
        <w:tab/>
      </w:r>
      <w:r w:rsidR="008D45F8">
        <w:rPr>
          <w:rFonts w:eastAsia="MS Mincho" w:hint="eastAsia"/>
          <w:lang w:eastAsia="ja-JP"/>
        </w:rPr>
        <w:tab/>
      </w:r>
      <w:r w:rsidR="008D45F8">
        <w:rPr>
          <w:rFonts w:eastAsia="MS Mincho" w:hint="eastAsia"/>
          <w:lang w:eastAsia="ja-JP"/>
        </w:rPr>
        <w:tab/>
        <w:t xml:space="preserve">     </w:t>
      </w:r>
      <w:r>
        <w:t xml:space="preserve">$940 </w:t>
      </w:r>
      <w:r>
        <w:rPr>
          <w:rFonts w:ascii="Symbol" w:hAnsi="Symbol"/>
        </w:rPr>
        <w:sym w:font="Symbol" w:char="F0B4"/>
      </w:r>
      <w:r>
        <w:t xml:space="preserve"> (1.10)</w:t>
      </w:r>
      <w:r w:rsidRPr="00DC7377">
        <w:rPr>
          <w:position w:val="6"/>
          <w:sz w:val="16"/>
          <w:szCs w:val="16"/>
        </w:rPr>
        <w:t>15</w:t>
      </w:r>
      <w:r>
        <w:t xml:space="preserve"> = $3,926.61</w:t>
      </w:r>
    </w:p>
    <w:p w:rsidR="00023F95" w:rsidRDefault="008D45F8" w:rsidP="0047569D">
      <w:pPr>
        <w:keepLines/>
        <w:spacing w:after="120"/>
        <w:ind w:left="709" w:firstLine="11"/>
      </w:pPr>
      <w:r>
        <w:rPr>
          <w:rFonts w:eastAsia="MS Mincho" w:hint="eastAsia"/>
          <w:lang w:eastAsia="ja-JP"/>
        </w:rPr>
        <w:tab/>
      </w:r>
      <w:r w:rsidR="00023F95">
        <w:t xml:space="preserve">For the Class B shares, there is no back-end load in this case since the horizon is </w:t>
      </w:r>
      <w:r>
        <w:rPr>
          <w:rFonts w:eastAsia="MS Mincho" w:hint="eastAsia"/>
          <w:lang w:eastAsia="ja-JP"/>
        </w:rPr>
        <w:tab/>
      </w:r>
      <w:r>
        <w:rPr>
          <w:rFonts w:eastAsia="MS Mincho" w:hint="eastAsia"/>
          <w:lang w:eastAsia="ja-JP"/>
        </w:rPr>
        <w:tab/>
      </w:r>
      <w:r w:rsidR="00023F95">
        <w:t>greater than 5 years.  Therefore, the value of the Class B shares will be:</w:t>
      </w:r>
    </w:p>
    <w:p w:rsidR="00023F95" w:rsidRDefault="00023F95" w:rsidP="0047569D">
      <w:pPr>
        <w:keepLines/>
        <w:spacing w:line="360" w:lineRule="auto"/>
        <w:ind w:left="1134" w:hanging="414"/>
      </w:pPr>
      <w:r>
        <w:tab/>
      </w:r>
      <w:r w:rsidR="008D45F8">
        <w:rPr>
          <w:rFonts w:eastAsia="MS Mincho" w:hint="eastAsia"/>
          <w:lang w:eastAsia="ja-JP"/>
        </w:rPr>
        <w:tab/>
      </w:r>
      <w:r w:rsidR="008D45F8">
        <w:rPr>
          <w:rFonts w:eastAsia="MS Mincho" w:hint="eastAsia"/>
          <w:lang w:eastAsia="ja-JP"/>
        </w:rPr>
        <w:tab/>
      </w:r>
      <w:r w:rsidR="008D45F8">
        <w:rPr>
          <w:rFonts w:eastAsia="MS Mincho" w:hint="eastAsia"/>
          <w:lang w:eastAsia="ja-JP"/>
        </w:rPr>
        <w:tab/>
      </w:r>
      <w:r w:rsidR="008D45F8">
        <w:rPr>
          <w:rFonts w:eastAsia="MS Mincho" w:hint="eastAsia"/>
          <w:lang w:eastAsia="ja-JP"/>
        </w:rPr>
        <w:tab/>
        <w:t xml:space="preserve">    </w:t>
      </w:r>
      <w:r>
        <w:t xml:space="preserve">$1,000 </w:t>
      </w:r>
      <w:r>
        <w:rPr>
          <w:rFonts w:ascii="Symbol" w:hAnsi="Symbol"/>
        </w:rPr>
        <w:sym w:font="Symbol" w:char="F0B4"/>
      </w:r>
      <w:r>
        <w:t xml:space="preserve"> (1.095)</w:t>
      </w:r>
      <w:r w:rsidRPr="00DC7377">
        <w:rPr>
          <w:position w:val="6"/>
          <w:sz w:val="16"/>
          <w:szCs w:val="16"/>
        </w:rPr>
        <w:t>15</w:t>
      </w:r>
      <w:r>
        <w:t xml:space="preserve"> = $3,901.32</w:t>
      </w:r>
    </w:p>
    <w:p w:rsidR="00C17403" w:rsidRDefault="008D45F8" w:rsidP="00F859EB">
      <w:pPr>
        <w:keepLines/>
        <w:ind w:left="709"/>
      </w:pPr>
      <w:r>
        <w:rPr>
          <w:rFonts w:eastAsia="MS Mincho" w:hint="eastAsia"/>
          <w:lang w:eastAsia="ja-JP"/>
        </w:rPr>
        <w:tab/>
      </w:r>
      <w:r w:rsidR="00023F95">
        <w:tab/>
        <w:t xml:space="preserve">At this longer horizon, Class B shares are no longer the better choice.  The </w:t>
      </w:r>
      <w:r>
        <w:rPr>
          <w:rFonts w:eastAsia="MS Mincho" w:hint="eastAsia"/>
          <w:lang w:eastAsia="ja-JP"/>
        </w:rPr>
        <w:tab/>
      </w:r>
      <w:r>
        <w:rPr>
          <w:rFonts w:eastAsia="MS Mincho" w:hint="eastAsia"/>
          <w:lang w:eastAsia="ja-JP"/>
        </w:rPr>
        <w:tab/>
      </w:r>
      <w:r w:rsidR="00023F95">
        <w:t xml:space="preserve">effect of Class B's 0.5% 12b-1 fees cumulates over time and finally overwhelms </w:t>
      </w:r>
      <w:r>
        <w:rPr>
          <w:rFonts w:eastAsia="MS Mincho" w:hint="eastAsia"/>
          <w:lang w:eastAsia="ja-JP"/>
        </w:rPr>
        <w:tab/>
      </w:r>
      <w:r>
        <w:rPr>
          <w:rFonts w:eastAsia="MS Mincho" w:hint="eastAsia"/>
          <w:lang w:eastAsia="ja-JP"/>
        </w:rPr>
        <w:tab/>
      </w:r>
      <w:r w:rsidR="00023F95">
        <w:t>the 6% load charged to Class A investors.</w:t>
      </w:r>
    </w:p>
    <w:p w:rsidR="00C17403" w:rsidRDefault="00C17403" w:rsidP="00896CC5">
      <w:pPr>
        <w:keepLines/>
      </w:pPr>
    </w:p>
    <w:p w:rsidR="00C17403" w:rsidRDefault="00C17403" w:rsidP="00896CC5">
      <w:pPr>
        <w:keepLines/>
        <w:numPr>
          <w:ilvl w:val="0"/>
          <w:numId w:val="22"/>
        </w:numPr>
        <w:tabs>
          <w:tab w:val="left" w:pos="540"/>
        </w:tabs>
        <w:spacing w:after="120"/>
      </w:pPr>
    </w:p>
    <w:p w:rsidR="00C17403" w:rsidRPr="00F859EB" w:rsidRDefault="00C17403" w:rsidP="00F859EB">
      <w:pPr>
        <w:keepLines/>
        <w:numPr>
          <w:ilvl w:val="1"/>
          <w:numId w:val="22"/>
        </w:numPr>
        <w:tabs>
          <w:tab w:val="left" w:pos="540"/>
        </w:tabs>
        <w:spacing w:after="120"/>
      </w:pPr>
      <w:r>
        <w:t xml:space="preserve">After two years, each dollar invested in a fund with a 4% load and a portfolio return equal to </w:t>
      </w:r>
      <w:r w:rsidRPr="003B7466">
        <w:rPr>
          <w:i/>
        </w:rPr>
        <w:t>r</w:t>
      </w:r>
      <w:r>
        <w:t xml:space="preserve"> will grow to:</w:t>
      </w:r>
      <w:r w:rsidR="00F859EB">
        <w:t xml:space="preserve"> </w:t>
      </w:r>
      <w:r>
        <w:t xml:space="preserve">$0.96 </w:t>
      </w:r>
      <w:r>
        <w:rPr>
          <w:rFonts w:ascii="Symbol" w:hAnsi="Symbol"/>
        </w:rPr>
        <w:sym w:font="Symbol" w:char="F0B4"/>
      </w:r>
      <w:r>
        <w:t xml:space="preserve"> (1 + r – 0.005)</w:t>
      </w:r>
      <w:r w:rsidRPr="00F859EB">
        <w:rPr>
          <w:position w:val="6"/>
          <w:sz w:val="16"/>
          <w:szCs w:val="16"/>
        </w:rPr>
        <w:t>2</w:t>
      </w:r>
    </w:p>
    <w:p w:rsidR="00C17403" w:rsidRDefault="00C17403" w:rsidP="00F859EB">
      <w:pPr>
        <w:keepLines/>
        <w:spacing w:after="120"/>
        <w:ind w:left="1440"/>
      </w:pPr>
      <w:r>
        <w:t>Each dollar invested in the bank CD will grow to:</w:t>
      </w:r>
      <w:r w:rsidR="00F859EB">
        <w:t xml:space="preserve"> </w:t>
      </w:r>
      <w:r>
        <w:t xml:space="preserve">$1 </w:t>
      </w:r>
      <w:r>
        <w:rPr>
          <w:rFonts w:ascii="Symbol" w:hAnsi="Symbol"/>
          <w:sz w:val="20"/>
        </w:rPr>
        <w:sym w:font="Symbol" w:char="F0B4"/>
      </w:r>
      <w:r>
        <w:t xml:space="preserve"> (1.06)</w:t>
      </w:r>
      <w:r w:rsidRPr="00D83FB1">
        <w:rPr>
          <w:position w:val="6"/>
          <w:sz w:val="16"/>
          <w:szCs w:val="16"/>
        </w:rPr>
        <w:t>2</w:t>
      </w:r>
    </w:p>
    <w:p w:rsidR="00C17403" w:rsidRDefault="00C17403" w:rsidP="00896CC5">
      <w:pPr>
        <w:keepLines/>
        <w:spacing w:after="120"/>
        <w:ind w:left="1440"/>
      </w:pPr>
      <w:r>
        <w:t xml:space="preserve">If the mutual fund is to be the better investment, then the portfolio return, </w:t>
      </w:r>
      <w:r w:rsidRPr="003B7466">
        <w:rPr>
          <w:i/>
        </w:rPr>
        <w:t>r</w:t>
      </w:r>
      <w:r>
        <w:t>, must satisfy:</w:t>
      </w:r>
    </w:p>
    <w:p w:rsidR="00C17403" w:rsidRPr="000B7DCD" w:rsidRDefault="00C17403" w:rsidP="00F859EB">
      <w:pPr>
        <w:keepLines/>
        <w:spacing w:line="360" w:lineRule="auto"/>
        <w:ind w:left="1843" w:hanging="1483"/>
        <w:rPr>
          <w:position w:val="6"/>
          <w:sz w:val="20"/>
          <w:lang w:val="pt-PT"/>
        </w:rPr>
      </w:pPr>
      <w:r>
        <w:tab/>
      </w:r>
      <w:r w:rsidRPr="000B7DCD">
        <w:rPr>
          <w:lang w:val="pt-PT"/>
        </w:rPr>
        <w:t xml:space="preserve">0.96 </w:t>
      </w:r>
      <w:r>
        <w:rPr>
          <w:rFonts w:ascii="Symbol" w:hAnsi="Symbol"/>
        </w:rPr>
        <w:sym w:font="Symbol" w:char="F0B4"/>
      </w:r>
      <w:r w:rsidRPr="000B7DCD">
        <w:rPr>
          <w:lang w:val="pt-PT"/>
        </w:rPr>
        <w:t xml:space="preserve"> (1 + </w:t>
      </w:r>
      <w:r w:rsidRPr="003B7466">
        <w:rPr>
          <w:i/>
          <w:lang w:val="pt-PT"/>
        </w:rPr>
        <w:t>r</w:t>
      </w:r>
      <w:r w:rsidRPr="000B7DCD">
        <w:rPr>
          <w:lang w:val="pt-PT"/>
        </w:rPr>
        <w:t xml:space="preserve"> – 0.005)</w:t>
      </w:r>
      <w:r w:rsidRPr="000B7DCD">
        <w:rPr>
          <w:position w:val="6"/>
          <w:sz w:val="16"/>
          <w:szCs w:val="16"/>
          <w:lang w:val="pt-PT"/>
        </w:rPr>
        <w:t>2</w:t>
      </w:r>
      <w:r w:rsidRPr="000B7DCD">
        <w:rPr>
          <w:lang w:val="pt-PT"/>
        </w:rPr>
        <w:t xml:space="preserve"> &gt; (1.06)</w:t>
      </w:r>
      <w:r w:rsidRPr="000B7DCD">
        <w:rPr>
          <w:position w:val="6"/>
          <w:sz w:val="16"/>
          <w:szCs w:val="16"/>
          <w:lang w:val="pt-PT"/>
        </w:rPr>
        <w:t>2</w:t>
      </w:r>
    </w:p>
    <w:p w:rsidR="00C17403" w:rsidRPr="000B7DCD" w:rsidRDefault="00C17403" w:rsidP="00F859EB">
      <w:pPr>
        <w:keepLines/>
        <w:spacing w:line="360" w:lineRule="auto"/>
        <w:ind w:left="1843" w:hanging="1483"/>
        <w:rPr>
          <w:lang w:val="pt-PT"/>
        </w:rPr>
      </w:pPr>
      <w:r w:rsidRPr="000B7DCD">
        <w:rPr>
          <w:lang w:val="pt-PT"/>
        </w:rPr>
        <w:tab/>
        <w:t xml:space="preserve">0.96 </w:t>
      </w:r>
      <w:r>
        <w:rPr>
          <w:rFonts w:ascii="Symbol" w:hAnsi="Symbol"/>
        </w:rPr>
        <w:sym w:font="Symbol" w:char="F0B4"/>
      </w:r>
      <w:r w:rsidRPr="000B7DCD">
        <w:rPr>
          <w:lang w:val="pt-PT"/>
        </w:rPr>
        <w:t xml:space="preserve"> (1 + </w:t>
      </w:r>
      <w:r w:rsidRPr="003B7466">
        <w:rPr>
          <w:i/>
          <w:lang w:val="pt-PT"/>
        </w:rPr>
        <w:t>r</w:t>
      </w:r>
      <w:r w:rsidRPr="000B7DCD">
        <w:rPr>
          <w:lang w:val="pt-PT"/>
        </w:rPr>
        <w:t xml:space="preserve"> – 0.005)</w:t>
      </w:r>
      <w:r w:rsidRPr="000B7DCD">
        <w:rPr>
          <w:position w:val="6"/>
          <w:sz w:val="16"/>
          <w:szCs w:val="16"/>
          <w:lang w:val="pt-PT"/>
        </w:rPr>
        <w:t>2</w:t>
      </w:r>
      <w:r w:rsidRPr="000B7DCD">
        <w:rPr>
          <w:lang w:val="pt-PT"/>
        </w:rPr>
        <w:t xml:space="preserve"> &gt; 1.1236</w:t>
      </w:r>
    </w:p>
    <w:p w:rsidR="00C17403" w:rsidRPr="000B7DCD" w:rsidRDefault="00C17403" w:rsidP="00F859EB">
      <w:pPr>
        <w:keepLines/>
        <w:spacing w:line="360" w:lineRule="auto"/>
        <w:ind w:left="1843" w:hanging="1483"/>
        <w:rPr>
          <w:lang w:val="pt-PT"/>
        </w:rPr>
      </w:pPr>
      <w:r w:rsidRPr="000B7DCD">
        <w:rPr>
          <w:position w:val="6"/>
          <w:sz w:val="20"/>
          <w:lang w:val="pt-PT"/>
        </w:rPr>
        <w:tab/>
      </w:r>
      <w:r w:rsidRPr="000B7DCD">
        <w:rPr>
          <w:lang w:val="pt-PT"/>
        </w:rPr>
        <w:t xml:space="preserve">(1 + </w:t>
      </w:r>
      <w:r w:rsidRPr="003B7466">
        <w:rPr>
          <w:i/>
          <w:lang w:val="pt-PT"/>
        </w:rPr>
        <w:t>r</w:t>
      </w:r>
      <w:r w:rsidRPr="000B7DCD">
        <w:rPr>
          <w:lang w:val="pt-PT"/>
        </w:rPr>
        <w:t xml:space="preserve"> – 0.005)</w:t>
      </w:r>
      <w:r w:rsidRPr="000B7DCD">
        <w:rPr>
          <w:position w:val="6"/>
          <w:sz w:val="16"/>
          <w:szCs w:val="16"/>
          <w:lang w:val="pt-PT"/>
        </w:rPr>
        <w:t>2</w:t>
      </w:r>
      <w:r w:rsidRPr="000B7DCD">
        <w:rPr>
          <w:lang w:val="pt-PT"/>
        </w:rPr>
        <w:t xml:space="preserve"> &gt; 1.1704</w:t>
      </w:r>
    </w:p>
    <w:p w:rsidR="00C17403" w:rsidRPr="000B7DCD" w:rsidRDefault="00C17403" w:rsidP="00F859EB">
      <w:pPr>
        <w:keepLines/>
        <w:spacing w:line="360" w:lineRule="auto"/>
        <w:ind w:left="1843" w:hanging="1483"/>
        <w:rPr>
          <w:lang w:val="pt-PT"/>
        </w:rPr>
      </w:pPr>
      <w:r w:rsidRPr="000B7DCD">
        <w:rPr>
          <w:position w:val="6"/>
          <w:sz w:val="20"/>
          <w:lang w:val="pt-PT"/>
        </w:rPr>
        <w:tab/>
      </w:r>
      <w:r w:rsidRPr="000B7DCD">
        <w:rPr>
          <w:lang w:val="pt-PT"/>
        </w:rPr>
        <w:t xml:space="preserve">1 + </w:t>
      </w:r>
      <w:r w:rsidRPr="003B7466">
        <w:rPr>
          <w:i/>
          <w:lang w:val="pt-PT"/>
        </w:rPr>
        <w:t>r</w:t>
      </w:r>
      <w:r w:rsidRPr="000B7DCD">
        <w:rPr>
          <w:lang w:val="pt-PT"/>
        </w:rPr>
        <w:t xml:space="preserve"> – 0.005 &gt; 1.0819</w:t>
      </w:r>
    </w:p>
    <w:p w:rsidR="00C17403" w:rsidRPr="000B7DCD" w:rsidRDefault="00C17403" w:rsidP="00F859EB">
      <w:pPr>
        <w:keepLines/>
        <w:spacing w:line="360" w:lineRule="auto"/>
        <w:ind w:left="1843" w:hanging="1483"/>
        <w:rPr>
          <w:lang w:val="pt-PT"/>
        </w:rPr>
      </w:pPr>
      <w:r w:rsidRPr="000B7DCD">
        <w:rPr>
          <w:lang w:val="pt-PT"/>
        </w:rPr>
        <w:tab/>
        <w:t xml:space="preserve">1 + </w:t>
      </w:r>
      <w:r w:rsidRPr="003B7466">
        <w:rPr>
          <w:i/>
          <w:lang w:val="pt-PT"/>
        </w:rPr>
        <w:t>r</w:t>
      </w:r>
      <w:r w:rsidRPr="000B7DCD">
        <w:rPr>
          <w:lang w:val="pt-PT"/>
        </w:rPr>
        <w:t xml:space="preserve"> &gt; 1.0869</w:t>
      </w:r>
    </w:p>
    <w:p w:rsidR="00C17403" w:rsidRPr="000B7DCD" w:rsidRDefault="00C17403" w:rsidP="00896CC5">
      <w:pPr>
        <w:keepLines/>
        <w:ind w:left="1440" w:hanging="1080"/>
        <w:rPr>
          <w:lang w:val="pt-PT"/>
        </w:rPr>
      </w:pPr>
      <w:r w:rsidRPr="000B7DCD">
        <w:rPr>
          <w:lang w:val="pt-PT"/>
        </w:rPr>
        <w:tab/>
        <w:t xml:space="preserve">Therefore, </w:t>
      </w:r>
      <w:r w:rsidRPr="003B7466">
        <w:rPr>
          <w:i/>
          <w:lang w:val="pt-PT"/>
        </w:rPr>
        <w:t>r</w:t>
      </w:r>
      <w:r w:rsidRPr="000B7DCD">
        <w:rPr>
          <w:lang w:val="pt-PT"/>
        </w:rPr>
        <w:t xml:space="preserve"> &gt; 0.0869 = 8.69%</w:t>
      </w:r>
    </w:p>
    <w:p w:rsidR="00C17403" w:rsidRPr="000B7DCD" w:rsidRDefault="00C17403" w:rsidP="00896CC5">
      <w:pPr>
        <w:keepLines/>
        <w:rPr>
          <w:lang w:val="pt-PT"/>
        </w:rPr>
      </w:pPr>
    </w:p>
    <w:p w:rsidR="00C17403" w:rsidRDefault="00C17403" w:rsidP="00896CC5">
      <w:pPr>
        <w:keepLines/>
        <w:numPr>
          <w:ilvl w:val="1"/>
          <w:numId w:val="22"/>
        </w:numPr>
        <w:tabs>
          <w:tab w:val="left" w:pos="540"/>
        </w:tabs>
        <w:spacing w:line="360" w:lineRule="auto"/>
      </w:pPr>
      <w:r>
        <w:t>If you invest for six years, then the portfolio return must satisfy:</w:t>
      </w:r>
    </w:p>
    <w:p w:rsidR="00C17403" w:rsidRDefault="00C17403" w:rsidP="0053337D">
      <w:pPr>
        <w:keepLines/>
        <w:spacing w:line="360" w:lineRule="auto"/>
        <w:ind w:left="1843" w:hanging="1843"/>
      </w:pPr>
      <w:r>
        <w:lastRenderedPageBreak/>
        <w:tab/>
        <w:t xml:space="preserve">0.96 </w:t>
      </w:r>
      <w:r>
        <w:rPr>
          <w:rFonts w:ascii="Symbol" w:hAnsi="Symbol"/>
        </w:rPr>
        <w:sym w:font="Symbol" w:char="F0B4"/>
      </w:r>
      <w:r>
        <w:t xml:space="preserve"> (1 + </w:t>
      </w:r>
      <w:r w:rsidRPr="003B7466">
        <w:rPr>
          <w:i/>
        </w:rPr>
        <w:t>r</w:t>
      </w:r>
      <w:r>
        <w:t xml:space="preserve"> – 0.005)</w:t>
      </w:r>
      <w:r w:rsidRPr="00D42F46">
        <w:rPr>
          <w:position w:val="6"/>
          <w:sz w:val="16"/>
          <w:szCs w:val="16"/>
        </w:rPr>
        <w:t>6</w:t>
      </w:r>
      <w:r>
        <w:t xml:space="preserve"> &gt; (1.06)</w:t>
      </w:r>
      <w:r w:rsidRPr="00D42F46">
        <w:rPr>
          <w:position w:val="6"/>
          <w:sz w:val="16"/>
          <w:szCs w:val="16"/>
        </w:rPr>
        <w:t>6</w:t>
      </w:r>
      <w:r>
        <w:t xml:space="preserve"> = 1.4185</w:t>
      </w:r>
    </w:p>
    <w:p w:rsidR="00C17403" w:rsidRDefault="00C17403" w:rsidP="0053337D">
      <w:pPr>
        <w:keepLines/>
        <w:spacing w:line="360" w:lineRule="auto"/>
        <w:ind w:left="1843" w:hanging="1843"/>
      </w:pPr>
      <w:r>
        <w:tab/>
        <w:t xml:space="preserve">(1 + </w:t>
      </w:r>
      <w:r w:rsidRPr="003B7466">
        <w:rPr>
          <w:i/>
        </w:rPr>
        <w:t>r</w:t>
      </w:r>
      <w:r>
        <w:t xml:space="preserve"> – 0.005)</w:t>
      </w:r>
      <w:r w:rsidRPr="00D42F46">
        <w:rPr>
          <w:position w:val="6"/>
          <w:sz w:val="16"/>
          <w:szCs w:val="16"/>
        </w:rPr>
        <w:t>6</w:t>
      </w:r>
      <w:r>
        <w:t xml:space="preserve"> &gt; 1.4776</w:t>
      </w:r>
    </w:p>
    <w:p w:rsidR="00C17403" w:rsidRDefault="00C17403" w:rsidP="0053337D">
      <w:pPr>
        <w:keepLines/>
        <w:spacing w:line="360" w:lineRule="auto"/>
        <w:ind w:left="1843" w:hanging="1843"/>
      </w:pPr>
      <w:r>
        <w:tab/>
        <w:t xml:space="preserve">1 + </w:t>
      </w:r>
      <w:r w:rsidRPr="003B7466">
        <w:rPr>
          <w:i/>
        </w:rPr>
        <w:t>r</w:t>
      </w:r>
      <w:r>
        <w:t xml:space="preserve"> – 0.005 &gt; 1.0672</w:t>
      </w:r>
    </w:p>
    <w:p w:rsidR="00C17403" w:rsidRDefault="00C17403" w:rsidP="0053337D">
      <w:pPr>
        <w:keepLines/>
        <w:spacing w:line="360" w:lineRule="auto"/>
        <w:ind w:left="1843" w:hanging="1843"/>
      </w:pPr>
      <w:r>
        <w:tab/>
        <w:t xml:space="preserve">1 + </w:t>
      </w:r>
      <w:r w:rsidRPr="003B7466">
        <w:rPr>
          <w:i/>
        </w:rPr>
        <w:t>r</w:t>
      </w:r>
      <w:r>
        <w:t xml:space="preserve"> &gt; 1.0722</w:t>
      </w:r>
    </w:p>
    <w:p w:rsidR="00C17403" w:rsidRDefault="00C17403" w:rsidP="0053337D">
      <w:pPr>
        <w:keepLines/>
        <w:spacing w:line="360" w:lineRule="auto"/>
        <w:ind w:left="1843" w:hanging="1843"/>
      </w:pPr>
      <w:r>
        <w:tab/>
      </w:r>
      <w:r w:rsidRPr="003B7466">
        <w:rPr>
          <w:i/>
        </w:rPr>
        <w:t>r</w:t>
      </w:r>
      <w:r>
        <w:t xml:space="preserve"> &gt; 7.22%</w:t>
      </w:r>
    </w:p>
    <w:p w:rsidR="00C17403" w:rsidRDefault="00C17403" w:rsidP="00896CC5">
      <w:pPr>
        <w:keepLines/>
        <w:ind w:left="1440"/>
      </w:pPr>
      <w:r>
        <w:t>The cutoff rate of return is lower for the six year investment because the "fixed cost" (i.e., the one-time front-end load) is spread out over a greater number of years.</w:t>
      </w:r>
    </w:p>
    <w:p w:rsidR="00C17403" w:rsidRDefault="00C17403" w:rsidP="00896CC5">
      <w:pPr>
        <w:keepLines/>
      </w:pPr>
    </w:p>
    <w:p w:rsidR="00564B42" w:rsidRPr="00C248AD" w:rsidRDefault="00564B42" w:rsidP="00896CC5">
      <w:pPr>
        <w:keepLines/>
        <w:numPr>
          <w:ilvl w:val="1"/>
          <w:numId w:val="22"/>
        </w:numPr>
        <w:tabs>
          <w:tab w:val="left" w:pos="540"/>
        </w:tabs>
        <w:spacing w:after="120"/>
      </w:pPr>
    </w:p>
    <w:p w:rsidR="00C17403" w:rsidRDefault="00564B42" w:rsidP="00C248AD">
      <w:pPr>
        <w:keepLines/>
        <w:tabs>
          <w:tab w:val="left" w:pos="540"/>
        </w:tabs>
        <w:spacing w:after="120"/>
        <w:ind w:left="1440"/>
      </w:pPr>
      <w:r>
        <w:rPr>
          <w:rFonts w:eastAsia="MS Mincho" w:hint="eastAsia"/>
          <w:lang w:eastAsia="ja-JP"/>
        </w:rPr>
        <w:t xml:space="preserve">c-1. </w:t>
      </w:r>
      <w:r w:rsidR="00C17403">
        <w:t xml:space="preserve">With a 12b-1 fee instead of a front-end load, the portfolio must earn </w:t>
      </w:r>
      <w:r>
        <w:rPr>
          <w:rFonts w:eastAsia="MS Mincho" w:hint="eastAsia"/>
          <w:lang w:eastAsia="ja-JP"/>
        </w:rPr>
        <w:tab/>
        <w:t xml:space="preserve">       </w:t>
      </w:r>
      <w:r w:rsidR="00C17403">
        <w:t>a rate of return (</w:t>
      </w:r>
      <w:r w:rsidR="00C17403" w:rsidRPr="003B7466">
        <w:rPr>
          <w:i/>
        </w:rPr>
        <w:t>r</w:t>
      </w:r>
      <w:r w:rsidR="00C17403">
        <w:t>) that satisfies:</w:t>
      </w:r>
    </w:p>
    <w:p w:rsidR="00C17403" w:rsidRDefault="00C17403" w:rsidP="0053337D">
      <w:pPr>
        <w:keepLines/>
        <w:spacing w:line="360" w:lineRule="auto"/>
        <w:ind w:left="1843" w:hanging="1843"/>
      </w:pPr>
      <w:r>
        <w:tab/>
      </w:r>
      <w:r w:rsidR="00564B42">
        <w:rPr>
          <w:rFonts w:eastAsia="MS Mincho" w:hint="eastAsia"/>
          <w:lang w:eastAsia="ja-JP"/>
        </w:rPr>
        <w:tab/>
      </w:r>
      <w:r w:rsidR="00564B42">
        <w:rPr>
          <w:rFonts w:eastAsia="MS Mincho" w:hint="eastAsia"/>
          <w:lang w:eastAsia="ja-JP"/>
        </w:rPr>
        <w:tab/>
      </w:r>
      <w:r w:rsidR="00564B42">
        <w:rPr>
          <w:rFonts w:eastAsia="MS Mincho" w:hint="eastAsia"/>
          <w:lang w:eastAsia="ja-JP"/>
        </w:rPr>
        <w:tab/>
      </w:r>
      <w:r>
        <w:t xml:space="preserve">1 + </w:t>
      </w:r>
      <w:r w:rsidRPr="003B7466">
        <w:rPr>
          <w:i/>
        </w:rPr>
        <w:t>r</w:t>
      </w:r>
      <w:r>
        <w:t xml:space="preserve"> – 0.005 – 0.0075 &gt; 1.06</w:t>
      </w:r>
    </w:p>
    <w:p w:rsidR="00C17403" w:rsidRDefault="00C17403" w:rsidP="0053337D">
      <w:pPr>
        <w:keepLines/>
        <w:ind w:left="1418" w:hanging="878"/>
      </w:pPr>
      <w:r>
        <w:tab/>
      </w:r>
      <w:r w:rsidR="00564B42">
        <w:rPr>
          <w:rFonts w:eastAsia="MS Mincho" w:hint="eastAsia"/>
          <w:lang w:eastAsia="ja-JP"/>
        </w:rPr>
        <w:tab/>
      </w:r>
      <w:r w:rsidR="00564B42">
        <w:rPr>
          <w:rFonts w:eastAsia="MS Mincho" w:hint="eastAsia"/>
          <w:lang w:eastAsia="ja-JP"/>
        </w:rPr>
        <w:tab/>
        <w:t xml:space="preserve">c-2. </w:t>
      </w:r>
      <w:r>
        <w:t xml:space="preserve">In this case, </w:t>
      </w:r>
      <w:r w:rsidRPr="003B7466">
        <w:rPr>
          <w:i/>
        </w:rPr>
        <w:t>r</w:t>
      </w:r>
      <w:r>
        <w:t xml:space="preserve"> must exceed 7.25% regardless of the investment </w:t>
      </w:r>
      <w:r w:rsidR="00564B42">
        <w:rPr>
          <w:rFonts w:eastAsia="MS Mincho" w:hint="eastAsia"/>
          <w:lang w:eastAsia="ja-JP"/>
        </w:rPr>
        <w:tab/>
      </w:r>
      <w:r w:rsidR="00564B42">
        <w:rPr>
          <w:rFonts w:eastAsia="MS Mincho" w:hint="eastAsia"/>
          <w:lang w:eastAsia="ja-JP"/>
        </w:rPr>
        <w:tab/>
      </w:r>
      <w:r w:rsidR="00564B42">
        <w:rPr>
          <w:rFonts w:eastAsia="MS Mincho" w:hint="eastAsia"/>
          <w:lang w:eastAsia="ja-JP"/>
        </w:rPr>
        <w:tab/>
        <w:t xml:space="preserve">       </w:t>
      </w:r>
      <w:r>
        <w:t>horizon.</w:t>
      </w:r>
    </w:p>
    <w:p w:rsidR="00C17403" w:rsidRDefault="00C17403" w:rsidP="00896CC5">
      <w:pPr>
        <w:keepLines/>
      </w:pPr>
    </w:p>
    <w:p w:rsidR="00C17403" w:rsidRDefault="00C17403" w:rsidP="00896CC5">
      <w:pPr>
        <w:keepLines/>
        <w:numPr>
          <w:ilvl w:val="0"/>
          <w:numId w:val="22"/>
        </w:numPr>
      </w:pPr>
      <w:r>
        <w:t xml:space="preserve">The turnover rate is 50%.  This means that, on average, 50% of the portfolio is sold and replaced with other securities each year.  Trading costs on the sell orders are 0.4%; the buy orders to replace those securities entail another 0.4% in trading costs.  Total trading costs will reduce portfolio returns by: 2 </w:t>
      </w:r>
      <w:r>
        <w:sym w:font="Symbol" w:char="F0B4"/>
      </w:r>
      <w:r>
        <w:t xml:space="preserve"> 0.</w:t>
      </w:r>
      <w:r w:rsidR="003B7466">
        <w:t>00</w:t>
      </w:r>
      <w:r>
        <w:t xml:space="preserve">4 </w:t>
      </w:r>
      <w:r>
        <w:rPr>
          <w:rFonts w:ascii="Symbol" w:hAnsi="Symbol"/>
        </w:rPr>
        <w:sym w:font="Symbol" w:char="F0B4"/>
      </w:r>
      <w:r>
        <w:t xml:space="preserve"> 0.50 = </w:t>
      </w:r>
      <w:r w:rsidR="003B7466">
        <w:t xml:space="preserve">0.004 or </w:t>
      </w:r>
      <w:r>
        <w:t>0.4%</w:t>
      </w:r>
    </w:p>
    <w:p w:rsidR="00F859EB" w:rsidRDefault="00F859EB" w:rsidP="00F859EB">
      <w:pPr>
        <w:keepLines/>
        <w:ind w:left="720"/>
      </w:pPr>
    </w:p>
    <w:p w:rsidR="00564B42" w:rsidRPr="00C248AD" w:rsidRDefault="00564B42" w:rsidP="00564B42">
      <w:pPr>
        <w:keepLines/>
        <w:numPr>
          <w:ilvl w:val="0"/>
          <w:numId w:val="22"/>
        </w:numPr>
        <w:tabs>
          <w:tab w:val="left" w:pos="540"/>
        </w:tabs>
        <w:spacing w:line="360" w:lineRule="auto"/>
      </w:pPr>
    </w:p>
    <w:p w:rsidR="00564B42" w:rsidRDefault="00564B42" w:rsidP="00C248AD">
      <w:pPr>
        <w:pStyle w:val="ListParagraph"/>
      </w:pPr>
    </w:p>
    <w:p w:rsidR="00F859EB" w:rsidRPr="00F859EB" w:rsidRDefault="00564B42" w:rsidP="00C248AD">
      <w:pPr>
        <w:keepLines/>
        <w:tabs>
          <w:tab w:val="left" w:pos="540"/>
        </w:tabs>
        <w:spacing w:line="360" w:lineRule="auto"/>
        <w:ind w:left="720"/>
      </w:pPr>
      <w:r>
        <w:rPr>
          <w:rFonts w:eastAsia="MS Mincho" w:hint="eastAsia"/>
          <w:lang w:eastAsia="ja-JP"/>
        </w:rPr>
        <w:t xml:space="preserve">a. </w:t>
      </w:r>
      <w:r w:rsidR="00F859EB" w:rsidRPr="00F859EB">
        <w:t>For the bond fund, the fraction of portfolio income given up to fees is:</w:t>
      </w:r>
    </w:p>
    <w:p w:rsidR="00F859EB" w:rsidRPr="00F859EB" w:rsidRDefault="00F859EB" w:rsidP="00F859EB">
      <w:pPr>
        <w:keepLines/>
        <w:spacing w:line="360" w:lineRule="auto"/>
        <w:ind w:left="1080" w:hanging="1080"/>
      </w:pPr>
      <w:r w:rsidRPr="00F859EB">
        <w:tab/>
      </w:r>
      <w:r w:rsidR="00564B42">
        <w:rPr>
          <w:rFonts w:eastAsia="MS Mincho" w:hint="eastAsia"/>
          <w:lang w:eastAsia="ja-JP"/>
        </w:rPr>
        <w:tab/>
      </w:r>
      <w:r w:rsidR="00564B42">
        <w:rPr>
          <w:rFonts w:eastAsia="MS Mincho" w:hint="eastAsia"/>
          <w:lang w:eastAsia="ja-JP"/>
        </w:rPr>
        <w:tab/>
      </w:r>
      <w:r w:rsidRPr="00F859EB">
        <w:rPr>
          <w:position w:val="-24"/>
        </w:rPr>
        <w:object w:dxaOrig="620" w:dyaOrig="620">
          <v:shape id="_x0000_i1034" type="#_x0000_t75" style="width:30.75pt;height:30.75pt" o:ole="" fillcolor="window">
            <v:imagedata r:id="rId27" o:title=""/>
          </v:shape>
          <o:OLEObject Type="Embed" ProgID="Equation.3" ShapeID="_x0000_i1034" DrawAspect="Content" ObjectID="_1513424257" r:id="rId28"/>
        </w:object>
      </w:r>
      <w:r w:rsidRPr="00F859EB">
        <w:t>= 0.150 = 15.0%</w:t>
      </w:r>
    </w:p>
    <w:p w:rsidR="00F859EB" w:rsidRPr="00F859EB" w:rsidRDefault="00564B42" w:rsidP="00F859EB">
      <w:pPr>
        <w:keepLines/>
        <w:spacing w:line="360" w:lineRule="auto"/>
        <w:ind w:left="709" w:firstLine="11"/>
      </w:pPr>
      <w:r>
        <w:rPr>
          <w:rFonts w:eastAsia="MS Mincho" w:hint="eastAsia"/>
          <w:lang w:eastAsia="ja-JP"/>
        </w:rPr>
        <w:tab/>
        <w:t xml:space="preserve">b. </w:t>
      </w:r>
      <w:r w:rsidR="00F859EB" w:rsidRPr="00F859EB">
        <w:t>For the equity fund, the fraction of investment earnings given up to fees is:</w:t>
      </w:r>
    </w:p>
    <w:p w:rsidR="00F859EB" w:rsidRPr="00F859EB" w:rsidRDefault="00F859EB" w:rsidP="00F859EB">
      <w:pPr>
        <w:keepLines/>
        <w:spacing w:line="360" w:lineRule="auto"/>
        <w:ind w:left="1080" w:hanging="1080"/>
      </w:pPr>
      <w:r w:rsidRPr="00F859EB">
        <w:tab/>
      </w:r>
      <w:r w:rsidR="00564B42">
        <w:rPr>
          <w:rFonts w:eastAsia="MS Mincho" w:hint="eastAsia"/>
          <w:lang w:eastAsia="ja-JP"/>
        </w:rPr>
        <w:tab/>
      </w:r>
      <w:r w:rsidR="00564B42">
        <w:rPr>
          <w:rFonts w:eastAsia="MS Mincho" w:hint="eastAsia"/>
          <w:lang w:eastAsia="ja-JP"/>
        </w:rPr>
        <w:tab/>
      </w:r>
      <w:r w:rsidRPr="00F859EB">
        <w:rPr>
          <w:position w:val="-24"/>
        </w:rPr>
        <w:object w:dxaOrig="720" w:dyaOrig="620">
          <v:shape id="_x0000_i1035" type="#_x0000_t75" style="width:36pt;height:30.75pt" o:ole="" fillcolor="window">
            <v:imagedata r:id="rId29" o:title=""/>
          </v:shape>
          <o:OLEObject Type="Embed" ProgID="Equation.3" ShapeID="_x0000_i1035" DrawAspect="Content" ObjectID="_1513424258" r:id="rId30"/>
        </w:object>
      </w:r>
      <w:r w:rsidRPr="00F859EB">
        <w:t>= 0.050 = 5.0%</w:t>
      </w:r>
    </w:p>
    <w:p w:rsidR="00F859EB" w:rsidRPr="00F859EB" w:rsidRDefault="00564B42" w:rsidP="00F859EB">
      <w:pPr>
        <w:keepLines/>
        <w:spacing w:after="120"/>
        <w:ind w:left="709"/>
      </w:pPr>
      <w:r>
        <w:rPr>
          <w:rFonts w:eastAsia="MS Mincho" w:hint="eastAsia"/>
          <w:lang w:eastAsia="ja-JP"/>
        </w:rPr>
        <w:tab/>
      </w:r>
      <w:r>
        <w:rPr>
          <w:rFonts w:eastAsia="MS Mincho" w:hint="eastAsia"/>
          <w:lang w:eastAsia="ja-JP"/>
        </w:rPr>
        <w:tab/>
        <w:t xml:space="preserve">c. </w:t>
      </w:r>
      <w:r w:rsidR="00F859EB" w:rsidRPr="00F859EB">
        <w:t xml:space="preserve">Fees are a much higher fraction of expected earnings for the bond fund, and </w:t>
      </w:r>
      <w:r>
        <w:rPr>
          <w:rFonts w:eastAsia="MS Mincho" w:hint="eastAsia"/>
          <w:lang w:eastAsia="ja-JP"/>
        </w:rPr>
        <w:tab/>
      </w:r>
      <w:r>
        <w:rPr>
          <w:rFonts w:eastAsia="MS Mincho" w:hint="eastAsia"/>
          <w:lang w:eastAsia="ja-JP"/>
        </w:rPr>
        <w:tab/>
        <w:t xml:space="preserve">    </w:t>
      </w:r>
      <w:r w:rsidR="00F859EB" w:rsidRPr="00F859EB">
        <w:t>therefore may be a more important factor in selecting the bond fund.</w:t>
      </w:r>
    </w:p>
    <w:p w:rsidR="00F859EB" w:rsidRDefault="00564B42" w:rsidP="00F859EB">
      <w:pPr>
        <w:keepLines/>
        <w:ind w:left="709"/>
      </w:pPr>
      <w:r>
        <w:rPr>
          <w:rFonts w:eastAsia="MS Mincho" w:hint="eastAsia"/>
          <w:lang w:eastAsia="ja-JP"/>
        </w:rPr>
        <w:tab/>
      </w:r>
      <w:r w:rsidR="00F859EB">
        <w:t xml:space="preserve">This may help to explain why unmanaged unit investment trusts are </w:t>
      </w:r>
      <w:r>
        <w:rPr>
          <w:rFonts w:eastAsia="MS Mincho" w:hint="eastAsia"/>
          <w:lang w:eastAsia="ja-JP"/>
        </w:rPr>
        <w:tab/>
      </w:r>
      <w:r>
        <w:rPr>
          <w:rFonts w:eastAsia="MS Mincho" w:hint="eastAsia"/>
          <w:lang w:eastAsia="ja-JP"/>
        </w:rPr>
        <w:tab/>
      </w:r>
      <w:r>
        <w:rPr>
          <w:rFonts w:eastAsia="MS Mincho" w:hint="eastAsia"/>
          <w:lang w:eastAsia="ja-JP"/>
        </w:rPr>
        <w:tab/>
      </w:r>
      <w:r w:rsidR="00F859EB">
        <w:t xml:space="preserve">concentrated in the fixed income market.  The advantages of unit investment </w:t>
      </w:r>
      <w:r>
        <w:rPr>
          <w:rFonts w:eastAsia="MS Mincho" w:hint="eastAsia"/>
          <w:lang w:eastAsia="ja-JP"/>
        </w:rPr>
        <w:tab/>
      </w:r>
      <w:r>
        <w:rPr>
          <w:rFonts w:eastAsia="MS Mincho" w:hint="eastAsia"/>
          <w:lang w:eastAsia="ja-JP"/>
        </w:rPr>
        <w:tab/>
      </w:r>
      <w:r w:rsidR="00F859EB">
        <w:t xml:space="preserve">trusts are low turnover and low trading costs and management fees.  This is a </w:t>
      </w:r>
      <w:r>
        <w:rPr>
          <w:rFonts w:eastAsia="MS Mincho" w:hint="eastAsia"/>
          <w:lang w:eastAsia="ja-JP"/>
        </w:rPr>
        <w:tab/>
      </w:r>
      <w:r>
        <w:rPr>
          <w:rFonts w:eastAsia="MS Mincho" w:hint="eastAsia"/>
          <w:lang w:eastAsia="ja-JP"/>
        </w:rPr>
        <w:tab/>
      </w:r>
      <w:r w:rsidR="00F859EB">
        <w:t>more important concern to bond-market investors.</w:t>
      </w:r>
    </w:p>
    <w:p w:rsidR="009B47B5" w:rsidRDefault="009B47B5" w:rsidP="009B47B5">
      <w:pPr>
        <w:keepLines/>
        <w:ind w:left="720"/>
      </w:pPr>
    </w:p>
    <w:p w:rsidR="00031CA5" w:rsidRDefault="007F1C55" w:rsidP="007F1C55">
      <w:pPr>
        <w:keepLines/>
        <w:numPr>
          <w:ilvl w:val="0"/>
          <w:numId w:val="22"/>
        </w:numPr>
        <w:rPr>
          <w:lang w:eastAsia="zh-TW"/>
        </w:rPr>
      </w:pPr>
      <w:r w:rsidRPr="007F1C55">
        <w:rPr>
          <w:lang w:eastAsia="zh-TW"/>
        </w:rPr>
        <w:lastRenderedPageBreak/>
        <w:t>Equity funds and fixed-income funds contain different types of securities. Therefore, there are numerous differences that make comparison difficult. Equity funds invest primarily in the common stock of publically traded firms. Fixed-income funds invest in corporate bonds, Treasury bonds, mortgage-backed securities, or municipal (tax-free) bonds. The risks associated with stocks are primarily related to economic conditions and the success of the business operations.  The risk</w:t>
      </w:r>
      <w:r w:rsidR="003B7466">
        <w:rPr>
          <w:lang w:eastAsia="zh-TW"/>
        </w:rPr>
        <w:t>s</w:t>
      </w:r>
      <w:r w:rsidRPr="007F1C55">
        <w:rPr>
          <w:lang w:eastAsia="zh-TW"/>
        </w:rPr>
        <w:t xml:space="preserve"> associated with fixed-income securities are primarily interest rate risk and credit risk.</w:t>
      </w:r>
    </w:p>
    <w:p w:rsidR="00C17403" w:rsidRDefault="00C17403" w:rsidP="00896CC5">
      <w:pPr>
        <w:keepLines/>
      </w:pPr>
    </w:p>
    <w:p w:rsidR="00023F95" w:rsidRPr="00023F95" w:rsidRDefault="00023F95" w:rsidP="00896CC5">
      <w:pPr>
        <w:keepLines/>
        <w:numPr>
          <w:ilvl w:val="0"/>
          <w:numId w:val="22"/>
        </w:numPr>
      </w:pPr>
      <w:r>
        <w:t>Suppose that finishing in the top half of all portfolio managers is purely luck, and that the probability of doing so in any year is exactly ½.  Then the probability that any particular manager would finish in the top half of the sample five years in a row is (½)</w:t>
      </w:r>
      <w:r w:rsidRPr="0057139D">
        <w:rPr>
          <w:position w:val="6"/>
          <w:sz w:val="16"/>
          <w:szCs w:val="16"/>
        </w:rPr>
        <w:t>5</w:t>
      </w:r>
      <w:r>
        <w:t xml:space="preserve"> = 1/32.  We would then expect to find that [350 </w:t>
      </w:r>
      <w:r>
        <w:rPr>
          <w:rFonts w:ascii="Symbol" w:hAnsi="Symbol"/>
          <w:sz w:val="20"/>
        </w:rPr>
        <w:sym w:font="Symbol" w:char="F0B4"/>
      </w:r>
      <w:r>
        <w:t xml:space="preserve"> (1/32)] = 11 managers finish in the top half for each of the five consecutive years.  This is precisely what we found.  Thus, we should not conclude that the consistent performance after five years is proof of skill.  We would expect to find eleven managers exhibiting precisely this level of "consistency" even if performance is due solely to luck.</w:t>
      </w:r>
    </w:p>
    <w:p w:rsidR="00023F95" w:rsidRPr="00023F95" w:rsidRDefault="00023F95" w:rsidP="00896CC5">
      <w:pPr>
        <w:keepLines/>
      </w:pPr>
    </w:p>
    <w:p w:rsidR="00023F95" w:rsidRDefault="00023F95" w:rsidP="00896CC5">
      <w:pPr>
        <w:keepLines/>
      </w:pPr>
    </w:p>
    <w:sectPr w:rsidR="00023F95" w:rsidSect="007A7FEA">
      <w:headerReference w:type="even" r:id="rId31"/>
      <w:headerReference w:type="default" r:id="rId32"/>
      <w:footerReference w:type="even" r:id="rId33"/>
      <w:footerReference w:type="default" r:id="rId34"/>
      <w:headerReference w:type="first" r:id="rId35"/>
      <w:footerReference w:type="first" r:id="rId36"/>
      <w:pgSz w:w="12240" w:h="15840"/>
      <w:pgMar w:top="1440" w:right="16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AFD" w:rsidRDefault="007D1AFD">
      <w:r>
        <w:separator/>
      </w:r>
    </w:p>
  </w:endnote>
  <w:endnote w:type="continuationSeparator" w:id="0">
    <w:p w:rsidR="007D1AFD" w:rsidRDefault="007D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A61" w:rsidRDefault="00B83A61" w:rsidP="00B816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83A61" w:rsidRDefault="00B83A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A61" w:rsidRPr="00E3245D" w:rsidRDefault="00E3245D" w:rsidP="00E3245D">
    <w:pPr>
      <w:pStyle w:val="Footer"/>
      <w:jc w:val="center"/>
      <w:rPr>
        <w:sz w:val="18"/>
      </w:rPr>
    </w:pPr>
    <w:r>
      <w:rPr>
        <w:bCs/>
        <w:sz w:val="18"/>
      </w:rPr>
      <w:t xml:space="preserve">Copyright © 2017 McGraw-Hill Education. All rights reserved. No reproduction or distribution without the prior written consent of McGraw-Hill </w:t>
    </w:r>
    <w:r>
      <w:rPr>
        <w:bCs/>
        <w:sz w:val="18"/>
      </w:rPr>
      <w:t>Education.</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A61" w:rsidRDefault="00B83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AFD" w:rsidRDefault="007D1AFD">
      <w:r>
        <w:separator/>
      </w:r>
    </w:p>
  </w:footnote>
  <w:footnote w:type="continuationSeparator" w:id="0">
    <w:p w:rsidR="007D1AFD" w:rsidRDefault="007D1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A61" w:rsidRDefault="00B83A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A61" w:rsidRPr="00896CC5" w:rsidRDefault="00B83A61" w:rsidP="00896CC5">
    <w:pPr>
      <w:pStyle w:val="Header"/>
      <w:rPr>
        <w:spacing w:val="4"/>
        <w:sz w:val="20"/>
      </w:rPr>
    </w:pPr>
    <w:r w:rsidRPr="00896CC5">
      <w:rPr>
        <w:spacing w:val="4"/>
        <w:sz w:val="20"/>
      </w:rPr>
      <w:t>Chapter 04 - Mutual Funds and Other Investment Companies</w:t>
    </w:r>
  </w:p>
  <w:p w:rsidR="00B83A61" w:rsidRPr="00896CC5" w:rsidRDefault="00B83A61" w:rsidP="00896C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A61" w:rsidRDefault="00B83A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FE6"/>
    <w:multiLevelType w:val="hybridMultilevel"/>
    <w:tmpl w:val="C90C6C48"/>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nsid w:val="04F6065C"/>
    <w:multiLevelType w:val="hybridMultilevel"/>
    <w:tmpl w:val="654C773A"/>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nsid w:val="117206F6"/>
    <w:multiLevelType w:val="hybridMultilevel"/>
    <w:tmpl w:val="96A6DD9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884C86"/>
    <w:multiLevelType w:val="hybridMultilevel"/>
    <w:tmpl w:val="05EEBD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BC10D9"/>
    <w:multiLevelType w:val="hybridMultilevel"/>
    <w:tmpl w:val="324031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6253A9"/>
    <w:multiLevelType w:val="hybridMultilevel"/>
    <w:tmpl w:val="93A4890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9F91FD3"/>
    <w:multiLevelType w:val="hybridMultilevel"/>
    <w:tmpl w:val="D0B8D4E6"/>
    <w:lvl w:ilvl="0" w:tplc="8F60B9E4">
      <w:start w:val="1"/>
      <w:numFmt w:val="lowerLetter"/>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B94212D"/>
    <w:multiLevelType w:val="hybridMultilevel"/>
    <w:tmpl w:val="29643070"/>
    <w:lvl w:ilvl="0" w:tplc="9528BC54">
      <w:start w:val="1"/>
      <w:numFmt w:val="decimal"/>
      <w:lvlText w:val="%1."/>
      <w:lvlJc w:val="left"/>
      <w:pPr>
        <w:tabs>
          <w:tab w:val="num" w:pos="720"/>
        </w:tabs>
        <w:ind w:left="720" w:hanging="360"/>
      </w:pPr>
      <w:rPr>
        <w:rFonts w:hint="default"/>
        <w:i w:val="0"/>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AF7A14"/>
    <w:multiLevelType w:val="hybridMultilevel"/>
    <w:tmpl w:val="4F26D8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245111"/>
    <w:multiLevelType w:val="hybridMultilevel"/>
    <w:tmpl w:val="5FE2E5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E75954"/>
    <w:multiLevelType w:val="hybridMultilevel"/>
    <w:tmpl w:val="849861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EA2F74"/>
    <w:multiLevelType w:val="hybridMultilevel"/>
    <w:tmpl w:val="5EAA0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1430CB"/>
    <w:multiLevelType w:val="hybridMultilevel"/>
    <w:tmpl w:val="53F692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916F5A"/>
    <w:multiLevelType w:val="hybridMultilevel"/>
    <w:tmpl w:val="602E25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B4B0685"/>
    <w:multiLevelType w:val="hybridMultilevel"/>
    <w:tmpl w:val="93106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476C85"/>
    <w:multiLevelType w:val="hybridMultilevel"/>
    <w:tmpl w:val="A6CC816C"/>
    <w:lvl w:ilvl="0" w:tplc="3E8AA63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0DF1E04"/>
    <w:multiLevelType w:val="hybridMultilevel"/>
    <w:tmpl w:val="839680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285327"/>
    <w:multiLevelType w:val="hybridMultilevel"/>
    <w:tmpl w:val="9A5055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39C2E3F"/>
    <w:multiLevelType w:val="hybridMultilevel"/>
    <w:tmpl w:val="AA9248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CE12EF"/>
    <w:multiLevelType w:val="hybridMultilevel"/>
    <w:tmpl w:val="3DD44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063B38"/>
    <w:multiLevelType w:val="hybridMultilevel"/>
    <w:tmpl w:val="009CAD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48798D"/>
    <w:multiLevelType w:val="multilevel"/>
    <w:tmpl w:val="93E420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2560CE3"/>
    <w:multiLevelType w:val="hybridMultilevel"/>
    <w:tmpl w:val="0164D6F6"/>
    <w:lvl w:ilvl="0" w:tplc="3E8AA63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AD463E7"/>
    <w:multiLevelType w:val="hybridMultilevel"/>
    <w:tmpl w:val="CB6A542A"/>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4">
    <w:nsid w:val="4D8A5C4C"/>
    <w:multiLevelType w:val="multilevel"/>
    <w:tmpl w:val="5EAA0F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2D61BAC"/>
    <w:multiLevelType w:val="hybridMultilevel"/>
    <w:tmpl w:val="85081E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CF27993"/>
    <w:multiLevelType w:val="hybridMultilevel"/>
    <w:tmpl w:val="B32C56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0224EDC"/>
    <w:multiLevelType w:val="multilevel"/>
    <w:tmpl w:val="93E420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1F96848"/>
    <w:multiLevelType w:val="hybridMultilevel"/>
    <w:tmpl w:val="C316B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66A2F64"/>
    <w:multiLevelType w:val="hybridMultilevel"/>
    <w:tmpl w:val="739A40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E9C27D5"/>
    <w:multiLevelType w:val="hybridMultilevel"/>
    <w:tmpl w:val="9634C9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FE501BF"/>
    <w:multiLevelType w:val="singleLevel"/>
    <w:tmpl w:val="4D844226"/>
    <w:lvl w:ilvl="0">
      <w:start w:val="16"/>
      <w:numFmt w:val="decimal"/>
      <w:lvlText w:val="%1."/>
      <w:lvlJc w:val="left"/>
      <w:pPr>
        <w:tabs>
          <w:tab w:val="num" w:pos="540"/>
        </w:tabs>
        <w:ind w:left="540" w:hanging="540"/>
      </w:pPr>
      <w:rPr>
        <w:rFonts w:hint="default"/>
      </w:rPr>
    </w:lvl>
  </w:abstractNum>
  <w:abstractNum w:abstractNumId="32">
    <w:nsid w:val="766D7E79"/>
    <w:multiLevelType w:val="hybridMultilevel"/>
    <w:tmpl w:val="97C4CE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8A10D06"/>
    <w:multiLevelType w:val="hybridMultilevel"/>
    <w:tmpl w:val="E3D27D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6"/>
  </w:num>
  <w:num w:numId="3">
    <w:abstractNumId w:val="33"/>
  </w:num>
  <w:num w:numId="4">
    <w:abstractNumId w:val="27"/>
  </w:num>
  <w:num w:numId="5">
    <w:abstractNumId w:val="21"/>
  </w:num>
  <w:num w:numId="6">
    <w:abstractNumId w:val="32"/>
  </w:num>
  <w:num w:numId="7">
    <w:abstractNumId w:val="9"/>
  </w:num>
  <w:num w:numId="8">
    <w:abstractNumId w:val="3"/>
  </w:num>
  <w:num w:numId="9">
    <w:abstractNumId w:val="13"/>
  </w:num>
  <w:num w:numId="10">
    <w:abstractNumId w:val="11"/>
  </w:num>
  <w:num w:numId="11">
    <w:abstractNumId w:val="24"/>
  </w:num>
  <w:num w:numId="12">
    <w:abstractNumId w:val="5"/>
  </w:num>
  <w:num w:numId="13">
    <w:abstractNumId w:val="2"/>
  </w:num>
  <w:num w:numId="14">
    <w:abstractNumId w:val="28"/>
  </w:num>
  <w:num w:numId="15">
    <w:abstractNumId w:val="8"/>
  </w:num>
  <w:num w:numId="16">
    <w:abstractNumId w:val="15"/>
  </w:num>
  <w:num w:numId="17">
    <w:abstractNumId w:val="22"/>
  </w:num>
  <w:num w:numId="18">
    <w:abstractNumId w:val="18"/>
  </w:num>
  <w:num w:numId="19">
    <w:abstractNumId w:val="25"/>
  </w:num>
  <w:num w:numId="20">
    <w:abstractNumId w:val="31"/>
  </w:num>
  <w:num w:numId="21">
    <w:abstractNumId w:val="29"/>
  </w:num>
  <w:num w:numId="22">
    <w:abstractNumId w:val="7"/>
  </w:num>
  <w:num w:numId="23">
    <w:abstractNumId w:val="19"/>
  </w:num>
  <w:num w:numId="24">
    <w:abstractNumId w:val="30"/>
  </w:num>
  <w:num w:numId="25">
    <w:abstractNumId w:val="6"/>
  </w:num>
  <w:num w:numId="26">
    <w:abstractNumId w:val="1"/>
  </w:num>
  <w:num w:numId="27">
    <w:abstractNumId w:val="20"/>
  </w:num>
  <w:num w:numId="28">
    <w:abstractNumId w:val="14"/>
  </w:num>
  <w:num w:numId="29">
    <w:abstractNumId w:val="17"/>
  </w:num>
  <w:num w:numId="30">
    <w:abstractNumId w:val="16"/>
  </w:num>
  <w:num w:numId="31">
    <w:abstractNumId w:val="12"/>
  </w:num>
  <w:num w:numId="32">
    <w:abstractNumId w:val="0"/>
  </w:num>
  <w:num w:numId="33">
    <w:abstractNumId w:val="2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89"/>
    <w:rsid w:val="0000482A"/>
    <w:rsid w:val="000132F8"/>
    <w:rsid w:val="00016E15"/>
    <w:rsid w:val="000233CC"/>
    <w:rsid w:val="00023F95"/>
    <w:rsid w:val="00031CA5"/>
    <w:rsid w:val="000450B6"/>
    <w:rsid w:val="00080A14"/>
    <w:rsid w:val="000B3B07"/>
    <w:rsid w:val="000B7DCD"/>
    <w:rsid w:val="000D507F"/>
    <w:rsid w:val="000D5DEF"/>
    <w:rsid w:val="000E02D7"/>
    <w:rsid w:val="000E4B1F"/>
    <w:rsid w:val="000F6640"/>
    <w:rsid w:val="00102424"/>
    <w:rsid w:val="00111A4A"/>
    <w:rsid w:val="001162DD"/>
    <w:rsid w:val="0011643C"/>
    <w:rsid w:val="0011786C"/>
    <w:rsid w:val="00135085"/>
    <w:rsid w:val="001373E9"/>
    <w:rsid w:val="001375B1"/>
    <w:rsid w:val="00137FB4"/>
    <w:rsid w:val="0014643C"/>
    <w:rsid w:val="00150FED"/>
    <w:rsid w:val="00171D7B"/>
    <w:rsid w:val="00175F0A"/>
    <w:rsid w:val="001760A1"/>
    <w:rsid w:val="00193712"/>
    <w:rsid w:val="001A1080"/>
    <w:rsid w:val="001B3473"/>
    <w:rsid w:val="001C008C"/>
    <w:rsid w:val="001C12B2"/>
    <w:rsid w:val="001F14E8"/>
    <w:rsid w:val="00202383"/>
    <w:rsid w:val="00225CD5"/>
    <w:rsid w:val="00230543"/>
    <w:rsid w:val="00234984"/>
    <w:rsid w:val="00237D06"/>
    <w:rsid w:val="00257D17"/>
    <w:rsid w:val="00297B17"/>
    <w:rsid w:val="002A69CA"/>
    <w:rsid w:val="002B499A"/>
    <w:rsid w:val="002F7877"/>
    <w:rsid w:val="00317EAB"/>
    <w:rsid w:val="00320121"/>
    <w:rsid w:val="00321DAA"/>
    <w:rsid w:val="00342382"/>
    <w:rsid w:val="0035135D"/>
    <w:rsid w:val="00352270"/>
    <w:rsid w:val="0035312B"/>
    <w:rsid w:val="00361177"/>
    <w:rsid w:val="003629C8"/>
    <w:rsid w:val="0037324C"/>
    <w:rsid w:val="00381029"/>
    <w:rsid w:val="00391D00"/>
    <w:rsid w:val="00397BAF"/>
    <w:rsid w:val="003B7466"/>
    <w:rsid w:val="003C0CC9"/>
    <w:rsid w:val="003D1ECE"/>
    <w:rsid w:val="003E0304"/>
    <w:rsid w:val="004152CF"/>
    <w:rsid w:val="00443556"/>
    <w:rsid w:val="00466FA3"/>
    <w:rsid w:val="00471F1A"/>
    <w:rsid w:val="0047569D"/>
    <w:rsid w:val="0047610F"/>
    <w:rsid w:val="004821CA"/>
    <w:rsid w:val="004A19BB"/>
    <w:rsid w:val="004C73AE"/>
    <w:rsid w:val="004D1020"/>
    <w:rsid w:val="004D17D5"/>
    <w:rsid w:val="004E7967"/>
    <w:rsid w:val="004F2C0E"/>
    <w:rsid w:val="004F563B"/>
    <w:rsid w:val="004F5A10"/>
    <w:rsid w:val="004F68E7"/>
    <w:rsid w:val="00503F5A"/>
    <w:rsid w:val="00504B82"/>
    <w:rsid w:val="00505210"/>
    <w:rsid w:val="005215FF"/>
    <w:rsid w:val="0053337D"/>
    <w:rsid w:val="00540DA9"/>
    <w:rsid w:val="00563B18"/>
    <w:rsid w:val="00564B42"/>
    <w:rsid w:val="00591F3F"/>
    <w:rsid w:val="00597193"/>
    <w:rsid w:val="005B17B3"/>
    <w:rsid w:val="005E193E"/>
    <w:rsid w:val="005F2E67"/>
    <w:rsid w:val="005F7DD4"/>
    <w:rsid w:val="0060363D"/>
    <w:rsid w:val="00621BA7"/>
    <w:rsid w:val="0062301E"/>
    <w:rsid w:val="00641CB7"/>
    <w:rsid w:val="00657BD6"/>
    <w:rsid w:val="00672B15"/>
    <w:rsid w:val="00683418"/>
    <w:rsid w:val="00684087"/>
    <w:rsid w:val="006A46C5"/>
    <w:rsid w:val="006B1276"/>
    <w:rsid w:val="006C6460"/>
    <w:rsid w:val="006F7933"/>
    <w:rsid w:val="007064BA"/>
    <w:rsid w:val="00710270"/>
    <w:rsid w:val="0071300A"/>
    <w:rsid w:val="007153CC"/>
    <w:rsid w:val="007238EF"/>
    <w:rsid w:val="007422D2"/>
    <w:rsid w:val="007772DD"/>
    <w:rsid w:val="007904D5"/>
    <w:rsid w:val="007A7FEA"/>
    <w:rsid w:val="007C1774"/>
    <w:rsid w:val="007D1AFD"/>
    <w:rsid w:val="007D29C9"/>
    <w:rsid w:val="007F1C55"/>
    <w:rsid w:val="00825002"/>
    <w:rsid w:val="00835360"/>
    <w:rsid w:val="0085298A"/>
    <w:rsid w:val="00855802"/>
    <w:rsid w:val="00857C48"/>
    <w:rsid w:val="00866D9D"/>
    <w:rsid w:val="0088356F"/>
    <w:rsid w:val="00896CC5"/>
    <w:rsid w:val="008D3D4B"/>
    <w:rsid w:val="008D45F8"/>
    <w:rsid w:val="008D48FA"/>
    <w:rsid w:val="008D583C"/>
    <w:rsid w:val="008E4FB7"/>
    <w:rsid w:val="00905582"/>
    <w:rsid w:val="00913133"/>
    <w:rsid w:val="00917665"/>
    <w:rsid w:val="00940245"/>
    <w:rsid w:val="00943940"/>
    <w:rsid w:val="0095781A"/>
    <w:rsid w:val="0096590A"/>
    <w:rsid w:val="0097117D"/>
    <w:rsid w:val="00975877"/>
    <w:rsid w:val="009A11FE"/>
    <w:rsid w:val="009B47B5"/>
    <w:rsid w:val="009D55BB"/>
    <w:rsid w:val="009D597B"/>
    <w:rsid w:val="009E303D"/>
    <w:rsid w:val="009F1E8B"/>
    <w:rsid w:val="00A4095D"/>
    <w:rsid w:val="00A77504"/>
    <w:rsid w:val="00A91CEA"/>
    <w:rsid w:val="00AB0C4B"/>
    <w:rsid w:val="00AB7712"/>
    <w:rsid w:val="00AE0EF7"/>
    <w:rsid w:val="00AE130E"/>
    <w:rsid w:val="00AF243C"/>
    <w:rsid w:val="00AF6C4A"/>
    <w:rsid w:val="00B1603B"/>
    <w:rsid w:val="00B37D59"/>
    <w:rsid w:val="00B416EF"/>
    <w:rsid w:val="00B816D0"/>
    <w:rsid w:val="00B83A61"/>
    <w:rsid w:val="00B90506"/>
    <w:rsid w:val="00BC2F7C"/>
    <w:rsid w:val="00BE114D"/>
    <w:rsid w:val="00BF08BA"/>
    <w:rsid w:val="00C17403"/>
    <w:rsid w:val="00C202DA"/>
    <w:rsid w:val="00C21A34"/>
    <w:rsid w:val="00C248AD"/>
    <w:rsid w:val="00C36660"/>
    <w:rsid w:val="00C40599"/>
    <w:rsid w:val="00C4382A"/>
    <w:rsid w:val="00C51F32"/>
    <w:rsid w:val="00C549EF"/>
    <w:rsid w:val="00C5666F"/>
    <w:rsid w:val="00C605E1"/>
    <w:rsid w:val="00C710E3"/>
    <w:rsid w:val="00CB0BF2"/>
    <w:rsid w:val="00CB13E8"/>
    <w:rsid w:val="00CB2712"/>
    <w:rsid w:val="00CB4414"/>
    <w:rsid w:val="00CD31B7"/>
    <w:rsid w:val="00CD4277"/>
    <w:rsid w:val="00D254D3"/>
    <w:rsid w:val="00D348D7"/>
    <w:rsid w:val="00D46A4D"/>
    <w:rsid w:val="00D51998"/>
    <w:rsid w:val="00D55217"/>
    <w:rsid w:val="00D604DD"/>
    <w:rsid w:val="00D637CF"/>
    <w:rsid w:val="00D6559A"/>
    <w:rsid w:val="00DA5958"/>
    <w:rsid w:val="00DB3E49"/>
    <w:rsid w:val="00DB4459"/>
    <w:rsid w:val="00DF10F3"/>
    <w:rsid w:val="00E00DF6"/>
    <w:rsid w:val="00E05A17"/>
    <w:rsid w:val="00E25FF3"/>
    <w:rsid w:val="00E278FF"/>
    <w:rsid w:val="00E3245D"/>
    <w:rsid w:val="00E327A3"/>
    <w:rsid w:val="00E334B6"/>
    <w:rsid w:val="00E52F73"/>
    <w:rsid w:val="00E575F0"/>
    <w:rsid w:val="00E77C3F"/>
    <w:rsid w:val="00EB3C2D"/>
    <w:rsid w:val="00EB7083"/>
    <w:rsid w:val="00ED0F13"/>
    <w:rsid w:val="00EF520E"/>
    <w:rsid w:val="00F00637"/>
    <w:rsid w:val="00F047AA"/>
    <w:rsid w:val="00F06A87"/>
    <w:rsid w:val="00F25B89"/>
    <w:rsid w:val="00F4058A"/>
    <w:rsid w:val="00F421D0"/>
    <w:rsid w:val="00F44133"/>
    <w:rsid w:val="00F5730D"/>
    <w:rsid w:val="00F6549B"/>
    <w:rsid w:val="00F74E89"/>
    <w:rsid w:val="00F811AB"/>
    <w:rsid w:val="00F83B6B"/>
    <w:rsid w:val="00F859EB"/>
    <w:rsid w:val="00F94217"/>
    <w:rsid w:val="00FC5B54"/>
    <w:rsid w:val="00FC73C5"/>
    <w:rsid w:val="00FE0349"/>
    <w:rsid w:val="00FE3133"/>
    <w:rsid w:val="00FF1ABB"/>
    <w:rsid w:val="00FF2886"/>
    <w:rsid w:val="00FF4D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3B0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57BD6"/>
    <w:rPr>
      <w:b/>
      <w:bCs/>
      <w:sz w:val="20"/>
      <w:szCs w:val="20"/>
    </w:rPr>
  </w:style>
  <w:style w:type="paragraph" w:styleId="Footer">
    <w:name w:val="footer"/>
    <w:basedOn w:val="Normal"/>
    <w:link w:val="FooterChar"/>
    <w:uiPriority w:val="99"/>
    <w:rsid w:val="007A7FEA"/>
    <w:pPr>
      <w:tabs>
        <w:tab w:val="center" w:pos="4320"/>
        <w:tab w:val="right" w:pos="8640"/>
      </w:tabs>
    </w:pPr>
  </w:style>
  <w:style w:type="character" w:styleId="PageNumber">
    <w:name w:val="page number"/>
    <w:basedOn w:val="DefaultParagraphFont"/>
    <w:rsid w:val="007A7FEA"/>
  </w:style>
  <w:style w:type="paragraph" w:styleId="Header">
    <w:name w:val="header"/>
    <w:basedOn w:val="Normal"/>
    <w:rsid w:val="007A7FEA"/>
    <w:pPr>
      <w:tabs>
        <w:tab w:val="center" w:pos="4320"/>
        <w:tab w:val="right" w:pos="8640"/>
      </w:tabs>
    </w:pPr>
  </w:style>
  <w:style w:type="paragraph" w:styleId="BodyTextIndent">
    <w:name w:val="Body Text Indent"/>
    <w:basedOn w:val="Normal"/>
    <w:rsid w:val="00023F95"/>
    <w:pPr>
      <w:ind w:left="540"/>
    </w:pPr>
    <w:rPr>
      <w:rFonts w:ascii="Times" w:hAnsi="Times"/>
      <w:szCs w:val="20"/>
    </w:rPr>
  </w:style>
  <w:style w:type="paragraph" w:styleId="BlockText">
    <w:name w:val="Block Text"/>
    <w:basedOn w:val="Normal"/>
    <w:rsid w:val="00023F95"/>
    <w:pPr>
      <w:ind w:left="540" w:right="-180" w:hanging="540"/>
    </w:pPr>
    <w:rPr>
      <w:rFonts w:ascii="Times" w:hAnsi="Times"/>
      <w:szCs w:val="20"/>
    </w:rPr>
  </w:style>
  <w:style w:type="paragraph" w:styleId="BodyTextIndent2">
    <w:name w:val="Body Text Indent 2"/>
    <w:basedOn w:val="Normal"/>
    <w:rsid w:val="00023F95"/>
    <w:pPr>
      <w:ind w:left="540" w:hanging="540"/>
    </w:pPr>
    <w:rPr>
      <w:rFonts w:ascii="Times" w:hAnsi="Times"/>
      <w:szCs w:val="20"/>
    </w:rPr>
  </w:style>
  <w:style w:type="paragraph" w:customStyle="1" w:styleId="chapternumber">
    <w:name w:val="chapter number"/>
    <w:basedOn w:val="Normal"/>
    <w:next w:val="Normal"/>
    <w:rsid w:val="000B7DCD"/>
    <w:pPr>
      <w:pageBreakBefore/>
      <w:jc w:val="right"/>
    </w:pPr>
    <w:rPr>
      <w:rFonts w:ascii="Arial" w:hAnsi="Arial"/>
      <w:b/>
      <w:caps/>
      <w:sz w:val="32"/>
      <w:szCs w:val="20"/>
    </w:rPr>
  </w:style>
  <w:style w:type="paragraph" w:styleId="BalloonText">
    <w:name w:val="Balloon Text"/>
    <w:basedOn w:val="Normal"/>
    <w:link w:val="BalloonTextChar"/>
    <w:rsid w:val="003D1EC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3D1ECE"/>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F94217"/>
    <w:rPr>
      <w:color w:val="808080"/>
    </w:rPr>
  </w:style>
  <w:style w:type="paragraph" w:styleId="ListParagraph">
    <w:name w:val="List Paragraph"/>
    <w:basedOn w:val="Normal"/>
    <w:uiPriority w:val="34"/>
    <w:qFormat/>
    <w:rsid w:val="00111A4A"/>
    <w:pPr>
      <w:ind w:leftChars="200" w:left="480"/>
    </w:pPr>
  </w:style>
  <w:style w:type="character" w:customStyle="1" w:styleId="FooterChar">
    <w:name w:val="Footer Char"/>
    <w:basedOn w:val="DefaultParagraphFont"/>
    <w:link w:val="Footer"/>
    <w:uiPriority w:val="99"/>
    <w:rsid w:val="00E3245D"/>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3B0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57BD6"/>
    <w:rPr>
      <w:b/>
      <w:bCs/>
      <w:sz w:val="20"/>
      <w:szCs w:val="20"/>
    </w:rPr>
  </w:style>
  <w:style w:type="paragraph" w:styleId="Footer">
    <w:name w:val="footer"/>
    <w:basedOn w:val="Normal"/>
    <w:link w:val="FooterChar"/>
    <w:uiPriority w:val="99"/>
    <w:rsid w:val="007A7FEA"/>
    <w:pPr>
      <w:tabs>
        <w:tab w:val="center" w:pos="4320"/>
        <w:tab w:val="right" w:pos="8640"/>
      </w:tabs>
    </w:pPr>
  </w:style>
  <w:style w:type="character" w:styleId="PageNumber">
    <w:name w:val="page number"/>
    <w:basedOn w:val="DefaultParagraphFont"/>
    <w:rsid w:val="007A7FEA"/>
  </w:style>
  <w:style w:type="paragraph" w:styleId="Header">
    <w:name w:val="header"/>
    <w:basedOn w:val="Normal"/>
    <w:rsid w:val="007A7FEA"/>
    <w:pPr>
      <w:tabs>
        <w:tab w:val="center" w:pos="4320"/>
        <w:tab w:val="right" w:pos="8640"/>
      </w:tabs>
    </w:pPr>
  </w:style>
  <w:style w:type="paragraph" w:styleId="BodyTextIndent">
    <w:name w:val="Body Text Indent"/>
    <w:basedOn w:val="Normal"/>
    <w:rsid w:val="00023F95"/>
    <w:pPr>
      <w:ind w:left="540"/>
    </w:pPr>
    <w:rPr>
      <w:rFonts w:ascii="Times" w:hAnsi="Times"/>
      <w:szCs w:val="20"/>
    </w:rPr>
  </w:style>
  <w:style w:type="paragraph" w:styleId="BlockText">
    <w:name w:val="Block Text"/>
    <w:basedOn w:val="Normal"/>
    <w:rsid w:val="00023F95"/>
    <w:pPr>
      <w:ind w:left="540" w:right="-180" w:hanging="540"/>
    </w:pPr>
    <w:rPr>
      <w:rFonts w:ascii="Times" w:hAnsi="Times"/>
      <w:szCs w:val="20"/>
    </w:rPr>
  </w:style>
  <w:style w:type="paragraph" w:styleId="BodyTextIndent2">
    <w:name w:val="Body Text Indent 2"/>
    <w:basedOn w:val="Normal"/>
    <w:rsid w:val="00023F95"/>
    <w:pPr>
      <w:ind w:left="540" w:hanging="540"/>
    </w:pPr>
    <w:rPr>
      <w:rFonts w:ascii="Times" w:hAnsi="Times"/>
      <w:szCs w:val="20"/>
    </w:rPr>
  </w:style>
  <w:style w:type="paragraph" w:customStyle="1" w:styleId="chapternumber">
    <w:name w:val="chapter number"/>
    <w:basedOn w:val="Normal"/>
    <w:next w:val="Normal"/>
    <w:rsid w:val="000B7DCD"/>
    <w:pPr>
      <w:pageBreakBefore/>
      <w:jc w:val="right"/>
    </w:pPr>
    <w:rPr>
      <w:rFonts w:ascii="Arial" w:hAnsi="Arial"/>
      <w:b/>
      <w:caps/>
      <w:sz w:val="32"/>
      <w:szCs w:val="20"/>
    </w:rPr>
  </w:style>
  <w:style w:type="paragraph" w:styleId="BalloonText">
    <w:name w:val="Balloon Text"/>
    <w:basedOn w:val="Normal"/>
    <w:link w:val="BalloonTextChar"/>
    <w:rsid w:val="003D1EC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3D1ECE"/>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F94217"/>
    <w:rPr>
      <w:color w:val="808080"/>
    </w:rPr>
  </w:style>
  <w:style w:type="paragraph" w:styleId="ListParagraph">
    <w:name w:val="List Paragraph"/>
    <w:basedOn w:val="Normal"/>
    <w:uiPriority w:val="34"/>
    <w:qFormat/>
    <w:rsid w:val="00111A4A"/>
    <w:pPr>
      <w:ind w:leftChars="200" w:left="480"/>
    </w:pPr>
  </w:style>
  <w:style w:type="character" w:customStyle="1" w:styleId="FooterChar">
    <w:name w:val="Footer Char"/>
    <w:basedOn w:val="DefaultParagraphFont"/>
    <w:link w:val="Footer"/>
    <w:uiPriority w:val="99"/>
    <w:rsid w:val="00E3245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08136">
      <w:bodyDiv w:val="1"/>
      <w:marLeft w:val="0"/>
      <w:marRight w:val="0"/>
      <w:marTop w:val="0"/>
      <w:marBottom w:val="0"/>
      <w:divBdr>
        <w:top w:val="none" w:sz="0" w:space="0" w:color="auto"/>
        <w:left w:val="none" w:sz="0" w:space="0" w:color="auto"/>
        <w:bottom w:val="none" w:sz="0" w:space="0" w:color="auto"/>
        <w:right w:val="none" w:sz="0" w:space="0" w:color="auto"/>
      </w:divBdr>
    </w:div>
    <w:div w:id="175465950">
      <w:bodyDiv w:val="1"/>
      <w:marLeft w:val="0"/>
      <w:marRight w:val="0"/>
      <w:marTop w:val="0"/>
      <w:marBottom w:val="0"/>
      <w:divBdr>
        <w:top w:val="none" w:sz="0" w:space="0" w:color="auto"/>
        <w:left w:val="none" w:sz="0" w:space="0" w:color="auto"/>
        <w:bottom w:val="none" w:sz="0" w:space="0" w:color="auto"/>
        <w:right w:val="none" w:sz="0" w:space="0" w:color="auto"/>
      </w:divBdr>
    </w:div>
    <w:div w:id="504444116">
      <w:bodyDiv w:val="1"/>
      <w:marLeft w:val="0"/>
      <w:marRight w:val="0"/>
      <w:marTop w:val="0"/>
      <w:marBottom w:val="0"/>
      <w:divBdr>
        <w:top w:val="none" w:sz="0" w:space="0" w:color="auto"/>
        <w:left w:val="none" w:sz="0" w:space="0" w:color="auto"/>
        <w:bottom w:val="none" w:sz="0" w:space="0" w:color="auto"/>
        <w:right w:val="none" w:sz="0" w:space="0" w:color="auto"/>
      </w:divBdr>
    </w:div>
    <w:div w:id="536747548">
      <w:bodyDiv w:val="1"/>
      <w:marLeft w:val="0"/>
      <w:marRight w:val="0"/>
      <w:marTop w:val="0"/>
      <w:marBottom w:val="0"/>
      <w:divBdr>
        <w:top w:val="none" w:sz="0" w:space="0" w:color="auto"/>
        <w:left w:val="none" w:sz="0" w:space="0" w:color="auto"/>
        <w:bottom w:val="none" w:sz="0" w:space="0" w:color="auto"/>
        <w:right w:val="none" w:sz="0" w:space="0" w:color="auto"/>
      </w:divBdr>
    </w:div>
    <w:div w:id="588467931">
      <w:bodyDiv w:val="1"/>
      <w:marLeft w:val="0"/>
      <w:marRight w:val="0"/>
      <w:marTop w:val="0"/>
      <w:marBottom w:val="0"/>
      <w:divBdr>
        <w:top w:val="none" w:sz="0" w:space="0" w:color="auto"/>
        <w:left w:val="none" w:sz="0" w:space="0" w:color="auto"/>
        <w:bottom w:val="none" w:sz="0" w:space="0" w:color="auto"/>
        <w:right w:val="none" w:sz="0" w:space="0" w:color="auto"/>
      </w:divBdr>
    </w:div>
    <w:div w:id="627973278">
      <w:bodyDiv w:val="1"/>
      <w:marLeft w:val="0"/>
      <w:marRight w:val="0"/>
      <w:marTop w:val="0"/>
      <w:marBottom w:val="0"/>
      <w:divBdr>
        <w:top w:val="none" w:sz="0" w:space="0" w:color="auto"/>
        <w:left w:val="none" w:sz="0" w:space="0" w:color="auto"/>
        <w:bottom w:val="none" w:sz="0" w:space="0" w:color="auto"/>
        <w:right w:val="none" w:sz="0" w:space="0" w:color="auto"/>
      </w:divBdr>
    </w:div>
    <w:div w:id="773405401">
      <w:bodyDiv w:val="1"/>
      <w:marLeft w:val="0"/>
      <w:marRight w:val="0"/>
      <w:marTop w:val="0"/>
      <w:marBottom w:val="0"/>
      <w:divBdr>
        <w:top w:val="none" w:sz="0" w:space="0" w:color="auto"/>
        <w:left w:val="none" w:sz="0" w:space="0" w:color="auto"/>
        <w:bottom w:val="none" w:sz="0" w:space="0" w:color="auto"/>
        <w:right w:val="none" w:sz="0" w:space="0" w:color="auto"/>
      </w:divBdr>
    </w:div>
    <w:div w:id="814639834">
      <w:bodyDiv w:val="1"/>
      <w:marLeft w:val="0"/>
      <w:marRight w:val="0"/>
      <w:marTop w:val="0"/>
      <w:marBottom w:val="0"/>
      <w:divBdr>
        <w:top w:val="none" w:sz="0" w:space="0" w:color="auto"/>
        <w:left w:val="none" w:sz="0" w:space="0" w:color="auto"/>
        <w:bottom w:val="none" w:sz="0" w:space="0" w:color="auto"/>
        <w:right w:val="none" w:sz="0" w:space="0" w:color="auto"/>
      </w:divBdr>
    </w:div>
    <w:div w:id="1307784513">
      <w:bodyDiv w:val="1"/>
      <w:marLeft w:val="0"/>
      <w:marRight w:val="0"/>
      <w:marTop w:val="0"/>
      <w:marBottom w:val="0"/>
      <w:divBdr>
        <w:top w:val="none" w:sz="0" w:space="0" w:color="auto"/>
        <w:left w:val="none" w:sz="0" w:space="0" w:color="auto"/>
        <w:bottom w:val="none" w:sz="0" w:space="0" w:color="auto"/>
        <w:right w:val="none" w:sz="0" w:space="0" w:color="auto"/>
      </w:divBdr>
    </w:div>
    <w:div w:id="1442070573">
      <w:bodyDiv w:val="1"/>
      <w:marLeft w:val="0"/>
      <w:marRight w:val="0"/>
      <w:marTop w:val="0"/>
      <w:marBottom w:val="0"/>
      <w:divBdr>
        <w:top w:val="none" w:sz="0" w:space="0" w:color="auto"/>
        <w:left w:val="none" w:sz="0" w:space="0" w:color="auto"/>
        <w:bottom w:val="none" w:sz="0" w:space="0" w:color="auto"/>
        <w:right w:val="none" w:sz="0" w:space="0" w:color="auto"/>
      </w:divBdr>
    </w:div>
    <w:div w:id="1597129500">
      <w:bodyDiv w:val="1"/>
      <w:marLeft w:val="0"/>
      <w:marRight w:val="0"/>
      <w:marTop w:val="0"/>
      <w:marBottom w:val="0"/>
      <w:divBdr>
        <w:top w:val="none" w:sz="0" w:space="0" w:color="auto"/>
        <w:left w:val="none" w:sz="0" w:space="0" w:color="auto"/>
        <w:bottom w:val="none" w:sz="0" w:space="0" w:color="auto"/>
        <w:right w:val="none" w:sz="0" w:space="0" w:color="auto"/>
      </w:divBdr>
    </w:div>
    <w:div w:id="1599560500">
      <w:bodyDiv w:val="1"/>
      <w:marLeft w:val="0"/>
      <w:marRight w:val="0"/>
      <w:marTop w:val="0"/>
      <w:marBottom w:val="0"/>
      <w:divBdr>
        <w:top w:val="none" w:sz="0" w:space="0" w:color="auto"/>
        <w:left w:val="none" w:sz="0" w:space="0" w:color="auto"/>
        <w:bottom w:val="none" w:sz="0" w:space="0" w:color="auto"/>
        <w:right w:val="none" w:sz="0" w:space="0" w:color="auto"/>
      </w:divBdr>
    </w:div>
    <w:div w:id="1622494398">
      <w:bodyDiv w:val="1"/>
      <w:marLeft w:val="0"/>
      <w:marRight w:val="0"/>
      <w:marTop w:val="0"/>
      <w:marBottom w:val="0"/>
      <w:divBdr>
        <w:top w:val="none" w:sz="0" w:space="0" w:color="auto"/>
        <w:left w:val="none" w:sz="0" w:space="0" w:color="auto"/>
        <w:bottom w:val="none" w:sz="0" w:space="0" w:color="auto"/>
        <w:right w:val="none" w:sz="0" w:space="0" w:color="auto"/>
      </w:divBdr>
    </w:div>
    <w:div w:id="1645741685">
      <w:bodyDiv w:val="1"/>
      <w:marLeft w:val="0"/>
      <w:marRight w:val="0"/>
      <w:marTop w:val="0"/>
      <w:marBottom w:val="0"/>
      <w:divBdr>
        <w:top w:val="none" w:sz="0" w:space="0" w:color="auto"/>
        <w:left w:val="none" w:sz="0" w:space="0" w:color="auto"/>
        <w:bottom w:val="none" w:sz="0" w:space="0" w:color="auto"/>
        <w:right w:val="none" w:sz="0" w:space="0" w:color="auto"/>
      </w:divBdr>
    </w:div>
    <w:div w:id="2029478186">
      <w:bodyDiv w:val="1"/>
      <w:marLeft w:val="0"/>
      <w:marRight w:val="0"/>
      <w:marTop w:val="0"/>
      <w:marBottom w:val="0"/>
      <w:divBdr>
        <w:top w:val="none" w:sz="0" w:space="0" w:color="auto"/>
        <w:left w:val="none" w:sz="0" w:space="0" w:color="auto"/>
        <w:bottom w:val="none" w:sz="0" w:space="0" w:color="auto"/>
        <w:right w:val="none" w:sz="0" w:space="0" w:color="auto"/>
      </w:divBdr>
    </w:div>
    <w:div w:id="21039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949B6-64A9-4CFF-9069-F19E1701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2359</Words>
  <Characters>11461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Chapter 4</vt:lpstr>
    </vt:vector>
  </TitlesOfParts>
  <Company>Hewlett-Packard</Company>
  <LinksUpToDate>false</LinksUpToDate>
  <CharactersWithSpaces>13793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creator>.</dc:creator>
  <cp:lastModifiedBy>Bathurst, Noelle</cp:lastModifiedBy>
  <cp:revision>4</cp:revision>
  <cp:lastPrinted>2009-06-11T04:02:00Z</cp:lastPrinted>
  <dcterms:created xsi:type="dcterms:W3CDTF">2015-03-27T15:29:00Z</dcterms:created>
  <dcterms:modified xsi:type="dcterms:W3CDTF">2016-01-04T20:51:00Z</dcterms:modified>
</cp:coreProperties>
</file>