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w:t>
      </w:r>
      <w:r>
        <w:rPr>
          <w:lang w:val="en-CA"/>
        </w:rPr>
        <w:t>) Sqlserver: sqlserver/db-sqlserver.sql</w:t>
      </w:r>
    </w:p>
    <w:p>
      <w:pPr>
        <w:pStyle w:val="style3"/>
        <w:numPr>
          <w:ilvl w:val="2"/>
          <w:numId w:val="3"/>
        </w:numPr>
      </w:pPr>
      <w:r>
        <w:rPr/>
        <w:t>Crear los objetos con el usuario:</w:t>
      </w:r>
    </w:p>
    <w:p>
      <w:pPr>
        <w:pStyle w:val="style26"/>
      </w:pPr>
      <w:r>
        <w:rPr>
          <w:lang w:val="en-CA"/>
        </w:rPr>
        <w:t>1</w:t>
      </w:r>
      <w:r>
        <w:rPr>
          <w:lang w:val="en-CA"/>
        </w:rPr>
        <w:t>) Sqlserver: sqlserver/create-sqlserver.sql</w:t>
      </w:r>
    </w:p>
    <w:p>
      <w:pPr>
        <w:pStyle w:val="style3"/>
        <w:numPr>
          <w:ilvl w:val="2"/>
          <w:numId w:val="3"/>
        </w:numPr>
      </w:pPr>
      <w:r>
        <w:rPr/>
        <w:t>Copiar la definición de datasource correspondiente al directorio de deploy:</w:t>
      </w:r>
    </w:p>
    <w:p>
      <w:pPr>
        <w:pStyle w:val="style26"/>
      </w:pPr>
      <w:r>
        <w:rPr/>
        <w:t>1</w:t>
      </w:r>
      <w:r>
        <w:rPr/>
        <w:t>) sqlserver: sqlserver/sqlserver-ds.xml</w:t>
      </w:r>
    </w:p>
    <w:p>
      <w:pPr>
        <w:pStyle w:val="style3"/>
        <w:numPr>
          <w:ilvl w:val="2"/>
          <w:numId w:val="3"/>
        </w:numPr>
      </w:pPr>
      <w:r>
        <w:rPr/>
        <w:t>Copiar el jar del driver al directorio lib de la configuración de jboss:</w:t>
      </w:r>
    </w:p>
    <w:p>
      <w:pPr>
        <w:pStyle w:val="style26"/>
      </w:pPr>
      <w:r>
        <w:rPr/>
        <w:t>1</w:t>
      </w:r>
      <w:r>
        <w:rPr/>
        <w:t>)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r>
        <w:rPr>
          <w:b/>
        </w:rPr>
        <w:t>prevent.native.url:</w:t>
      </w:r>
      <w:r>
        <w:rPr/>
        <w:t xml:space="preserve"> URL de redireccion si el usuario es usuario de prevent</w:t>
      </w:r>
    </w:p>
    <w:p>
      <w:pPr>
        <w:pStyle w:val="style26"/>
      </w:pPr>
      <w:r>
        <w:rPr>
          <w:b/>
        </w:rPr>
        <w:t>maps.url:</w:t>
      </w:r>
      <w:r>
        <w:rPr/>
        <w:t xml:space="preserve"> URL de los tiles de open street</w:t>
      </w:r>
    </w:p>
    <w:p>
      <w:pPr>
        <w:pStyle w:val="style26"/>
      </w:pPr>
      <w:r>
        <w:rPr/>
      </w:r>
    </w:p>
    <w:p>
      <w:pPr>
        <w:pStyle w:val="style26"/>
      </w:pPr>
      <w:bookmarkStart w:id="8" w:name="__DdeLink__238_1665017054"/>
      <w:r>
        <w:rPr>
          <w:b/>
        </w:rPr>
        <w:t>import.range.</w:t>
      </w:r>
      <w:r>
        <w:rPr>
          <w:b/>
        </w:rPr>
        <w:t>km</w:t>
      </w:r>
      <w:r>
        <w:rPr>
          <w:b/>
        </w:rPr>
        <w:t>:</w:t>
      </w:r>
      <w:r>
        <w:rPr/>
        <w:t xml:space="preserve"> Rango horario de ejecuciones de importaciones de </w:t>
      </w:r>
      <w:r>
        <w:rPr/>
        <w:t>tabla KM_DATA</w:t>
      </w:r>
      <w:bookmarkEnd w:id="8"/>
      <w:r>
        <w:rPr/>
        <w:t>. El formato es HH24:MM-HH24:MM</w:t>
      </w:r>
    </w:p>
    <w:p>
      <w:pPr>
        <w:pStyle w:val="style26"/>
      </w:pPr>
      <w:bookmarkStart w:id="9" w:name="__DdeLink__240_1665017054"/>
      <w:r>
        <w:rPr>
          <w:b/>
        </w:rPr>
        <w:t>email</w:t>
      </w:r>
      <w:r>
        <w:rPr>
          <w:b/>
        </w:rPr>
        <w:t>.</w:t>
      </w:r>
      <w:r>
        <w:rPr>
          <w:b/>
        </w:rPr>
        <w:t>send.</w:t>
      </w:r>
      <w:r>
        <w:rPr>
          <w:b/>
        </w:rPr>
        <w:t>range:</w:t>
      </w:r>
      <w:r>
        <w:rPr/>
        <w:t xml:space="preserve"> Rango horario de ejecuciones de </w:t>
      </w:r>
      <w:r>
        <w:rPr/>
        <w:t>envios de emails</w:t>
      </w:r>
      <w:bookmarkEnd w:id="9"/>
      <w:r>
        <w:rPr/>
        <w:t>. El formato es HH24:MM-HH24:MM</w:t>
      </w:r>
    </w:p>
    <w:p>
      <w:pPr>
        <w:pStyle w:val="style26"/>
      </w:pPr>
      <w:r>
        <w:rPr/>
      </w:r>
    </w:p>
    <w:p>
      <w:pPr>
        <w:pStyle w:val="style26"/>
      </w:pPr>
      <w:bookmarkStart w:id="10" w:name="__DdeLink__244_1665017054"/>
      <w:bookmarkStart w:id="11" w:name="__DdeLink__242_1665017054"/>
      <w:r>
        <w:rPr>
          <w:b/>
        </w:rPr>
        <w:t>peugeot.sign</w:t>
      </w:r>
      <w:r>
        <w:rPr>
          <w:b/>
        </w:rPr>
        <w:t>:</w:t>
      </w:r>
      <w:r>
        <w:rPr/>
        <w:t xml:space="preserve"> </w:t>
      </w:r>
      <w:bookmarkEnd w:id="10"/>
      <w:bookmarkEnd w:id="11"/>
      <w:r>
        <w:rPr/>
        <w:t>Clave de firma de authenticacion con lojack</w:t>
      </w:r>
    </w:p>
    <w:p>
      <w:pPr>
        <w:pStyle w:val="style26"/>
      </w:pPr>
      <w:r>
        <w:rPr/>
      </w:r>
    </w:p>
    <w:p>
      <w:pPr>
        <w:pStyle w:val="style26"/>
      </w:pPr>
      <w:bookmarkStart w:id="12" w:name="__DdeLink__248_1665017054"/>
      <w:bookmarkStart w:id="13" w:name="__DdeLink__246_1665017054"/>
      <w:r>
        <w:rPr>
          <w:b/>
        </w:rPr>
        <w:t>lojack.server.url:</w:t>
      </w:r>
      <w:bookmarkEnd w:id="12"/>
      <w:bookmarkEnd w:id="13"/>
      <w:r>
        <w:rPr/>
        <w:t xml:space="preserve"> Url del front de lojack (para authenticacion con prevent)</w:t>
      </w:r>
    </w:p>
    <w:p>
      <w:pPr>
        <w:pStyle w:val="style26"/>
      </w:pPr>
      <w:r>
        <w:rPr>
          <w:b/>
        </w:rPr>
        <w:t>lojack.server.proxy:</w:t>
      </w:r>
      <w:r>
        <w:rPr/>
        <w:t xml:space="preserve"> Valor que identifica si debe usarse un proxy para acceder al front de LoJack</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86016" w:linePitch="64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4" w:name="_GoBack"/>
      <w:bookmarkEnd w:id="14"/>
      <w:r>
        <w:rPr/>
        <w:t>roductivo.</w:t>
      </w:r>
    </w:p>
    <w:p>
      <w:pPr>
        <w:pStyle w:val="style1"/>
        <w:pageBreakBefore/>
        <w:numPr>
          <w:ilvl w:val="0"/>
          <w:numId w:val="2"/>
        </w:numPr>
        <w:spacing w:after="0" w:before="480"/>
        <w:contextualSpacing w:val="false"/>
      </w:pPr>
      <w:bookmarkStart w:id="15" w:name="__DdeLink__253_1665017054"/>
      <w:bookmarkStart w:id="16" w:name="__DdeLink__250_1665017054"/>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bookmarkStart w:id="17" w:name="__DdeLink__250_1665017054"/>
      <w:bookmarkEnd w:id="17"/>
      <w:r>
        <w:rPr/>
        <w:t>El acceso a la misma es traves de la pagina /admin/login.jsp</w:t>
      </w:r>
    </w:p>
    <w:p>
      <w:pPr>
        <w:pStyle w:val="style26"/>
        <w:spacing w:after="0" w:before="480"/>
        <w:contextualSpacing w:val="false"/>
      </w:pPr>
      <w:bookmarkStart w:id="18" w:name="__DdeLink__253_1665017054"/>
      <w:bookmarkEnd w:id="18"/>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bookmarkStart w:id="19" w:name="__DdeLink__256_1665017054"/>
      <w:r>
        <w:rPr/>
        <w:t xml:space="preserve">Los usuarios de estas funcionalidades de administracion residen en la tabla SYSTEMUSER </w:t>
      </w:r>
      <w:r>
        <w:rPr/>
        <w:t>y tienen el flag type = 0</w:t>
      </w:r>
      <w:bookmarkEnd w:id="19"/>
      <w:r>
        <w:rPr/>
        <w:t>.</w:t>
      </w:r>
    </w:p>
    <w:p>
      <w:pPr>
        <w:pStyle w:val="style26"/>
        <w:spacing w:after="0" w:before="480"/>
        <w:contextualSpacing w:val="false"/>
      </w:pPr>
      <w:r>
        <w:rPr/>
        <w:t xml:space="preserve">Se provee un usuario de base cuyo login es tdil y su clave es </w:t>
      </w:r>
      <w:r>
        <w:rPr>
          <w:rFonts w:ascii="Monospace" w:cs="Monospace" w:eastAsia="Monospace" w:hAnsi="Monospace"/>
          <w:sz w:val="20"/>
          <w:szCs w:val="20"/>
        </w:rPr>
        <w:t>usu4r10td1l</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87630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66675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0</wp:posOffset>
            </wp:positionH>
            <wp:positionV relativeFrom="line">
              <wp:posOffset>128270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sectPr>
          <w:type w:val="nextPage"/>
          <w:pgSz w:h="15840" w:w="12240"/>
          <w:pgMar w:bottom="1440" w:footer="0" w:gutter="0" w:header="0" w:left="1440" w:right="1440" w:top="1440"/>
          <w:pgNumType w:fmt="decimal"/>
          <w:formProt w:val="false"/>
          <w:textDirection w:val="lrTb"/>
          <w:docGrid w:charSpace="86016" w:linePitch="640" w:type="default"/>
        </w:sectPr>
        <w:pStyle w:val="style26"/>
        <w:spacing w:after="0" w:before="480"/>
        <w:contextualSpacing w:val="false"/>
      </w:pPr>
      <w:r>
        <w:rPr/>
      </w:r>
    </w:p>
    <w:p>
      <w:pPr>
        <w:pStyle w:val="style1"/>
        <w:pageBreakBefore/>
        <w:numPr>
          <w:ilvl w:val="0"/>
          <w:numId w:val="2"/>
        </w:numPr>
        <w:spacing w:after="0" w:before="480"/>
        <w:contextualSpacing w:val="false"/>
      </w:pPr>
      <w:bookmarkStart w:id="20" w:name="__DdeLink__250_16650170541"/>
      <w:r>
        <w:rPr/>
        <w:t>CallCenter</w:t>
      </w:r>
    </w:p>
    <w:p>
      <w:pPr>
        <w:pStyle w:val="style26"/>
        <w:spacing w:after="0" w:before="480"/>
        <w:contextualSpacing w:val="false"/>
      </w:pPr>
      <w:r>
        <w:rPr/>
        <w:t xml:space="preserve">La web app expone casos de uso de </w:t>
      </w:r>
      <w:r>
        <w:rPr/>
        <w:t xml:space="preserve">CallCenter </w:t>
      </w:r>
      <w:r>
        <w:rPr/>
        <w:t>desde el website.</w:t>
      </w:r>
    </w:p>
    <w:p>
      <w:pPr>
        <w:pStyle w:val="style26"/>
        <w:spacing w:after="0" w:before="480"/>
        <w:contextualSpacing w:val="false"/>
      </w:pPr>
      <w:r>
        <w:rPr/>
        <w:t>El acceso a la misma es traves de la pagina /</w:t>
      </w:r>
      <w:r>
        <w:rPr/>
        <w:t>cc</w:t>
      </w:r>
      <w:bookmarkEnd w:id="20"/>
      <w:r>
        <w:rPr/>
        <w:t>/login.jsp</w:t>
      </w:r>
    </w:p>
    <w:p>
      <w:pPr>
        <w:pStyle w:val="style26"/>
        <w:spacing w:after="0" w:before="480"/>
        <w:contextualSpacing w:val="false"/>
      </w:pPr>
      <w:r>
        <w:rPr/>
        <w:t xml:space="preserve">Desde esta pagina, dado un usuario autorizado, se puede acceder a </w:t>
      </w:r>
      <w:r>
        <w:rPr/>
        <w:t>ver datos de los usuarios registrados.</w:t>
      </w:r>
    </w:p>
    <w:p>
      <w:pPr>
        <w:pStyle w:val="style26"/>
        <w:spacing w:after="0" w:before="480"/>
        <w:contextualSpacing w:val="false"/>
      </w:pPr>
      <w:r>
        <w:rPr/>
        <w:t>Los usuarios de estas funcionalidades de administracion residen en la tabla SYSTEMUSER y tienen el flag type = 1.</w:t>
      </w:r>
    </w:p>
    <w:p>
      <w:pPr>
        <w:pStyle w:val="style26"/>
        <w:spacing w:after="0" w:before="480"/>
        <w:contextualSpacing w:val="false"/>
      </w:pPr>
      <w:r>
        <w:rPr/>
        <w:t>Se provee un usuario de entrada cuya login y clave son cc</w:t>
      </w:r>
    </w:p>
    <w:sectPr>
      <w:type w:val="nextPage"/>
      <w:pgSz w:h="15840" w:w="12240"/>
      <w:pgMar w:bottom="1440" w:footer="0" w:gutter="0" w:header="0" w:left="1440" w:right="1440" w:top="1440"/>
      <w:pgNumType w:fmt="decimal"/>
      <w:formProt w:val="false"/>
      <w:textDirection w:val="lrTb"/>
      <w:docGrid w:charSpace="86016" w:linePitch="6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