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4F1B" w14:textId="33AB700C" w:rsidR="00B10C3B" w:rsidRPr="00EE7901" w:rsidRDefault="008E052C" w:rsidP="00B10C3B">
      <w:pPr>
        <w:spacing w:after="0" w:line="360" w:lineRule="auto"/>
        <w:jc w:val="center"/>
        <w:rPr>
          <w:rFonts w:ascii="Times New Roman" w:hAnsi="Times New Roman" w:cs="Times New Roman"/>
          <w:b/>
          <w:bCs/>
        </w:rPr>
      </w:pPr>
      <w:r w:rsidRPr="00EE7901">
        <w:rPr>
          <w:rFonts w:ascii="Times New Roman" w:hAnsi="Times New Roman" w:cs="Times New Roman"/>
          <w:b/>
          <w:bCs/>
        </w:rPr>
        <w:t xml:space="preserve">The Rise of Online Gambling </w:t>
      </w:r>
      <w:r w:rsidR="004C691F" w:rsidRPr="00EE7901">
        <w:rPr>
          <w:rFonts w:ascii="Times New Roman" w:hAnsi="Times New Roman" w:cs="Times New Roman"/>
          <w:b/>
          <w:bCs/>
        </w:rPr>
        <w:t xml:space="preserve">Activity and </w:t>
      </w:r>
      <w:r w:rsidRPr="00EE7901">
        <w:rPr>
          <w:rFonts w:ascii="Times New Roman" w:hAnsi="Times New Roman" w:cs="Times New Roman"/>
          <w:b/>
          <w:bCs/>
        </w:rPr>
        <w:t>Addiction</w:t>
      </w:r>
      <w:r w:rsidR="00B57107" w:rsidRPr="00EE7901">
        <w:rPr>
          <w:rFonts w:ascii="Times New Roman" w:hAnsi="Times New Roman" w:cs="Times New Roman"/>
          <w:b/>
          <w:bCs/>
        </w:rPr>
        <w:t xml:space="preserve"> Research</w:t>
      </w:r>
    </w:p>
    <w:p w14:paraId="663897FB" w14:textId="6C28B03F" w:rsidR="00DF66D2" w:rsidRDefault="00FA4ECB" w:rsidP="003D1D98">
      <w:pPr>
        <w:spacing w:after="0" w:line="360" w:lineRule="auto"/>
        <w:rPr>
          <w:rFonts w:ascii="Times New Roman" w:hAnsi="Times New Roman" w:cs="Times New Roman"/>
          <w:b/>
          <w:bCs/>
        </w:rPr>
      </w:pPr>
      <w:r w:rsidRPr="00EE7901">
        <w:rPr>
          <w:rFonts w:ascii="Times New Roman" w:hAnsi="Times New Roman" w:cs="Times New Roman"/>
          <w:b/>
          <w:bCs/>
        </w:rPr>
        <w:t>Rachel Kempfe</w:t>
      </w:r>
      <w:r w:rsidR="00925A92" w:rsidRPr="00EE7901">
        <w:rPr>
          <w:rFonts w:ascii="Times New Roman" w:hAnsi="Times New Roman" w:cs="Times New Roman"/>
          <w:b/>
          <w:bCs/>
        </w:rPr>
        <w:tab/>
      </w:r>
      <w:r w:rsidR="00925A92" w:rsidRPr="00EE7901">
        <w:rPr>
          <w:rFonts w:ascii="Times New Roman" w:hAnsi="Times New Roman" w:cs="Times New Roman"/>
          <w:b/>
          <w:bCs/>
        </w:rPr>
        <w:tab/>
      </w:r>
      <w:r w:rsidR="00925A92" w:rsidRPr="00EE7901">
        <w:rPr>
          <w:rFonts w:ascii="Times New Roman" w:hAnsi="Times New Roman" w:cs="Times New Roman"/>
          <w:b/>
          <w:bCs/>
        </w:rPr>
        <w:tab/>
      </w:r>
      <w:r w:rsidR="00925A92" w:rsidRPr="00EE7901">
        <w:rPr>
          <w:rFonts w:ascii="Times New Roman" w:hAnsi="Times New Roman" w:cs="Times New Roman"/>
          <w:b/>
          <w:bCs/>
        </w:rPr>
        <w:tab/>
      </w:r>
      <w:r w:rsidR="00925A92" w:rsidRPr="00EE7901">
        <w:rPr>
          <w:rFonts w:ascii="Times New Roman" w:hAnsi="Times New Roman" w:cs="Times New Roman"/>
          <w:b/>
          <w:bCs/>
        </w:rPr>
        <w:tab/>
      </w:r>
      <w:r w:rsidR="00925A92" w:rsidRPr="00EE7901">
        <w:rPr>
          <w:rFonts w:ascii="Times New Roman" w:hAnsi="Times New Roman" w:cs="Times New Roman"/>
          <w:b/>
          <w:bCs/>
        </w:rPr>
        <w:tab/>
      </w:r>
      <w:r w:rsidR="00925A92" w:rsidRPr="00EE7901">
        <w:rPr>
          <w:rFonts w:ascii="Times New Roman" w:hAnsi="Times New Roman" w:cs="Times New Roman"/>
          <w:b/>
          <w:bCs/>
        </w:rPr>
        <w:tab/>
      </w:r>
      <w:r w:rsidR="00925A92" w:rsidRPr="00EE7901">
        <w:rPr>
          <w:rFonts w:ascii="Times New Roman" w:hAnsi="Times New Roman" w:cs="Times New Roman"/>
          <w:b/>
          <w:bCs/>
        </w:rPr>
        <w:tab/>
      </w:r>
      <w:r w:rsidR="00616B52">
        <w:rPr>
          <w:rFonts w:ascii="Times New Roman" w:hAnsi="Times New Roman" w:cs="Times New Roman"/>
          <w:b/>
          <w:bCs/>
        </w:rPr>
        <w:t>General Studies</w:t>
      </w:r>
      <w:r w:rsidR="00FF683C" w:rsidRPr="00EE7901">
        <w:rPr>
          <w:rFonts w:ascii="Times New Roman" w:hAnsi="Times New Roman" w:cs="Times New Roman"/>
          <w:b/>
          <w:bCs/>
        </w:rPr>
        <w:t xml:space="preserve"> </w:t>
      </w:r>
    </w:p>
    <w:p w14:paraId="756CEDF3" w14:textId="77777777" w:rsidR="00FF683C" w:rsidRPr="00EE7901" w:rsidRDefault="00FF683C" w:rsidP="003D1D98">
      <w:pPr>
        <w:spacing w:after="0" w:line="360" w:lineRule="auto"/>
        <w:rPr>
          <w:rFonts w:ascii="Times New Roman" w:hAnsi="Times New Roman" w:cs="Times New Roman"/>
        </w:rPr>
      </w:pPr>
    </w:p>
    <w:p w14:paraId="4C81B9BC" w14:textId="77777777" w:rsidR="00B10C3B" w:rsidRPr="00EE7901" w:rsidRDefault="00B10C3B" w:rsidP="00B10C3B">
      <w:pPr>
        <w:spacing w:after="0" w:line="360" w:lineRule="auto"/>
        <w:rPr>
          <w:rFonts w:ascii="Times New Roman" w:hAnsi="Times New Roman" w:cs="Times New Roman"/>
        </w:rPr>
      </w:pPr>
      <w:r w:rsidRPr="00EE7901">
        <w:rPr>
          <w:rFonts w:ascii="Times New Roman" w:hAnsi="Times New Roman" w:cs="Times New Roman"/>
          <w:b/>
          <w:bCs/>
        </w:rPr>
        <w:t>Background</w:t>
      </w:r>
      <w:r w:rsidRPr="00EE7901">
        <w:rPr>
          <w:rFonts w:ascii="Times New Roman" w:hAnsi="Times New Roman" w:cs="Times New Roman"/>
        </w:rPr>
        <w:t xml:space="preserve"> </w:t>
      </w:r>
    </w:p>
    <w:p w14:paraId="29005BAC" w14:textId="77777777" w:rsidR="003F3324" w:rsidRPr="00EE7901" w:rsidRDefault="003F3324" w:rsidP="00EE36A1">
      <w:pPr>
        <w:spacing w:after="0" w:line="480" w:lineRule="auto"/>
        <w:ind w:firstLine="720"/>
        <w:rPr>
          <w:rFonts w:ascii="Times New Roman" w:hAnsi="Times New Roman" w:cs="Times New Roman"/>
        </w:rPr>
      </w:pPr>
      <w:r w:rsidRPr="00EE7901">
        <w:rPr>
          <w:rFonts w:ascii="Times New Roman" w:hAnsi="Times New Roman" w:cs="Times New Roman"/>
        </w:rPr>
        <w:t xml:space="preserve">Gambling has become more accessible in everyone’s lives and is recognized as a serious addiction for some. With the rise of popularity, new gambling platforms are being created at a high rate. Online gambling has allowed for the ability to place a bet from your electronic devices at any time with ease. </w:t>
      </w:r>
    </w:p>
    <w:p w14:paraId="3DD6F83F" w14:textId="74A54C21" w:rsidR="00B10C3B" w:rsidRPr="00EE7901" w:rsidRDefault="003F3324" w:rsidP="00EE36A1">
      <w:pPr>
        <w:spacing w:after="0" w:line="480" w:lineRule="auto"/>
        <w:ind w:firstLine="720"/>
        <w:rPr>
          <w:rFonts w:ascii="Times New Roman" w:hAnsi="Times New Roman" w:cs="Times New Roman"/>
        </w:rPr>
      </w:pPr>
      <w:r w:rsidRPr="00EE7901">
        <w:rPr>
          <w:rFonts w:ascii="Times New Roman" w:hAnsi="Times New Roman" w:cs="Times New Roman"/>
        </w:rPr>
        <w:t>After examining the results of multiple psychological studies, there is evidence</w:t>
      </w:r>
      <w:r w:rsidR="00B96083" w:rsidRPr="00EE7901">
        <w:rPr>
          <w:rFonts w:ascii="Times New Roman" w:hAnsi="Times New Roman" w:cs="Times New Roman"/>
        </w:rPr>
        <w:t xml:space="preserve"> </w:t>
      </w:r>
      <w:r w:rsidRPr="00EE7901">
        <w:rPr>
          <w:rFonts w:ascii="Times New Roman" w:hAnsi="Times New Roman" w:cs="Times New Roman"/>
        </w:rPr>
        <w:t>that shows online betting platforms are contributing to the rise of gambling addictions</w:t>
      </w:r>
      <w:r w:rsidR="00DD2894" w:rsidRPr="00EE7901">
        <w:rPr>
          <w:rFonts w:ascii="Times New Roman" w:hAnsi="Times New Roman" w:cs="Times New Roman"/>
        </w:rPr>
        <w:t>. According to the study, participants that were deemed a higher risk for gambling harm showed to be more likely to make a deposit to qualify for a marketing offer. This study also showed that both higher-risk and lower-risk participants were more likely to place a risky bet when using bonus funds (Farrell).</w:t>
      </w:r>
    </w:p>
    <w:p w14:paraId="6AB5B8A7" w14:textId="3311D95D" w:rsidR="00B96083" w:rsidRPr="00EE7901" w:rsidRDefault="00A4652F" w:rsidP="00EE36A1">
      <w:pPr>
        <w:spacing w:after="0" w:line="480" w:lineRule="auto"/>
        <w:ind w:firstLine="720"/>
        <w:rPr>
          <w:rFonts w:ascii="Times New Roman" w:hAnsi="Times New Roman" w:cs="Times New Roman"/>
        </w:rPr>
      </w:pPr>
      <w:r w:rsidRPr="00EE7901">
        <w:rPr>
          <w:rFonts w:ascii="Times New Roman" w:hAnsi="Times New Roman" w:cs="Times New Roman"/>
        </w:rPr>
        <w:t>A study researching the impact</w:t>
      </w:r>
      <w:r w:rsidR="00973249" w:rsidRPr="00EE7901">
        <w:rPr>
          <w:rFonts w:ascii="Times New Roman" w:hAnsi="Times New Roman" w:cs="Times New Roman"/>
        </w:rPr>
        <w:t>s</w:t>
      </w:r>
      <w:r w:rsidRPr="00EE7901">
        <w:rPr>
          <w:rFonts w:ascii="Times New Roman" w:hAnsi="Times New Roman" w:cs="Times New Roman"/>
        </w:rPr>
        <w:t xml:space="preserve"> of </w:t>
      </w:r>
      <w:r w:rsidR="00973249" w:rsidRPr="00EE7901">
        <w:rPr>
          <w:rFonts w:ascii="Times New Roman" w:hAnsi="Times New Roman" w:cs="Times New Roman"/>
        </w:rPr>
        <w:t xml:space="preserve">gambling advertisements </w:t>
      </w:r>
      <w:r w:rsidR="00981D57" w:rsidRPr="00EE7901">
        <w:rPr>
          <w:rFonts w:ascii="Times New Roman" w:hAnsi="Times New Roman" w:cs="Times New Roman"/>
        </w:rPr>
        <w:t>shows that gambling advertisements influences gambling behavior and drives their gambling activity (Díaz-Bustamante Ventisca).</w:t>
      </w:r>
      <w:r w:rsidR="006903C2" w:rsidRPr="00EE7901">
        <w:rPr>
          <w:rFonts w:ascii="Times New Roman" w:hAnsi="Times New Roman" w:cs="Times New Roman"/>
        </w:rPr>
        <w:t xml:space="preserve"> Over 80% of participants reported that gambling advertisements are effective due to the encouragement.</w:t>
      </w:r>
      <w:r w:rsidR="00613244" w:rsidRPr="00EE7901">
        <w:rPr>
          <w:rFonts w:ascii="Times New Roman" w:hAnsi="Times New Roman" w:cs="Times New Roman"/>
        </w:rPr>
        <w:t xml:space="preserve"> These advertisements target the vulnerable population in the audience who may not understand the risks of gambling and signs of addiction. </w:t>
      </w:r>
    </w:p>
    <w:p w14:paraId="1B2A8F15" w14:textId="414DEC18" w:rsidR="00613244" w:rsidRPr="00EE7901" w:rsidRDefault="006C51B5" w:rsidP="00EE36A1">
      <w:pPr>
        <w:spacing w:after="0" w:line="480" w:lineRule="auto"/>
        <w:ind w:firstLine="720"/>
        <w:rPr>
          <w:rFonts w:ascii="Times New Roman" w:hAnsi="Times New Roman" w:cs="Times New Roman"/>
        </w:rPr>
      </w:pPr>
      <w:r w:rsidRPr="00EE7901">
        <w:rPr>
          <w:rFonts w:ascii="Times New Roman" w:hAnsi="Times New Roman" w:cs="Times New Roman"/>
        </w:rPr>
        <w:t xml:space="preserve">Another </w:t>
      </w:r>
      <w:r w:rsidR="00167E42" w:rsidRPr="00EE7901">
        <w:rPr>
          <w:rFonts w:ascii="Times New Roman" w:hAnsi="Times New Roman" w:cs="Times New Roman"/>
        </w:rPr>
        <w:t xml:space="preserve">study </w:t>
      </w:r>
      <w:r w:rsidRPr="00EE7901">
        <w:rPr>
          <w:rFonts w:ascii="Times New Roman" w:hAnsi="Times New Roman" w:cs="Times New Roman"/>
        </w:rPr>
        <w:t xml:space="preserve">was </w:t>
      </w:r>
      <w:r w:rsidR="00167E42" w:rsidRPr="00EE7901">
        <w:rPr>
          <w:rFonts w:ascii="Times New Roman" w:hAnsi="Times New Roman" w:cs="Times New Roman"/>
        </w:rPr>
        <w:t xml:space="preserve">done during the 2022 FIFA World Cup, a large sporting event </w:t>
      </w:r>
      <w:r w:rsidRPr="00EE7901">
        <w:rPr>
          <w:rFonts w:ascii="Times New Roman" w:hAnsi="Times New Roman" w:cs="Times New Roman"/>
        </w:rPr>
        <w:t xml:space="preserve">that was streamed by over a billion people. The study focused on advertisements and the effects </w:t>
      </w:r>
      <w:r w:rsidR="00866043" w:rsidRPr="00EE7901">
        <w:rPr>
          <w:rFonts w:ascii="Times New Roman" w:hAnsi="Times New Roman" w:cs="Times New Roman"/>
        </w:rPr>
        <w:t xml:space="preserve">they have on </w:t>
      </w:r>
      <w:r w:rsidRPr="00EE7901">
        <w:rPr>
          <w:rFonts w:ascii="Times New Roman" w:hAnsi="Times New Roman" w:cs="Times New Roman"/>
        </w:rPr>
        <w:t>gambling behaviors.</w:t>
      </w:r>
      <w:r w:rsidR="00866043" w:rsidRPr="00EE7901">
        <w:rPr>
          <w:rFonts w:ascii="Times New Roman" w:hAnsi="Times New Roman" w:cs="Times New Roman"/>
        </w:rPr>
        <w:t xml:space="preserve"> The results show that the advertisements did increase betting during live sports events (McGrane). </w:t>
      </w:r>
      <w:r w:rsidR="00BE7856" w:rsidRPr="00EE7901">
        <w:rPr>
          <w:rFonts w:ascii="Times New Roman" w:hAnsi="Times New Roman" w:cs="Times New Roman"/>
        </w:rPr>
        <w:t>The results also show this increase despite the restrictions placed on gambling advertisements during live sports events.</w:t>
      </w:r>
      <w:r w:rsidR="008E0BC5" w:rsidRPr="00EE7901">
        <w:rPr>
          <w:rFonts w:ascii="Times New Roman" w:hAnsi="Times New Roman" w:cs="Times New Roman"/>
        </w:rPr>
        <w:t xml:space="preserve"> </w:t>
      </w:r>
    </w:p>
    <w:p w14:paraId="40C888C3" w14:textId="3162C30A" w:rsidR="008E0BC5" w:rsidRPr="00EE7901" w:rsidRDefault="008E0BC5" w:rsidP="00EE36A1">
      <w:pPr>
        <w:spacing w:after="0" w:line="480" w:lineRule="auto"/>
        <w:ind w:firstLine="720"/>
        <w:rPr>
          <w:rFonts w:ascii="Times New Roman" w:hAnsi="Times New Roman" w:cs="Times New Roman"/>
        </w:rPr>
      </w:pPr>
      <w:r w:rsidRPr="00EE7901">
        <w:rPr>
          <w:rFonts w:ascii="Times New Roman" w:hAnsi="Times New Roman" w:cs="Times New Roman"/>
        </w:rPr>
        <w:lastRenderedPageBreak/>
        <w:t xml:space="preserve">Based on the results of these studies, gambling addiction is on the rise. </w:t>
      </w:r>
      <w:r w:rsidR="0012296E" w:rsidRPr="00EE7901">
        <w:rPr>
          <w:rFonts w:ascii="Times New Roman" w:hAnsi="Times New Roman" w:cs="Times New Roman"/>
        </w:rPr>
        <w:t>This rise is largely due</w:t>
      </w:r>
      <w:r w:rsidRPr="00EE7901">
        <w:rPr>
          <w:rFonts w:ascii="Times New Roman" w:hAnsi="Times New Roman" w:cs="Times New Roman"/>
        </w:rPr>
        <w:t xml:space="preserve"> to the huge </w:t>
      </w:r>
      <w:r w:rsidR="003B3C6A" w:rsidRPr="00EE7901">
        <w:rPr>
          <w:rFonts w:ascii="Times New Roman" w:hAnsi="Times New Roman" w:cs="Times New Roman"/>
        </w:rPr>
        <w:t>number</w:t>
      </w:r>
      <w:r w:rsidRPr="00EE7901">
        <w:rPr>
          <w:rFonts w:ascii="Times New Roman" w:hAnsi="Times New Roman" w:cs="Times New Roman"/>
        </w:rPr>
        <w:t xml:space="preserve"> of online platforms offered, advertisements </w:t>
      </w:r>
      <w:r w:rsidR="00373FC9" w:rsidRPr="00EE7901">
        <w:rPr>
          <w:rFonts w:ascii="Times New Roman" w:hAnsi="Times New Roman" w:cs="Times New Roman"/>
        </w:rPr>
        <w:t xml:space="preserve">prompting the </w:t>
      </w:r>
      <w:r w:rsidRPr="00EE7901">
        <w:rPr>
          <w:rFonts w:ascii="Times New Roman" w:hAnsi="Times New Roman" w:cs="Times New Roman"/>
        </w:rPr>
        <w:t>behavior, and the encouraging offers from platforms to new gamblers and current ones.</w:t>
      </w:r>
    </w:p>
    <w:p w14:paraId="0A71FE84" w14:textId="77777777" w:rsidR="00B10C3B" w:rsidRPr="00EE7901" w:rsidRDefault="00B10C3B" w:rsidP="00EE36A1">
      <w:pPr>
        <w:spacing w:after="0" w:line="480" w:lineRule="auto"/>
        <w:rPr>
          <w:rFonts w:ascii="Times New Roman" w:hAnsi="Times New Roman" w:cs="Times New Roman"/>
        </w:rPr>
      </w:pPr>
      <w:r w:rsidRPr="00EE7901">
        <w:rPr>
          <w:rFonts w:ascii="Times New Roman" w:hAnsi="Times New Roman" w:cs="Times New Roman"/>
          <w:b/>
          <w:bCs/>
        </w:rPr>
        <w:t>Methodology</w:t>
      </w:r>
      <w:r w:rsidRPr="00EE7901">
        <w:rPr>
          <w:rFonts w:ascii="Times New Roman" w:hAnsi="Times New Roman" w:cs="Times New Roman"/>
        </w:rPr>
        <w:t xml:space="preserve"> </w:t>
      </w:r>
    </w:p>
    <w:p w14:paraId="262CAAE5" w14:textId="00AE278D" w:rsidR="00B10C3B" w:rsidRPr="00EE7901" w:rsidRDefault="004C691F" w:rsidP="004031CD">
      <w:pPr>
        <w:spacing w:after="0" w:line="480" w:lineRule="auto"/>
        <w:ind w:firstLine="720"/>
        <w:rPr>
          <w:rFonts w:ascii="Times New Roman" w:hAnsi="Times New Roman" w:cs="Times New Roman"/>
        </w:rPr>
      </w:pPr>
      <w:r w:rsidRPr="00EE7901">
        <w:rPr>
          <w:rFonts w:ascii="Times New Roman" w:hAnsi="Times New Roman" w:cs="Times New Roman"/>
        </w:rPr>
        <w:t>For the study of the increase in gambling addictions and activity,</w:t>
      </w:r>
      <w:r w:rsidR="0099016E" w:rsidRPr="00EE7901">
        <w:rPr>
          <w:rFonts w:ascii="Times New Roman" w:hAnsi="Times New Roman" w:cs="Times New Roman"/>
        </w:rPr>
        <w:t xml:space="preserve"> a study will be conducted with volunteers as participants. The study will be conducted with no more than </w:t>
      </w:r>
      <w:r w:rsidR="007C7EF7" w:rsidRPr="00EE7901">
        <w:rPr>
          <w:rFonts w:ascii="Times New Roman" w:hAnsi="Times New Roman" w:cs="Times New Roman"/>
        </w:rPr>
        <w:t>35</w:t>
      </w:r>
      <w:r w:rsidR="0099016E" w:rsidRPr="00EE7901">
        <w:rPr>
          <w:rFonts w:ascii="Times New Roman" w:hAnsi="Times New Roman" w:cs="Times New Roman"/>
        </w:rPr>
        <w:t xml:space="preserve"> participants.  </w:t>
      </w:r>
    </w:p>
    <w:p w14:paraId="2B566A14" w14:textId="08790B5C" w:rsidR="004031CD" w:rsidRPr="00EE7901" w:rsidRDefault="004031CD" w:rsidP="004031CD">
      <w:pPr>
        <w:spacing w:after="0" w:line="480" w:lineRule="auto"/>
        <w:ind w:firstLine="720"/>
        <w:rPr>
          <w:rFonts w:ascii="Times New Roman" w:hAnsi="Times New Roman" w:cs="Times New Roman"/>
        </w:rPr>
      </w:pPr>
      <w:r w:rsidRPr="00EE7901">
        <w:rPr>
          <w:rFonts w:ascii="Times New Roman" w:hAnsi="Times New Roman" w:cs="Times New Roman"/>
        </w:rPr>
        <w:t xml:space="preserve">The participants will first receive a questionnaire that analyzes their current gambling behaviors. This will help the researchers gather an understanding of </w:t>
      </w:r>
      <w:r w:rsidR="00545C70" w:rsidRPr="00EE7901">
        <w:rPr>
          <w:rFonts w:ascii="Times New Roman" w:hAnsi="Times New Roman" w:cs="Times New Roman"/>
        </w:rPr>
        <w:t>participants</w:t>
      </w:r>
      <w:r w:rsidRPr="00EE7901">
        <w:rPr>
          <w:rFonts w:ascii="Times New Roman" w:hAnsi="Times New Roman" w:cs="Times New Roman"/>
        </w:rPr>
        <w:t xml:space="preserve"> history and background knowledge of gambling.</w:t>
      </w:r>
      <w:r w:rsidR="00545C70" w:rsidRPr="00EE7901">
        <w:rPr>
          <w:rFonts w:ascii="Times New Roman" w:hAnsi="Times New Roman" w:cs="Times New Roman"/>
        </w:rPr>
        <w:t xml:space="preserve"> The second part of the study will include another questionnaire sent out to these participants after a large, televised sporting event. </w:t>
      </w:r>
    </w:p>
    <w:p w14:paraId="6012DB68" w14:textId="27C49766" w:rsidR="00545C70" w:rsidRPr="00EE7901" w:rsidRDefault="00545C70" w:rsidP="004031CD">
      <w:pPr>
        <w:spacing w:after="0" w:line="480" w:lineRule="auto"/>
        <w:ind w:firstLine="720"/>
        <w:rPr>
          <w:rFonts w:ascii="Times New Roman" w:hAnsi="Times New Roman" w:cs="Times New Roman"/>
        </w:rPr>
      </w:pPr>
      <w:r w:rsidRPr="00EE7901">
        <w:rPr>
          <w:rFonts w:ascii="Times New Roman" w:hAnsi="Times New Roman" w:cs="Times New Roman"/>
        </w:rPr>
        <w:t xml:space="preserve">The second questionnaire will gather information on the participants gambling behaviors now. Questions will include whether they watched recent sporting event, what platform they used to stream it, and if they saw any gambling advertisements. Participants will also be asked if they received any sports betting offers during a live event if they are users of any gambling platforms, and </w:t>
      </w:r>
      <w:r w:rsidR="00E35763" w:rsidRPr="00EE7901">
        <w:rPr>
          <w:rFonts w:ascii="Times New Roman" w:hAnsi="Times New Roman" w:cs="Times New Roman"/>
        </w:rPr>
        <w:t>whether</w:t>
      </w:r>
      <w:r w:rsidRPr="00EE7901">
        <w:rPr>
          <w:rFonts w:ascii="Times New Roman" w:hAnsi="Times New Roman" w:cs="Times New Roman"/>
        </w:rPr>
        <w:t xml:space="preserve"> they placed a bet because of the offer. </w:t>
      </w:r>
    </w:p>
    <w:p w14:paraId="5846AADC" w14:textId="119122C5" w:rsidR="00B10C3B" w:rsidRPr="00EE7901" w:rsidRDefault="00B10C3B" w:rsidP="00EE36A1">
      <w:pPr>
        <w:spacing w:after="0" w:line="480" w:lineRule="auto"/>
        <w:rPr>
          <w:rFonts w:ascii="Times New Roman" w:hAnsi="Times New Roman" w:cs="Times New Roman"/>
        </w:rPr>
      </w:pPr>
      <w:r w:rsidRPr="00EE7901">
        <w:rPr>
          <w:rFonts w:ascii="Times New Roman" w:hAnsi="Times New Roman" w:cs="Times New Roman"/>
          <w:b/>
          <w:bCs/>
        </w:rPr>
        <w:t>Anticipated Outcomes</w:t>
      </w:r>
      <w:r w:rsidRPr="00EE7901">
        <w:rPr>
          <w:rFonts w:ascii="Times New Roman" w:hAnsi="Times New Roman" w:cs="Times New Roman"/>
        </w:rPr>
        <w:t xml:space="preserve">  </w:t>
      </w:r>
    </w:p>
    <w:p w14:paraId="42A54FC3" w14:textId="3664B8CB" w:rsidR="007D5B87" w:rsidRDefault="007D5B87" w:rsidP="001C1E7E">
      <w:pPr>
        <w:spacing w:after="0" w:line="480" w:lineRule="auto"/>
        <w:ind w:firstLine="720"/>
        <w:rPr>
          <w:rFonts w:ascii="Times New Roman" w:hAnsi="Times New Roman" w:cs="Times New Roman"/>
        </w:rPr>
      </w:pPr>
      <w:r w:rsidRPr="00EE7901">
        <w:rPr>
          <w:rFonts w:ascii="Times New Roman" w:hAnsi="Times New Roman" w:cs="Times New Roman"/>
        </w:rPr>
        <w:t xml:space="preserve">This research will allow an understanding of the relationship between gambling advertisements, gambling platforms offers, and the audience of sports events. These results will be able to show if there is a relationship between the rise of online gambling activity and addiction and gambling platforms use of marketing. </w:t>
      </w:r>
    </w:p>
    <w:p w14:paraId="4DCCD540" w14:textId="77777777" w:rsidR="001C1E7E" w:rsidRPr="00EE7901" w:rsidRDefault="001C1E7E" w:rsidP="001C1E7E">
      <w:pPr>
        <w:spacing w:after="0" w:line="480" w:lineRule="auto"/>
        <w:ind w:firstLine="720"/>
        <w:rPr>
          <w:rFonts w:ascii="Times New Roman" w:hAnsi="Times New Roman" w:cs="Times New Roman"/>
        </w:rPr>
      </w:pPr>
    </w:p>
    <w:p w14:paraId="02E618F4" w14:textId="77777777" w:rsidR="001C1E7E" w:rsidRDefault="001C1E7E" w:rsidP="00EE36A1">
      <w:pPr>
        <w:spacing w:after="0" w:line="480" w:lineRule="auto"/>
        <w:rPr>
          <w:rFonts w:ascii="Times New Roman" w:hAnsi="Times New Roman" w:cs="Times New Roman"/>
          <w:b/>
          <w:bCs/>
        </w:rPr>
      </w:pPr>
    </w:p>
    <w:p w14:paraId="6692A395" w14:textId="461DDE4D" w:rsidR="00B10C3B" w:rsidRPr="00EE7901" w:rsidRDefault="00B10C3B" w:rsidP="00EE36A1">
      <w:pPr>
        <w:spacing w:after="0" w:line="480" w:lineRule="auto"/>
        <w:rPr>
          <w:rFonts w:ascii="Times New Roman" w:hAnsi="Times New Roman" w:cs="Times New Roman"/>
        </w:rPr>
      </w:pPr>
      <w:r w:rsidRPr="00EE7901">
        <w:rPr>
          <w:rFonts w:ascii="Times New Roman" w:hAnsi="Times New Roman" w:cs="Times New Roman"/>
          <w:b/>
          <w:bCs/>
        </w:rPr>
        <w:lastRenderedPageBreak/>
        <w:t>Significance</w:t>
      </w:r>
      <w:r w:rsidRPr="00EE7901">
        <w:rPr>
          <w:rFonts w:ascii="Times New Roman" w:hAnsi="Times New Roman" w:cs="Times New Roman"/>
        </w:rPr>
        <w:t xml:space="preserve"> </w:t>
      </w:r>
    </w:p>
    <w:p w14:paraId="455B1345" w14:textId="7E92E8F8" w:rsidR="00F87F7F" w:rsidRPr="00EE7901" w:rsidRDefault="00F87F7F" w:rsidP="00F87F7F">
      <w:pPr>
        <w:spacing w:after="0" w:line="480" w:lineRule="auto"/>
        <w:ind w:firstLine="360"/>
        <w:rPr>
          <w:rFonts w:ascii="Times New Roman" w:hAnsi="Times New Roman" w:cs="Times New Roman"/>
        </w:rPr>
      </w:pPr>
      <w:r w:rsidRPr="00EE7901">
        <w:rPr>
          <w:rFonts w:ascii="Times New Roman" w:hAnsi="Times New Roman" w:cs="Times New Roman"/>
        </w:rPr>
        <w:t xml:space="preserve">If there </w:t>
      </w:r>
      <w:r w:rsidR="00F764A4" w:rsidRPr="00EE7901">
        <w:rPr>
          <w:rFonts w:ascii="Times New Roman" w:hAnsi="Times New Roman" w:cs="Times New Roman"/>
        </w:rPr>
        <w:t>are</w:t>
      </w:r>
      <w:r w:rsidRPr="00EE7901">
        <w:rPr>
          <w:rFonts w:ascii="Times New Roman" w:hAnsi="Times New Roman" w:cs="Times New Roman"/>
        </w:rPr>
        <w:t xml:space="preserve"> significant findings showing a strong correlation between the two, it will result in the ability to push for strict advertising regulation and restrictions. Educating the population on the risks of gambling will also be seen as vital. Furthermore, encouraging the option to place restrictions on a viewer’s own advertising settings should be taken into consideration. Allowing for viewers to block gambling advertisements from their streaming platforms will decrease the harm in the high-risk population.</w:t>
      </w:r>
    </w:p>
    <w:p w14:paraId="3BD2AD76" w14:textId="77777777" w:rsidR="00B10C3B" w:rsidRPr="00EE7901" w:rsidRDefault="00B10C3B" w:rsidP="00B10C3B">
      <w:pPr>
        <w:spacing w:after="0" w:line="360" w:lineRule="auto"/>
        <w:rPr>
          <w:rFonts w:ascii="Times New Roman" w:hAnsi="Times New Roman" w:cs="Times New Roman"/>
        </w:rPr>
      </w:pPr>
      <w:r w:rsidRPr="00EE7901">
        <w:rPr>
          <w:rFonts w:ascii="Times New Roman" w:hAnsi="Times New Roman" w:cs="Times New Roman"/>
          <w:b/>
          <w:bCs/>
        </w:rPr>
        <w:t>References</w:t>
      </w:r>
    </w:p>
    <w:p w14:paraId="13180B88" w14:textId="77777777" w:rsidR="002A13D0" w:rsidRPr="00EE7901" w:rsidRDefault="002A13D0" w:rsidP="002A13D0">
      <w:pPr>
        <w:spacing w:after="0" w:line="240" w:lineRule="auto"/>
        <w:rPr>
          <w:rFonts w:ascii="Times New Roman" w:eastAsia="Times New Roman" w:hAnsi="Times New Roman" w:cs="Times New Roman"/>
          <w:kern w:val="0"/>
          <w14:ligatures w14:val="none"/>
        </w:rPr>
      </w:pPr>
      <w:r w:rsidRPr="00EE7901">
        <w:rPr>
          <w:rFonts w:ascii="Times New Roman" w:eastAsia="Times New Roman" w:hAnsi="Times New Roman" w:cs="Times New Roman"/>
          <w:kern w:val="0"/>
          <w14:ligatures w14:val="none"/>
        </w:rPr>
        <w:t xml:space="preserve">Díaz-Bustamante Ventisca, Mónica, et al. “The Impact of Gambling Advertising on Young People: Identification of Their Latent Attitudes and Perceptions.” </w:t>
      </w:r>
      <w:r w:rsidRPr="00EE7901">
        <w:rPr>
          <w:rFonts w:ascii="Times New Roman" w:eastAsia="Times New Roman" w:hAnsi="Times New Roman" w:cs="Times New Roman"/>
          <w:i/>
          <w:iCs/>
          <w:kern w:val="0"/>
          <w14:ligatures w14:val="none"/>
        </w:rPr>
        <w:t>Cogent Social Sciences</w:t>
      </w:r>
      <w:r w:rsidRPr="00EE7901">
        <w:rPr>
          <w:rFonts w:ascii="Times New Roman" w:eastAsia="Times New Roman" w:hAnsi="Times New Roman" w:cs="Times New Roman"/>
          <w:kern w:val="0"/>
          <w14:ligatures w14:val="none"/>
        </w:rPr>
        <w:t xml:space="preserve">, vol. 12, no. 1, December 2026, </w:t>
      </w:r>
      <w:hyperlink r:id="rId7" w:history="1">
        <w:r w:rsidRPr="00EE7901">
          <w:rPr>
            <w:rStyle w:val="Hyperlink"/>
            <w:rFonts w:ascii="Times New Roman" w:eastAsia="Times New Roman" w:hAnsi="Times New Roman" w:cs="Times New Roman"/>
            <w:kern w:val="0"/>
            <w14:ligatures w14:val="none"/>
          </w:rPr>
          <w:t>https://doi.org/10.1080/23311886.2026.2629625</w:t>
        </w:r>
      </w:hyperlink>
      <w:r w:rsidRPr="00EE7901">
        <w:rPr>
          <w:rFonts w:ascii="Times New Roman" w:eastAsia="Times New Roman" w:hAnsi="Times New Roman" w:cs="Times New Roman"/>
          <w:kern w:val="0"/>
          <w14:ligatures w14:val="none"/>
        </w:rPr>
        <w:t>.</w:t>
      </w:r>
    </w:p>
    <w:p w14:paraId="1C7F0E7D" w14:textId="77777777" w:rsidR="002A13D0" w:rsidRPr="00EE7901" w:rsidRDefault="002A13D0" w:rsidP="002A13D0">
      <w:pPr>
        <w:spacing w:after="0" w:line="240" w:lineRule="auto"/>
        <w:rPr>
          <w:rFonts w:ascii="Times New Roman" w:eastAsia="Times New Roman" w:hAnsi="Times New Roman" w:cs="Times New Roman"/>
          <w:kern w:val="0"/>
          <w14:ligatures w14:val="none"/>
        </w:rPr>
      </w:pPr>
    </w:p>
    <w:p w14:paraId="515BA016" w14:textId="77777777" w:rsidR="002A13D0" w:rsidRPr="00EE7901" w:rsidRDefault="002A13D0" w:rsidP="002A13D0">
      <w:pPr>
        <w:spacing w:after="0" w:line="240" w:lineRule="auto"/>
        <w:rPr>
          <w:rFonts w:ascii="Times New Roman" w:eastAsia="Times New Roman" w:hAnsi="Times New Roman" w:cs="Times New Roman"/>
          <w:kern w:val="0"/>
          <w14:ligatures w14:val="none"/>
        </w:rPr>
      </w:pPr>
      <w:r w:rsidRPr="00EE7901">
        <w:rPr>
          <w:rFonts w:ascii="Times New Roman" w:eastAsia="Times New Roman" w:hAnsi="Times New Roman" w:cs="Times New Roman"/>
          <w:kern w:val="0"/>
          <w14:ligatures w14:val="none"/>
        </w:rPr>
        <w:t xml:space="preserve">Farrell, Hugh, et al. “More Frequent Use of Live Sports-Betting Features Is Associated with Increased Risk of Gambling Harm: Evidence from a Case-Control Design.” </w:t>
      </w:r>
      <w:r w:rsidRPr="00EE7901">
        <w:rPr>
          <w:rFonts w:ascii="Times New Roman" w:eastAsia="Times New Roman" w:hAnsi="Times New Roman" w:cs="Times New Roman"/>
          <w:i/>
          <w:iCs/>
          <w:kern w:val="0"/>
          <w14:ligatures w14:val="none"/>
        </w:rPr>
        <w:t>Journal of Behavioral Addictions</w:t>
      </w:r>
      <w:r w:rsidRPr="00EE7901">
        <w:rPr>
          <w:rFonts w:ascii="Times New Roman" w:eastAsia="Times New Roman" w:hAnsi="Times New Roman" w:cs="Times New Roman"/>
          <w:kern w:val="0"/>
          <w14:ligatures w14:val="none"/>
        </w:rPr>
        <w:t xml:space="preserve"> [BUDAPEST], vol. 15, no. 1, April 2026, pp. 509–14, https://doi.org/10.1556/2006.2025.00491.</w:t>
      </w:r>
    </w:p>
    <w:p w14:paraId="43193B31" w14:textId="77777777" w:rsidR="002A13D0" w:rsidRPr="00EE7901" w:rsidRDefault="002A13D0" w:rsidP="002A13D0">
      <w:pPr>
        <w:spacing w:after="0" w:line="360" w:lineRule="auto"/>
        <w:rPr>
          <w:rFonts w:ascii="Times New Roman" w:hAnsi="Times New Roman" w:cs="Times New Roman"/>
        </w:rPr>
      </w:pPr>
    </w:p>
    <w:p w14:paraId="3A00A06A" w14:textId="77777777" w:rsidR="002A13D0" w:rsidRPr="00EE7901" w:rsidRDefault="002A13D0" w:rsidP="002A13D0">
      <w:pPr>
        <w:spacing w:after="0" w:line="240" w:lineRule="auto"/>
        <w:rPr>
          <w:rFonts w:ascii="Times New Roman" w:eastAsia="Times New Roman" w:hAnsi="Times New Roman" w:cs="Times New Roman"/>
          <w:kern w:val="0"/>
          <w14:ligatures w14:val="none"/>
        </w:rPr>
      </w:pPr>
      <w:r w:rsidRPr="00EE7901">
        <w:rPr>
          <w:rFonts w:ascii="Times New Roman" w:eastAsia="Times New Roman" w:hAnsi="Times New Roman" w:cs="Times New Roman"/>
          <w:kern w:val="0"/>
          <w14:ligatures w14:val="none"/>
        </w:rPr>
        <w:t xml:space="preserve">McGrane, Ellen, et al. “The Effect of Television Advertising on Gambling </w:t>
      </w:r>
      <w:proofErr w:type="spellStart"/>
      <w:r w:rsidRPr="00EE7901">
        <w:rPr>
          <w:rFonts w:ascii="Times New Roman" w:eastAsia="Times New Roman" w:hAnsi="Times New Roman" w:cs="Times New Roman"/>
          <w:kern w:val="0"/>
          <w14:ligatures w14:val="none"/>
        </w:rPr>
        <w:t>Behaviour</w:t>
      </w:r>
      <w:proofErr w:type="spellEnd"/>
      <w:r w:rsidRPr="00EE7901">
        <w:rPr>
          <w:rFonts w:ascii="Times New Roman" w:eastAsia="Times New Roman" w:hAnsi="Times New Roman" w:cs="Times New Roman"/>
          <w:kern w:val="0"/>
          <w14:ligatures w14:val="none"/>
        </w:rPr>
        <w:t xml:space="preserve">: A Quasi-Experimental Study during the 2022 Qatar FIFA World Cup.” </w:t>
      </w:r>
      <w:r w:rsidRPr="00EE7901">
        <w:rPr>
          <w:rFonts w:ascii="Times New Roman" w:eastAsia="Times New Roman" w:hAnsi="Times New Roman" w:cs="Times New Roman"/>
          <w:i/>
          <w:iCs/>
          <w:kern w:val="0"/>
          <w14:ligatures w14:val="none"/>
        </w:rPr>
        <w:t>Addictive Behaviors Reports</w:t>
      </w:r>
      <w:r w:rsidRPr="00EE7901">
        <w:rPr>
          <w:rFonts w:ascii="Times New Roman" w:eastAsia="Times New Roman" w:hAnsi="Times New Roman" w:cs="Times New Roman"/>
          <w:kern w:val="0"/>
          <w14:ligatures w14:val="none"/>
        </w:rPr>
        <w:t xml:space="preserve"> [Netherlands], vol. 23, no. 100666, June 2026, https://doi.org/10.1016/j.abrep.2026.100666.</w:t>
      </w:r>
    </w:p>
    <w:p w14:paraId="0D88596B" w14:textId="77777777" w:rsidR="00B10C3B" w:rsidRPr="00EE7901" w:rsidRDefault="00B10C3B" w:rsidP="00B10C3B">
      <w:pPr>
        <w:spacing w:after="0" w:line="360" w:lineRule="auto"/>
        <w:rPr>
          <w:rFonts w:ascii="Times New Roman" w:hAnsi="Times New Roman" w:cs="Times New Roman"/>
          <w:b/>
          <w:bCs/>
        </w:rPr>
      </w:pPr>
    </w:p>
    <w:p w14:paraId="3BB3BA03" w14:textId="426CF2BC" w:rsidR="00B10C3B" w:rsidRPr="00EE7901" w:rsidRDefault="00B10C3B" w:rsidP="00B10C3B">
      <w:pPr>
        <w:spacing w:after="0" w:line="360" w:lineRule="auto"/>
        <w:rPr>
          <w:rFonts w:ascii="Times New Roman" w:hAnsi="Times New Roman" w:cs="Times New Roman"/>
        </w:rPr>
      </w:pPr>
      <w:r w:rsidRPr="00EE7901">
        <w:rPr>
          <w:rFonts w:ascii="Times New Roman" w:hAnsi="Times New Roman" w:cs="Times New Roman"/>
          <w:b/>
          <w:bCs/>
        </w:rPr>
        <w:t>Timeline</w:t>
      </w:r>
      <w:r w:rsidRPr="00EE7901">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4045"/>
        <w:gridCol w:w="5305"/>
      </w:tblGrid>
      <w:tr w:rsidR="00B10C3B" w:rsidRPr="00EE7901" w14:paraId="43C2F875" w14:textId="77777777" w:rsidTr="00B10C3B">
        <w:tc>
          <w:tcPr>
            <w:tcW w:w="4045" w:type="dxa"/>
          </w:tcPr>
          <w:p w14:paraId="1B0DCDE1" w14:textId="4DCDBAA9" w:rsidR="00B10C3B" w:rsidRPr="00EE7901" w:rsidRDefault="00B10C3B" w:rsidP="00B10C3B">
            <w:pPr>
              <w:spacing w:line="360" w:lineRule="auto"/>
              <w:rPr>
                <w:rFonts w:ascii="Times New Roman" w:hAnsi="Times New Roman" w:cs="Times New Roman"/>
                <w:b/>
                <w:bCs/>
              </w:rPr>
            </w:pPr>
            <w:r w:rsidRPr="00EE7901">
              <w:rPr>
                <w:rFonts w:ascii="Times New Roman" w:hAnsi="Times New Roman" w:cs="Times New Roman"/>
                <w:b/>
                <w:bCs/>
              </w:rPr>
              <w:t>Dates</w:t>
            </w:r>
          </w:p>
        </w:tc>
        <w:tc>
          <w:tcPr>
            <w:tcW w:w="5305" w:type="dxa"/>
          </w:tcPr>
          <w:p w14:paraId="7B9FFD3D" w14:textId="72AC390B" w:rsidR="00B10C3B" w:rsidRPr="00EE7901" w:rsidRDefault="00B10C3B" w:rsidP="00B10C3B">
            <w:pPr>
              <w:spacing w:line="360" w:lineRule="auto"/>
              <w:rPr>
                <w:rFonts w:ascii="Times New Roman" w:hAnsi="Times New Roman" w:cs="Times New Roman"/>
                <w:b/>
                <w:bCs/>
              </w:rPr>
            </w:pPr>
            <w:r w:rsidRPr="00EE7901">
              <w:rPr>
                <w:rFonts w:ascii="Times New Roman" w:hAnsi="Times New Roman" w:cs="Times New Roman"/>
                <w:b/>
                <w:bCs/>
              </w:rPr>
              <w:t>Tasks</w:t>
            </w:r>
          </w:p>
        </w:tc>
      </w:tr>
      <w:tr w:rsidR="00B10C3B" w:rsidRPr="00EE7901" w14:paraId="52E8BDD8" w14:textId="77777777" w:rsidTr="00B10C3B">
        <w:tc>
          <w:tcPr>
            <w:tcW w:w="4045" w:type="dxa"/>
          </w:tcPr>
          <w:p w14:paraId="29C27E8A" w14:textId="6CD53B11"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January 1, 2027 – February 1, 2027</w:t>
            </w:r>
          </w:p>
        </w:tc>
        <w:tc>
          <w:tcPr>
            <w:tcW w:w="5305" w:type="dxa"/>
          </w:tcPr>
          <w:p w14:paraId="257D4C66" w14:textId="629B0261"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 xml:space="preserve">Gather participants and create questionnaires </w:t>
            </w:r>
          </w:p>
        </w:tc>
      </w:tr>
      <w:tr w:rsidR="00B10C3B" w:rsidRPr="00EE7901" w14:paraId="2E6E7B3C" w14:textId="77777777" w:rsidTr="00B10C3B">
        <w:tc>
          <w:tcPr>
            <w:tcW w:w="4045" w:type="dxa"/>
          </w:tcPr>
          <w:p w14:paraId="45C7EAAC" w14:textId="1566E176"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February 2, 2027 – February 28, 2027</w:t>
            </w:r>
          </w:p>
        </w:tc>
        <w:tc>
          <w:tcPr>
            <w:tcW w:w="5305" w:type="dxa"/>
          </w:tcPr>
          <w:p w14:paraId="2182B535" w14:textId="2A5AB610"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 xml:space="preserve">Distribute questionnaires to participants and gather data </w:t>
            </w:r>
          </w:p>
        </w:tc>
      </w:tr>
      <w:tr w:rsidR="00B10C3B" w:rsidRPr="00EE7901" w14:paraId="4D7E3A72" w14:textId="77777777" w:rsidTr="00B10C3B">
        <w:tc>
          <w:tcPr>
            <w:tcW w:w="4045" w:type="dxa"/>
          </w:tcPr>
          <w:p w14:paraId="5F7A837D" w14:textId="34BC7CC0"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March 1, 2027 – March 31, 2027</w:t>
            </w:r>
          </w:p>
        </w:tc>
        <w:tc>
          <w:tcPr>
            <w:tcW w:w="5305" w:type="dxa"/>
          </w:tcPr>
          <w:p w14:paraId="7A133251" w14:textId="6709EAA1"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 xml:space="preserve">Create second questionnaire </w:t>
            </w:r>
          </w:p>
        </w:tc>
      </w:tr>
      <w:tr w:rsidR="00B10C3B" w:rsidRPr="00EE7901" w14:paraId="24A232D1" w14:textId="77777777" w:rsidTr="00B10C3B">
        <w:tc>
          <w:tcPr>
            <w:tcW w:w="4045" w:type="dxa"/>
          </w:tcPr>
          <w:p w14:paraId="79B6FC8A" w14:textId="10DC12F5"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April 1, 2027 – April 30, 2027</w:t>
            </w:r>
          </w:p>
        </w:tc>
        <w:tc>
          <w:tcPr>
            <w:tcW w:w="5305" w:type="dxa"/>
          </w:tcPr>
          <w:p w14:paraId="7C034605" w14:textId="185B1CFC"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Distribute second questionnaire and gather data</w:t>
            </w:r>
          </w:p>
        </w:tc>
      </w:tr>
      <w:tr w:rsidR="00B10C3B" w:rsidRPr="00EE7901" w14:paraId="6A70A0CB" w14:textId="77777777" w:rsidTr="00B10C3B">
        <w:tc>
          <w:tcPr>
            <w:tcW w:w="4045" w:type="dxa"/>
          </w:tcPr>
          <w:p w14:paraId="2CC580B8" w14:textId="1A49904A"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May 1, 2027</w:t>
            </w:r>
          </w:p>
        </w:tc>
        <w:tc>
          <w:tcPr>
            <w:tcW w:w="5305" w:type="dxa"/>
          </w:tcPr>
          <w:p w14:paraId="2FE7CB57" w14:textId="458FD9B0" w:rsidR="00B10C3B" w:rsidRPr="00EE7901" w:rsidRDefault="00A84D5E" w:rsidP="00B10C3B">
            <w:pPr>
              <w:spacing w:line="360" w:lineRule="auto"/>
              <w:rPr>
                <w:rFonts w:ascii="Times New Roman" w:hAnsi="Times New Roman" w:cs="Times New Roman"/>
              </w:rPr>
            </w:pPr>
            <w:r w:rsidRPr="00EE7901">
              <w:rPr>
                <w:rFonts w:ascii="Times New Roman" w:hAnsi="Times New Roman" w:cs="Times New Roman"/>
              </w:rPr>
              <w:t>Analyze Data</w:t>
            </w:r>
          </w:p>
        </w:tc>
      </w:tr>
    </w:tbl>
    <w:p w14:paraId="7B7298C1" w14:textId="77777777" w:rsidR="001C1E7E" w:rsidRDefault="001C1E7E" w:rsidP="00B10C3B">
      <w:pPr>
        <w:spacing w:after="0" w:line="360" w:lineRule="auto"/>
        <w:rPr>
          <w:rFonts w:ascii="Times New Roman" w:hAnsi="Times New Roman" w:cs="Times New Roman"/>
          <w:b/>
          <w:bCs/>
        </w:rPr>
      </w:pPr>
    </w:p>
    <w:p w14:paraId="36B5F850" w14:textId="77777777" w:rsidR="001C1E7E" w:rsidRDefault="001C1E7E" w:rsidP="00B10C3B">
      <w:pPr>
        <w:spacing w:after="0" w:line="360" w:lineRule="auto"/>
        <w:rPr>
          <w:rFonts w:ascii="Times New Roman" w:hAnsi="Times New Roman" w:cs="Times New Roman"/>
          <w:b/>
          <w:bCs/>
        </w:rPr>
      </w:pPr>
    </w:p>
    <w:p w14:paraId="7EF75A17" w14:textId="77777777" w:rsidR="001C1E7E" w:rsidRDefault="001C1E7E" w:rsidP="00B10C3B">
      <w:pPr>
        <w:spacing w:after="0" w:line="360" w:lineRule="auto"/>
        <w:rPr>
          <w:rFonts w:ascii="Times New Roman" w:hAnsi="Times New Roman" w:cs="Times New Roman"/>
          <w:b/>
          <w:bCs/>
        </w:rPr>
      </w:pPr>
    </w:p>
    <w:p w14:paraId="78F3DE40" w14:textId="765B23CA" w:rsidR="00B10C3B" w:rsidRPr="00EE7901" w:rsidRDefault="00B10C3B" w:rsidP="00B10C3B">
      <w:pPr>
        <w:spacing w:after="0" w:line="360" w:lineRule="auto"/>
        <w:rPr>
          <w:rFonts w:ascii="Times New Roman" w:hAnsi="Times New Roman" w:cs="Times New Roman"/>
        </w:rPr>
      </w:pPr>
      <w:r w:rsidRPr="00EE7901">
        <w:rPr>
          <w:rFonts w:ascii="Times New Roman" w:hAnsi="Times New Roman" w:cs="Times New Roman"/>
          <w:b/>
          <w:bCs/>
        </w:rPr>
        <w:lastRenderedPageBreak/>
        <w:t>Budget</w:t>
      </w:r>
      <w:r w:rsidRPr="00EE7901">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3116"/>
        <w:gridCol w:w="3117"/>
        <w:gridCol w:w="3117"/>
      </w:tblGrid>
      <w:tr w:rsidR="00B10C3B" w:rsidRPr="00EE7901" w14:paraId="28DB685F" w14:textId="77777777" w:rsidTr="00B10C3B">
        <w:tc>
          <w:tcPr>
            <w:tcW w:w="3116" w:type="dxa"/>
          </w:tcPr>
          <w:p w14:paraId="3402F855" w14:textId="60C532F2" w:rsidR="00B10C3B" w:rsidRPr="00EE7901" w:rsidRDefault="00B10C3B" w:rsidP="00B10C3B">
            <w:pPr>
              <w:spacing w:line="360" w:lineRule="auto"/>
              <w:rPr>
                <w:rFonts w:ascii="Times New Roman" w:hAnsi="Times New Roman" w:cs="Times New Roman"/>
                <w:b/>
                <w:bCs/>
              </w:rPr>
            </w:pPr>
            <w:r w:rsidRPr="00EE7901">
              <w:rPr>
                <w:rFonts w:ascii="Times New Roman" w:hAnsi="Times New Roman" w:cs="Times New Roman"/>
                <w:b/>
                <w:bCs/>
              </w:rPr>
              <w:t>Item</w:t>
            </w:r>
          </w:p>
        </w:tc>
        <w:tc>
          <w:tcPr>
            <w:tcW w:w="3117" w:type="dxa"/>
          </w:tcPr>
          <w:p w14:paraId="70FDACB1" w14:textId="0130F1D6" w:rsidR="00B10C3B" w:rsidRPr="00EE7901" w:rsidRDefault="00B10C3B" w:rsidP="00B10C3B">
            <w:pPr>
              <w:spacing w:line="360" w:lineRule="auto"/>
              <w:rPr>
                <w:rFonts w:ascii="Times New Roman" w:hAnsi="Times New Roman" w:cs="Times New Roman"/>
                <w:b/>
                <w:bCs/>
              </w:rPr>
            </w:pPr>
            <w:r w:rsidRPr="00EE7901">
              <w:rPr>
                <w:rFonts w:ascii="Times New Roman" w:hAnsi="Times New Roman" w:cs="Times New Roman"/>
                <w:b/>
                <w:bCs/>
              </w:rPr>
              <w:t>Units and Cost</w:t>
            </w:r>
          </w:p>
        </w:tc>
        <w:tc>
          <w:tcPr>
            <w:tcW w:w="3117" w:type="dxa"/>
          </w:tcPr>
          <w:p w14:paraId="4ED6FE02" w14:textId="16D12DBC" w:rsidR="00B10C3B" w:rsidRPr="00EE7901" w:rsidRDefault="00B10C3B" w:rsidP="00B10C3B">
            <w:pPr>
              <w:spacing w:line="360" w:lineRule="auto"/>
              <w:rPr>
                <w:rFonts w:ascii="Times New Roman" w:hAnsi="Times New Roman" w:cs="Times New Roman"/>
                <w:b/>
                <w:bCs/>
              </w:rPr>
            </w:pPr>
            <w:r w:rsidRPr="00EE7901">
              <w:rPr>
                <w:rFonts w:ascii="Times New Roman" w:hAnsi="Times New Roman" w:cs="Times New Roman"/>
                <w:b/>
                <w:bCs/>
              </w:rPr>
              <w:t>Total</w:t>
            </w:r>
          </w:p>
        </w:tc>
      </w:tr>
      <w:tr w:rsidR="00B10C3B" w:rsidRPr="00EE7901" w14:paraId="43972B6A" w14:textId="77777777" w:rsidTr="00B10C3B">
        <w:tc>
          <w:tcPr>
            <w:tcW w:w="3116" w:type="dxa"/>
          </w:tcPr>
          <w:p w14:paraId="043FCF98" w14:textId="0682075D" w:rsidR="00B10C3B" w:rsidRPr="00EE7901" w:rsidRDefault="007C7EF7" w:rsidP="00B10C3B">
            <w:pPr>
              <w:spacing w:line="360" w:lineRule="auto"/>
              <w:rPr>
                <w:rFonts w:ascii="Times New Roman" w:hAnsi="Times New Roman" w:cs="Times New Roman"/>
              </w:rPr>
            </w:pPr>
            <w:r w:rsidRPr="00EE7901">
              <w:rPr>
                <w:rFonts w:ascii="Times New Roman" w:hAnsi="Times New Roman" w:cs="Times New Roman"/>
              </w:rPr>
              <w:t>Participants part 1</w:t>
            </w:r>
          </w:p>
        </w:tc>
        <w:tc>
          <w:tcPr>
            <w:tcW w:w="3117" w:type="dxa"/>
          </w:tcPr>
          <w:p w14:paraId="1F0BADD9" w14:textId="227FB748" w:rsidR="00B10C3B" w:rsidRPr="00EE7901" w:rsidRDefault="00B10C3B" w:rsidP="00B10C3B">
            <w:pPr>
              <w:spacing w:line="360" w:lineRule="auto"/>
              <w:rPr>
                <w:rFonts w:ascii="Times New Roman" w:hAnsi="Times New Roman" w:cs="Times New Roman"/>
              </w:rPr>
            </w:pPr>
            <w:r w:rsidRPr="00EE7901">
              <w:rPr>
                <w:rFonts w:ascii="Times New Roman" w:hAnsi="Times New Roman" w:cs="Times New Roman"/>
              </w:rPr>
              <w:t>$</w:t>
            </w:r>
            <w:r w:rsidR="007C7EF7" w:rsidRPr="00EE7901">
              <w:rPr>
                <w:rFonts w:ascii="Times New Roman" w:hAnsi="Times New Roman" w:cs="Times New Roman"/>
              </w:rPr>
              <w:t>1</w:t>
            </w:r>
            <w:r w:rsidRPr="00EE7901">
              <w:rPr>
                <w:rFonts w:ascii="Times New Roman" w:hAnsi="Times New Roman" w:cs="Times New Roman"/>
              </w:rPr>
              <w:t xml:space="preserve">0/person, </w:t>
            </w:r>
            <w:r w:rsidR="007C7EF7" w:rsidRPr="00EE7901">
              <w:rPr>
                <w:rFonts w:ascii="Times New Roman" w:hAnsi="Times New Roman" w:cs="Times New Roman"/>
              </w:rPr>
              <w:t>35 people</w:t>
            </w:r>
          </w:p>
        </w:tc>
        <w:tc>
          <w:tcPr>
            <w:tcW w:w="3117" w:type="dxa"/>
          </w:tcPr>
          <w:p w14:paraId="1E191714" w14:textId="6C4EC233" w:rsidR="00B10C3B" w:rsidRPr="00EE7901" w:rsidRDefault="00B10C3B" w:rsidP="00B10C3B">
            <w:pPr>
              <w:spacing w:line="360" w:lineRule="auto"/>
              <w:rPr>
                <w:rFonts w:ascii="Times New Roman" w:hAnsi="Times New Roman" w:cs="Times New Roman"/>
              </w:rPr>
            </w:pPr>
            <w:r w:rsidRPr="00EE7901">
              <w:rPr>
                <w:rFonts w:ascii="Times New Roman" w:hAnsi="Times New Roman" w:cs="Times New Roman"/>
              </w:rPr>
              <w:t>$</w:t>
            </w:r>
            <w:r w:rsidR="007C7EF7" w:rsidRPr="00EE7901">
              <w:rPr>
                <w:rFonts w:ascii="Times New Roman" w:hAnsi="Times New Roman" w:cs="Times New Roman"/>
              </w:rPr>
              <w:t>350</w:t>
            </w:r>
          </w:p>
        </w:tc>
      </w:tr>
      <w:tr w:rsidR="00B10C3B" w:rsidRPr="00EE7901" w14:paraId="3CBB1EF0" w14:textId="77777777" w:rsidTr="00B10C3B">
        <w:tc>
          <w:tcPr>
            <w:tcW w:w="3116" w:type="dxa"/>
          </w:tcPr>
          <w:p w14:paraId="1969507C" w14:textId="6FAC94A4" w:rsidR="00B10C3B" w:rsidRPr="00EE7901" w:rsidRDefault="007C7EF7" w:rsidP="00B10C3B">
            <w:pPr>
              <w:spacing w:line="360" w:lineRule="auto"/>
              <w:rPr>
                <w:rFonts w:ascii="Times New Roman" w:hAnsi="Times New Roman" w:cs="Times New Roman"/>
              </w:rPr>
            </w:pPr>
            <w:r w:rsidRPr="00EE7901">
              <w:rPr>
                <w:rFonts w:ascii="Times New Roman" w:hAnsi="Times New Roman" w:cs="Times New Roman"/>
              </w:rPr>
              <w:t>Participants part 2</w:t>
            </w:r>
          </w:p>
        </w:tc>
        <w:tc>
          <w:tcPr>
            <w:tcW w:w="3117" w:type="dxa"/>
          </w:tcPr>
          <w:p w14:paraId="784169C1" w14:textId="0AFDB828" w:rsidR="00B10C3B" w:rsidRPr="00EE7901" w:rsidRDefault="007C7EF7" w:rsidP="00B10C3B">
            <w:pPr>
              <w:spacing w:line="360" w:lineRule="auto"/>
              <w:rPr>
                <w:rFonts w:ascii="Times New Roman" w:hAnsi="Times New Roman" w:cs="Times New Roman"/>
              </w:rPr>
            </w:pPr>
            <w:r w:rsidRPr="00EE7901">
              <w:rPr>
                <w:rFonts w:ascii="Times New Roman" w:hAnsi="Times New Roman" w:cs="Times New Roman"/>
              </w:rPr>
              <w:t>$10/person, 35 people</w:t>
            </w:r>
          </w:p>
        </w:tc>
        <w:tc>
          <w:tcPr>
            <w:tcW w:w="3117" w:type="dxa"/>
          </w:tcPr>
          <w:p w14:paraId="0083009C" w14:textId="30BA62EE" w:rsidR="00B10C3B" w:rsidRPr="00EE7901" w:rsidRDefault="007C7EF7" w:rsidP="00B10C3B">
            <w:pPr>
              <w:spacing w:line="360" w:lineRule="auto"/>
              <w:rPr>
                <w:rFonts w:ascii="Times New Roman" w:hAnsi="Times New Roman" w:cs="Times New Roman"/>
              </w:rPr>
            </w:pPr>
            <w:r w:rsidRPr="00EE7901">
              <w:rPr>
                <w:rFonts w:ascii="Times New Roman" w:hAnsi="Times New Roman" w:cs="Times New Roman"/>
              </w:rPr>
              <w:t>$350</w:t>
            </w:r>
          </w:p>
        </w:tc>
      </w:tr>
      <w:tr w:rsidR="00B10C3B" w:rsidRPr="00EE7901" w14:paraId="3798F78C" w14:textId="77777777" w:rsidTr="00B10C3B">
        <w:tc>
          <w:tcPr>
            <w:tcW w:w="3116" w:type="dxa"/>
          </w:tcPr>
          <w:p w14:paraId="4C42F33D" w14:textId="77777777" w:rsidR="00B10C3B" w:rsidRPr="00EE7901" w:rsidRDefault="00B10C3B" w:rsidP="00B10C3B">
            <w:pPr>
              <w:spacing w:line="360" w:lineRule="auto"/>
              <w:rPr>
                <w:rFonts w:ascii="Times New Roman" w:hAnsi="Times New Roman" w:cs="Times New Roman"/>
              </w:rPr>
            </w:pPr>
          </w:p>
        </w:tc>
        <w:tc>
          <w:tcPr>
            <w:tcW w:w="3117" w:type="dxa"/>
          </w:tcPr>
          <w:p w14:paraId="3F7A4539" w14:textId="77777777" w:rsidR="00B10C3B" w:rsidRPr="00EE7901" w:rsidRDefault="00B10C3B" w:rsidP="00B10C3B">
            <w:pPr>
              <w:spacing w:line="360" w:lineRule="auto"/>
              <w:rPr>
                <w:rFonts w:ascii="Times New Roman" w:hAnsi="Times New Roman" w:cs="Times New Roman"/>
              </w:rPr>
            </w:pPr>
          </w:p>
        </w:tc>
        <w:tc>
          <w:tcPr>
            <w:tcW w:w="3117" w:type="dxa"/>
          </w:tcPr>
          <w:p w14:paraId="50BE8248" w14:textId="77777777" w:rsidR="00B10C3B" w:rsidRPr="00EE7901" w:rsidRDefault="00B10C3B" w:rsidP="00B10C3B">
            <w:pPr>
              <w:spacing w:line="360" w:lineRule="auto"/>
              <w:rPr>
                <w:rFonts w:ascii="Times New Roman" w:hAnsi="Times New Roman" w:cs="Times New Roman"/>
              </w:rPr>
            </w:pPr>
          </w:p>
        </w:tc>
      </w:tr>
      <w:tr w:rsidR="00B10C3B" w:rsidRPr="00EE7901" w14:paraId="5CE1A4DA" w14:textId="77777777" w:rsidTr="00B10C3B">
        <w:tc>
          <w:tcPr>
            <w:tcW w:w="3116" w:type="dxa"/>
          </w:tcPr>
          <w:p w14:paraId="01121CB7" w14:textId="455912FA" w:rsidR="00B10C3B" w:rsidRPr="00EE7901" w:rsidRDefault="00B10C3B" w:rsidP="00B10C3B">
            <w:pPr>
              <w:spacing w:line="360" w:lineRule="auto"/>
              <w:rPr>
                <w:rFonts w:ascii="Times New Roman" w:hAnsi="Times New Roman" w:cs="Times New Roman"/>
                <w:b/>
                <w:bCs/>
              </w:rPr>
            </w:pPr>
            <w:r w:rsidRPr="00EE7901">
              <w:rPr>
                <w:rFonts w:ascii="Times New Roman" w:hAnsi="Times New Roman" w:cs="Times New Roman"/>
                <w:b/>
                <w:bCs/>
              </w:rPr>
              <w:t>Total</w:t>
            </w:r>
          </w:p>
        </w:tc>
        <w:tc>
          <w:tcPr>
            <w:tcW w:w="3117" w:type="dxa"/>
          </w:tcPr>
          <w:p w14:paraId="2EE45579" w14:textId="2B087344" w:rsidR="00B10C3B" w:rsidRPr="00EE7901" w:rsidRDefault="0059515D" w:rsidP="0059515D">
            <w:pPr>
              <w:spacing w:line="360" w:lineRule="auto"/>
              <w:rPr>
                <w:rFonts w:ascii="Times New Roman" w:hAnsi="Times New Roman" w:cs="Times New Roman"/>
              </w:rPr>
            </w:pPr>
            <w:r w:rsidRPr="00EE7901">
              <w:rPr>
                <w:rFonts w:ascii="Times New Roman" w:hAnsi="Times New Roman" w:cs="Times New Roman"/>
              </w:rPr>
              <w:t>$700</w:t>
            </w:r>
          </w:p>
        </w:tc>
        <w:tc>
          <w:tcPr>
            <w:tcW w:w="3117" w:type="dxa"/>
          </w:tcPr>
          <w:p w14:paraId="08AFD742" w14:textId="57C85918" w:rsidR="00B10C3B" w:rsidRPr="00EE7901" w:rsidRDefault="00B10C3B" w:rsidP="00B10C3B">
            <w:pPr>
              <w:spacing w:line="360" w:lineRule="auto"/>
              <w:rPr>
                <w:rFonts w:ascii="Times New Roman" w:hAnsi="Times New Roman" w:cs="Times New Roman"/>
                <w:b/>
                <w:bCs/>
              </w:rPr>
            </w:pPr>
            <w:r w:rsidRPr="00EE7901">
              <w:rPr>
                <w:rFonts w:ascii="Times New Roman" w:hAnsi="Times New Roman" w:cs="Times New Roman"/>
                <w:b/>
                <w:bCs/>
              </w:rPr>
              <w:t>$</w:t>
            </w:r>
            <w:r w:rsidR="007C7EF7" w:rsidRPr="00EE7901">
              <w:rPr>
                <w:rFonts w:ascii="Times New Roman" w:hAnsi="Times New Roman" w:cs="Times New Roman"/>
                <w:b/>
                <w:bCs/>
              </w:rPr>
              <w:t>700</w:t>
            </w:r>
          </w:p>
        </w:tc>
      </w:tr>
    </w:tbl>
    <w:p w14:paraId="4B9ABB1C" w14:textId="77777777" w:rsidR="00B10C3B" w:rsidRPr="00EE7901" w:rsidRDefault="00B10C3B" w:rsidP="00B10C3B">
      <w:pPr>
        <w:spacing w:after="0" w:line="360" w:lineRule="auto"/>
        <w:rPr>
          <w:rFonts w:ascii="Times New Roman" w:hAnsi="Times New Roman" w:cs="Times New Roman"/>
        </w:rPr>
      </w:pPr>
    </w:p>
    <w:p w14:paraId="6D38A60D" w14:textId="77777777" w:rsidR="00E7779D" w:rsidRPr="00EE7901" w:rsidRDefault="00E7779D" w:rsidP="00B10C3B">
      <w:pPr>
        <w:spacing w:after="0" w:line="360" w:lineRule="auto"/>
        <w:rPr>
          <w:rFonts w:ascii="Times New Roman" w:hAnsi="Times New Roman" w:cs="Times New Roman"/>
        </w:rPr>
      </w:pPr>
    </w:p>
    <w:p w14:paraId="666EFB76" w14:textId="77777777" w:rsidR="0045728E" w:rsidRPr="00EE7901" w:rsidRDefault="0045728E" w:rsidP="00B10C3B">
      <w:pPr>
        <w:spacing w:after="0" w:line="360" w:lineRule="auto"/>
        <w:rPr>
          <w:rFonts w:ascii="Times New Roman" w:hAnsi="Times New Roman" w:cs="Times New Roman"/>
        </w:rPr>
      </w:pPr>
    </w:p>
    <w:sectPr w:rsidR="0045728E" w:rsidRPr="00EE79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5DBE" w14:textId="77777777" w:rsidR="009F5576" w:rsidRDefault="009F5576" w:rsidP="00EE36A1">
      <w:pPr>
        <w:spacing w:after="0" w:line="240" w:lineRule="auto"/>
      </w:pPr>
      <w:r>
        <w:separator/>
      </w:r>
    </w:p>
  </w:endnote>
  <w:endnote w:type="continuationSeparator" w:id="0">
    <w:p w14:paraId="192EEB73" w14:textId="77777777" w:rsidR="009F5576" w:rsidRDefault="009F5576" w:rsidP="00EE3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6D464" w14:textId="77777777" w:rsidR="009F5576" w:rsidRDefault="009F5576" w:rsidP="00EE36A1">
      <w:pPr>
        <w:spacing w:after="0" w:line="240" w:lineRule="auto"/>
      </w:pPr>
      <w:r>
        <w:separator/>
      </w:r>
    </w:p>
  </w:footnote>
  <w:footnote w:type="continuationSeparator" w:id="0">
    <w:p w14:paraId="147BF0A4" w14:textId="77777777" w:rsidR="009F5576" w:rsidRDefault="009F5576" w:rsidP="00EE3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D220E"/>
    <w:multiLevelType w:val="multilevel"/>
    <w:tmpl w:val="74CE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55778"/>
    <w:multiLevelType w:val="multilevel"/>
    <w:tmpl w:val="74CE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65A44"/>
    <w:multiLevelType w:val="hybridMultilevel"/>
    <w:tmpl w:val="7A80E9B6"/>
    <w:lvl w:ilvl="0" w:tplc="A5AC2FF6">
      <w:numFmt w:val="bullet"/>
      <w:lvlText w:val="-"/>
      <w:lvlJc w:val="left"/>
      <w:pPr>
        <w:ind w:left="432" w:hanging="360"/>
      </w:pPr>
      <w:rPr>
        <w:rFonts w:ascii="Arial" w:eastAsiaTheme="minorHAnsi"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16cid:durableId="1752852583">
    <w:abstractNumId w:val="0"/>
  </w:num>
  <w:num w:numId="2" w16cid:durableId="1496141097">
    <w:abstractNumId w:val="1"/>
  </w:num>
  <w:num w:numId="3" w16cid:durableId="627466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C3B"/>
    <w:rsid w:val="000A6E0C"/>
    <w:rsid w:val="000F69D8"/>
    <w:rsid w:val="0012296E"/>
    <w:rsid w:val="00147EB7"/>
    <w:rsid w:val="00167E42"/>
    <w:rsid w:val="001C1E7E"/>
    <w:rsid w:val="002A13D0"/>
    <w:rsid w:val="002D3041"/>
    <w:rsid w:val="0034661E"/>
    <w:rsid w:val="00373FC9"/>
    <w:rsid w:val="003B3C6A"/>
    <w:rsid w:val="003C613E"/>
    <w:rsid w:val="003D1D98"/>
    <w:rsid w:val="003F3324"/>
    <w:rsid w:val="004031CD"/>
    <w:rsid w:val="0045728E"/>
    <w:rsid w:val="004C691F"/>
    <w:rsid w:val="00545C70"/>
    <w:rsid w:val="0059515D"/>
    <w:rsid w:val="00613244"/>
    <w:rsid w:val="00616B52"/>
    <w:rsid w:val="00652FD9"/>
    <w:rsid w:val="006903C2"/>
    <w:rsid w:val="006B1263"/>
    <w:rsid w:val="006C51B5"/>
    <w:rsid w:val="006E1DBD"/>
    <w:rsid w:val="00766655"/>
    <w:rsid w:val="007C7EF7"/>
    <w:rsid w:val="007D14CC"/>
    <w:rsid w:val="007D5B87"/>
    <w:rsid w:val="00865CAB"/>
    <w:rsid w:val="00866043"/>
    <w:rsid w:val="00880B8C"/>
    <w:rsid w:val="008E052C"/>
    <w:rsid w:val="008E0BC5"/>
    <w:rsid w:val="00925A92"/>
    <w:rsid w:val="00973249"/>
    <w:rsid w:val="00981D57"/>
    <w:rsid w:val="0099016E"/>
    <w:rsid w:val="009D53F7"/>
    <w:rsid w:val="009E7497"/>
    <w:rsid w:val="009F5576"/>
    <w:rsid w:val="00A4652F"/>
    <w:rsid w:val="00A84D5E"/>
    <w:rsid w:val="00B035A5"/>
    <w:rsid w:val="00B06DB6"/>
    <w:rsid w:val="00B10C3B"/>
    <w:rsid w:val="00B57107"/>
    <w:rsid w:val="00B94EEB"/>
    <w:rsid w:val="00B96083"/>
    <w:rsid w:val="00BE7856"/>
    <w:rsid w:val="00C77256"/>
    <w:rsid w:val="00DD2894"/>
    <w:rsid w:val="00DF66D2"/>
    <w:rsid w:val="00E35763"/>
    <w:rsid w:val="00E7779D"/>
    <w:rsid w:val="00ED5E38"/>
    <w:rsid w:val="00EE36A1"/>
    <w:rsid w:val="00EE7901"/>
    <w:rsid w:val="00F129D4"/>
    <w:rsid w:val="00F22EE3"/>
    <w:rsid w:val="00F764A4"/>
    <w:rsid w:val="00F87F7F"/>
    <w:rsid w:val="00FA4ECB"/>
    <w:rsid w:val="00FF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86C4"/>
  <w15:chartTrackingRefBased/>
  <w15:docId w15:val="{DD43CE78-4B25-4BA5-A0F5-240399F5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C3B"/>
    <w:rPr>
      <w:rFonts w:eastAsiaTheme="majorEastAsia" w:cstheme="majorBidi"/>
      <w:color w:val="272727" w:themeColor="text1" w:themeTint="D8"/>
    </w:rPr>
  </w:style>
  <w:style w:type="paragraph" w:styleId="Title">
    <w:name w:val="Title"/>
    <w:basedOn w:val="Normal"/>
    <w:next w:val="Normal"/>
    <w:link w:val="TitleChar"/>
    <w:uiPriority w:val="10"/>
    <w:qFormat/>
    <w:rsid w:val="00B10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C3B"/>
    <w:pPr>
      <w:spacing w:before="160"/>
      <w:jc w:val="center"/>
    </w:pPr>
    <w:rPr>
      <w:i/>
      <w:iCs/>
      <w:color w:val="404040" w:themeColor="text1" w:themeTint="BF"/>
    </w:rPr>
  </w:style>
  <w:style w:type="character" w:customStyle="1" w:styleId="QuoteChar">
    <w:name w:val="Quote Char"/>
    <w:basedOn w:val="DefaultParagraphFont"/>
    <w:link w:val="Quote"/>
    <w:uiPriority w:val="29"/>
    <w:rsid w:val="00B10C3B"/>
    <w:rPr>
      <w:i/>
      <w:iCs/>
      <w:color w:val="404040" w:themeColor="text1" w:themeTint="BF"/>
    </w:rPr>
  </w:style>
  <w:style w:type="paragraph" w:styleId="ListParagraph">
    <w:name w:val="List Paragraph"/>
    <w:basedOn w:val="Normal"/>
    <w:uiPriority w:val="34"/>
    <w:qFormat/>
    <w:rsid w:val="00B10C3B"/>
    <w:pPr>
      <w:ind w:left="720"/>
      <w:contextualSpacing/>
    </w:pPr>
  </w:style>
  <w:style w:type="character" w:styleId="IntenseEmphasis">
    <w:name w:val="Intense Emphasis"/>
    <w:basedOn w:val="DefaultParagraphFont"/>
    <w:uiPriority w:val="21"/>
    <w:qFormat/>
    <w:rsid w:val="00B10C3B"/>
    <w:rPr>
      <w:i/>
      <w:iCs/>
      <w:color w:val="0F4761" w:themeColor="accent1" w:themeShade="BF"/>
    </w:rPr>
  </w:style>
  <w:style w:type="paragraph" w:styleId="IntenseQuote">
    <w:name w:val="Intense Quote"/>
    <w:basedOn w:val="Normal"/>
    <w:next w:val="Normal"/>
    <w:link w:val="IntenseQuoteChar"/>
    <w:uiPriority w:val="30"/>
    <w:qFormat/>
    <w:rsid w:val="00B10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C3B"/>
    <w:rPr>
      <w:i/>
      <w:iCs/>
      <w:color w:val="0F4761" w:themeColor="accent1" w:themeShade="BF"/>
    </w:rPr>
  </w:style>
  <w:style w:type="character" w:styleId="IntenseReference">
    <w:name w:val="Intense Reference"/>
    <w:basedOn w:val="DefaultParagraphFont"/>
    <w:uiPriority w:val="32"/>
    <w:qFormat/>
    <w:rsid w:val="00B10C3B"/>
    <w:rPr>
      <w:b/>
      <w:bCs/>
      <w:smallCaps/>
      <w:color w:val="0F4761" w:themeColor="accent1" w:themeShade="BF"/>
      <w:spacing w:val="5"/>
    </w:rPr>
  </w:style>
  <w:style w:type="character" w:styleId="Hyperlink">
    <w:name w:val="Hyperlink"/>
    <w:basedOn w:val="DefaultParagraphFont"/>
    <w:uiPriority w:val="99"/>
    <w:unhideWhenUsed/>
    <w:rsid w:val="00B10C3B"/>
    <w:rPr>
      <w:color w:val="467886" w:themeColor="hyperlink"/>
      <w:u w:val="single"/>
    </w:rPr>
  </w:style>
  <w:style w:type="character" w:styleId="UnresolvedMention">
    <w:name w:val="Unresolved Mention"/>
    <w:basedOn w:val="DefaultParagraphFont"/>
    <w:uiPriority w:val="99"/>
    <w:semiHidden/>
    <w:unhideWhenUsed/>
    <w:rsid w:val="00B10C3B"/>
    <w:rPr>
      <w:color w:val="605E5C"/>
      <w:shd w:val="clear" w:color="auto" w:fill="E1DFDD"/>
    </w:rPr>
  </w:style>
  <w:style w:type="table" w:styleId="TableGrid">
    <w:name w:val="Table Grid"/>
    <w:basedOn w:val="TableNormal"/>
    <w:uiPriority w:val="39"/>
    <w:rsid w:val="00B10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36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6A1"/>
  </w:style>
  <w:style w:type="paragraph" w:styleId="Footer">
    <w:name w:val="footer"/>
    <w:basedOn w:val="Normal"/>
    <w:link w:val="FooterChar"/>
    <w:uiPriority w:val="99"/>
    <w:unhideWhenUsed/>
    <w:rsid w:val="00EE3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0/23311886.2026.26296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Johnson</dc:creator>
  <cp:keywords/>
  <dc:description/>
  <cp:lastModifiedBy>Rachel Kempfe</cp:lastModifiedBy>
  <cp:revision>2</cp:revision>
  <dcterms:created xsi:type="dcterms:W3CDTF">2026-04-17T01:26:00Z</dcterms:created>
  <dcterms:modified xsi:type="dcterms:W3CDTF">2026-04-17T01:26:00Z</dcterms:modified>
</cp:coreProperties>
</file>