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1.0.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Agentic AI Architecture &amp; Developer Platform Guide</w:t>
      </w:r>
    </w:p>
    <w:p>
      <w:pPr>
        <w:pStyle w:val="Subtitle"/>
        <w:jc w:val="center"/>
      </w:pPr>
      <w:r>
        <w:rPr/>
        <w:t>Book v1.0.0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v1.0.0</w:t>
      </w:r>
    </w:p>
    <w:p>
      <w:pPr>
        <w:pStyle w:val="Subtitle"/>
        <w:jc w:val="center"/>
      </w:pPr>
      <w:r>
        <w:rPr/>
        <w:t>Book v1.0.0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v1.0.0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 VIII, X, XI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 X–XII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VI–XII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III–VI, IX–X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VII, VIII, XI and Appendices F, M–O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IX, X, XII and Appendices B, O</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w:t>
      </w:r>
    </w:p>
    <w:p>
      <w:pPr>
        <w:pStyle w:val="ListNumber"/>
        <w:keepLines/>
      </w:pPr>
      <w:r>
        <w:rPr/>
        <w:t>Enterprise Agentic AI Reference Architecture</w:t>
      </w:r>
    </w:p>
    <w:p>
      <w:pPr>
        <w:pStyle w:val="ListNumber"/>
        <w:keepLines/>
      </w:pPr>
      <w:r>
        <w:rPr/>
        <w:t>Platform Boundaries, APIs, and Data Models</w:t>
      </w:r>
    </w:p>
    <w:p>
      <w:pPr>
        <w:pStyle w:val="Heading2"/>
        <w:keepNext/>
      </w:pPr>
      <w:r>
        <w:rPr/>
        <w:t>Part III — Agentic Developer Platform &amp; SDK</w:t>
      </w:r>
    </w:p>
    <w:p>
      <w:pPr>
        <w:pStyle w:val="ListNumber"/>
        <w:keepLines/>
      </w:pPr>
      <w:r>
        <w:rPr/>
        <w:t>Agentic Developer Platform and SDK</w:t>
      </w:r>
    </w:p>
    <w:p>
      <w:pPr>
        <w:pStyle w:val="ListNumber"/>
        <w:keepLines/>
      </w:pPr>
      <w:r>
        <w:rPr/>
        <w:t>Developer Experience, Testing,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Heading2"/>
        <w:keepNext/>
      </w:pPr>
      <w:r>
        <w:rPr/>
        <w:t>Part V — Anti-Patterns</w:t>
      </w:r>
    </w:p>
    <w:p>
      <w:pPr>
        <w:pStyle w:val="ListNumber"/>
        <w:keepLines/>
      </w:pPr>
      <w:r>
        <w:rPr/>
        <w:t>Enterprise Anti-Pattern Catalog</w:t>
      </w:r>
    </w:p>
    <w:p>
      <w:pPr>
        <w:pStyle w:val="Heading2"/>
        <w:keepNext/>
      </w:pPr>
      <w:r>
        <w:rPr/>
        <w:t>Part VI — Multi-Agent &amp; Platform Integration</w:t>
      </w:r>
    </w:p>
    <w:p>
      <w:pPr>
        <w:pStyle w:val="ListNumber"/>
        <w:keepLines/>
      </w:pPr>
      <w:r>
        <w:rPr/>
        <w:t>Supervisor/Worker and Multi-Agent Collaboration</w:t>
      </w:r>
    </w:p>
    <w:p>
      <w:pPr>
        <w:pStyle w:val="ListNumber"/>
        <w:keepLines/>
      </w:pPr>
      <w:r>
        <w:rPr/>
        <w:t>MCP, A2A, and External Integration</w:t>
      </w:r>
    </w:p>
    <w:p>
      <w:pPr>
        <w:pStyle w:val="Heading2"/>
        <w:keepNext/>
      </w:pPr>
      <w:r>
        <w:rPr/>
        <w:t>Part VII — LLM Gateway</w:t>
      </w:r>
    </w:p>
    <w:p>
      <w:pPr>
        <w:pStyle w:val="ListNumber"/>
        <w:keepLines/>
      </w:pPr>
      <w:r>
        <w:rPr/>
        <w:t>LLM Gateway and Model Control Plane</w:t>
      </w:r>
    </w:p>
    <w:p>
      <w:pPr>
        <w:pStyle w:val="Heading2"/>
        <w:keepNext/>
      </w:pPr>
      <w:r>
        <w:rPr/>
        <w:t>Part VIII — Security &amp; Guardrails</w:t>
      </w:r>
    </w:p>
    <w:p>
      <w:pPr>
        <w:pStyle w:val="ListNumber"/>
        <w:keepLines/>
      </w:pPr>
      <w:r>
        <w:rPr/>
        <w:t>Agentic AI Security and Guardrails Architecture</w:t>
      </w:r>
    </w:p>
    <w:p>
      <w:pPr>
        <w:pStyle w:val="ListNumber"/>
        <w:keepLines/>
      </w:pPr>
      <w:r>
        <w:rPr/>
        <w:t>Context Engineering, RAG, Memory, and State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IX — Observability &amp; Evaluation</w:t>
      </w:r>
    </w:p>
    <w:p>
      <w:pPr>
        <w:pStyle w:val="ListNumber"/>
        <w:keepLines/>
      </w:pPr>
      <w:r>
        <w:rPr/>
        <w:t>Observability and Tracing with MLflow</w:t>
      </w:r>
    </w:p>
    <w:p>
      <w:pPr>
        <w:pStyle w:val="ListNumber"/>
        <w:keepLines/>
      </w:pPr>
      <w:r>
        <w:rPr/>
        <w:t>Evaluation, Testing, and Debugging with MLflow</w:t>
      </w:r>
    </w:p>
    <w:p>
      <w:pPr>
        <w:pStyle w:val="Heading2"/>
        <w:keepNext/>
      </w:pPr>
      <w:r>
        <w:rPr/>
        <w:t>Part X — Continuous Learning</w:t>
      </w:r>
    </w:p>
    <w:p>
      <w:pPr>
        <w:pStyle w:val="ListNumber"/>
        <w:keepLines/>
      </w:pPr>
      <w:r>
        <w:rPr/>
        <w:t>Continuous Learning and Improvement Architecture</w:t>
      </w:r>
    </w:p>
    <w:p>
      <w:pPr>
        <w:pStyle w:val="Heading2"/>
        <w:keepNext/>
      </w:pPr>
      <w:r>
        <w:rPr/>
        <w:t>Part XI — Governance</w:t>
      </w:r>
    </w:p>
    <w:p>
      <w:pPr>
        <w:pStyle w:val="ListNumber"/>
        <w:keepLines/>
      </w:pPr>
      <w:r>
        <w:rPr/>
        <w:t>Governance, Risk, and Operating Model</w:t>
      </w:r>
    </w:p>
    <w:p>
      <w:pPr>
        <w:pStyle w:val="Heading2"/>
        <w:keepNext/>
      </w:pPr>
      <w:r>
        <w:rPr/>
        <w:t>Part XII — Deployment &amp; Production Operations</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B–O. Runbooks, contracts, framework landscape, research, assurance, implementation, grounding,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 xml:space="preserve">A language model maps input tokens to output tokens. A tool-using model can propose structured interaction with the environment. An agent chooses among steps using observations. An </w:t>
      </w:r>
      <w:r>
        <w:rPr>
          <w:b/>
        </w:rPr>
        <w:t>enterprise agentic system</w:t>
      </w:r>
      <w:r>
        <w:rPr/>
        <w:t xml:space="preserve"> adds everything needed to make those choices safe and operational: durable state, identity, authorization, bounded resources, external-effect semantics, evidence, human control, deployment compatibility, evaluation, and incident recovery.</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keepNext/>
      </w:pPr>
      <w:r>
        <w:rPr/>
        <w:t>Anti-pattern — the autonomous monolith</w:t>
      </w:r>
    </w:p>
    <w:p>
      <w:pPr/>
      <w:r>
        <w:rP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keepNext/>
      </w:pPr>
      <w:r>
        <w:rPr/>
        <w:t>The production problem</w:t>
      </w:r>
    </w:p>
    <w:p>
      <w:pPr/>
      <w:r>
        <w:rP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keepLines/>
      </w:pPr>
      <w:r>
        <w:rPr>
          <w:b/>
        </w:rPr>
        <w:t>May this principal perform this action on this resource now?</w:t>
      </w:r>
    </w:p>
    <w:p>
      <w:pPr>
        <w:pStyle w:val="ListNumber"/>
        <w:keepLines/>
      </w:pPr>
      <w:r>
        <w:rPr>
          <w:b/>
        </w:rPr>
        <w:t>Can this step be retried, resumed, canceled, or compensated safely?</w:t>
      </w:r>
    </w:p>
    <w:p>
      <w:pPr>
        <w:pStyle w:val="ListNumber"/>
        <w:keepLines/>
      </w:pPr>
      <w:r>
        <w:rPr>
          <w:b/>
        </w:rPr>
        <w:t>Can an operator later reconstruct what happened, why, under which versions and permissions?</w:t>
      </w:r>
    </w:p>
    <w:p>
      <w:pPr>
        <w:pStyle w:val="Heading3"/>
        <w:keepNext/>
      </w:pPr>
      <w:r>
        <w:rPr/>
        <w:t>Core problem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M.</w:t>
      </w:r>
    </w:p>
    <w:p>
      <w:pPr>
        <w:pStyle w:val="Heading2"/>
        <w:keepNext/>
      </w:pPr>
      <w:r>
        <w:rPr/>
        <w:t>Implementation reference</w:t>
      </w:r>
    </w:p>
    <w:p>
      <w:pPr>
        <w:pStyle w:val="Heading3"/>
        <w:keepNext/>
      </w:pPr>
      <w:r>
        <w:rPr/>
        <w:t>Provider-neutral agent-step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 IF AN OPERATION MUST BE CORRECT EVERY TIME, SURVIVE A CRASH, ENFO</w:t>
            </w:r>
            <w:r>
              <w:rPr/>
              <w:t xml:space="preserve">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M.</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ToolExecutionConfig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retrieve_supplier_policy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country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"Retrieve authorized policy through the enterprise Tool Gateway."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18A84"/>
                <w:sz w:val="14"/>
              </w:rPr>
              <w:t>"supplier.policy.read.v2"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"country"</w:t>
            </w:r>
            <w:r>
              <w:rPr>
                <w:rFonts w:ascii="Courier New" w:hAnsi="Courier New"/>
                <w:color w:val="19324D"/>
                <w:sz w:val="14"/>
              </w:rPr>
              <w:t xml:space="preserve">: </w:t>
            </w:r>
            <w:r>
              <w:rPr>
                <w:rFonts w:ascii="Courier New" w:hAnsi="Courier New"/>
                <w:color w:val="19324D"/>
                <w:sz w:val="14"/>
              </w:rPr>
              <w:t>country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analyst"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"Analyze only supplied authorized evidence. Return a structured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"disposition. Never claim that an external write occurred."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retrieve_supplier_policy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StepDisposition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M.</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w:t>
            </w:r>
          </w:p>
          <w:p>
            <w:pPr>
              <w:spacing w:before="360"/>
              <w:jc w:val="center"/>
            </w:pPr>
            <w:r>
              <w:rPr>
                <w:rFonts w:ascii="Arial" w:hAnsi="Arial"/>
                <w:color w:val="D8E8F5"/>
                <w:sz w:val="22"/>
              </w:rPr>
              <w:t>This Part converts the foundational invariants into an enterprise system of record. It assigns ownership across experience, application, runtime, knowledge, gateway, security, governance, and operations planes, then specifies the APIs and records that let those planes evolve independently.</w:t>
            </w:r>
          </w:p>
        </w:tc>
      </w:tr>
    </w:tbl>
    <w:p>
      <w:r>
        <w:br w:type="page"/>
      </w:r>
    </w:p>
    <w:p>
      <w:pPr>
        <w:pStyle w:val="Heading1"/>
        <w:keepNext/>
        <w:pageBreakBefore w:val="0"/>
      </w:pPr>
      <w:r>
        <w:rPr/>
        <w:t>04 — Enterprise Agentic AI Reference Architecture</w:t>
      </w: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3479800"/>
            <wp:docPr id="3" name="Picture 3"/>
            <wp:cNvGraphicFramePr>
              <a:graphicFrameLocks noChangeAspect="1"/>
            </wp:cNvGraphicFramePr>
            <a:graphic>
              <a:graphicData uri="http://schemas.openxmlformats.org/drawingml/2006/picture">
                <pic:pic>
                  <pic:nvPicPr>
                    <pic:cNvPr id="0" name="reference-architecture.png"/>
                    <pic:cNvPicPr/>
                  </pic:nvPicPr>
                  <pic:blipFill>
                    <a:blip r:embed="rId15"/>
                    <a:stretch>
                      <a:fillRect/>
                    </a:stretch>
                  </pic:blipFill>
                  <pic:spPr>
                    <a:xfrm>
                      <a:off x="0" y="0"/>
                      <a:ext cx="6263640" cy="3479800"/>
                    </a:xfrm>
                    <a:prstGeom prst="rect"/>
                  </pic:spPr>
                </pic:pic>
              </a:graphicData>
            </a:graphic>
          </wp:inline>
        </w:drawing>
      </w:r>
    </w:p>
    <w:p>
      <w:pPr>
        <w:pStyle w:val="Caption"/>
        <w:jc w:val="center"/>
      </w:pPr>
      <w:r>
        <w:rP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3479800"/>
            <wp:docPr id="4" name="Picture 4"/>
            <wp:cNvGraphicFramePr>
              <a:graphicFrameLocks noChangeAspect="1"/>
            </wp:cNvGraphicFramePr>
            <a:graphic>
              <a:graphicData uri="http://schemas.openxmlformats.org/drawingml/2006/picture">
                <pic:pic>
                  <pic:nvPicPr>
                    <pic:cNvPr id="0" name="request-sequence.png"/>
                    <pic:cNvPicPr/>
                  </pic:nvPicPr>
                  <pic:blipFill>
                    <a:blip r:embed="rId16"/>
                    <a:stretch>
                      <a:fillRect/>
                    </a:stretch>
                  </pic:blipFill>
                  <pic:spPr>
                    <a:xfrm>
                      <a:off x="0" y="0"/>
                      <a:ext cx="6263640" cy="347980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Heading2"/>
        <w:keepNext/>
      </w:pPr>
      <w:r>
        <w:rPr/>
        <w:t>Transition to Chapter 5</w:t>
      </w:r>
    </w:p>
    <w:p>
      <w:pPr/>
      <w:r>
        <w:rPr/>
        <w:t>The planes are visible; Chapter 5 turns their responsibilities into APIs, records, event envelopes, and trust boundaries.</w:t>
      </w:r>
    </w:p>
    <w:p>
      <w:pPr>
        <w:pStyle w:val="Heading1"/>
        <w:keepNext/>
        <w:pageBreakBefore/>
      </w:pPr>
      <w:r>
        <w:rPr/>
        <w:t>05 — Platform Boundaries, APIs, and Data Models</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M.</w:t>
      </w:r>
    </w:p>
    <w:p>
      <w:pPr>
        <w:pStyle w:val="Heading2"/>
        <w:keepNext/>
      </w:pPr>
      <w:r>
        <w:rPr/>
        <w:t>Implementation reference</w:t>
      </w:r>
    </w:p>
    <w:p>
      <w:pPr>
        <w:pStyle w:val="Heading3"/>
        <w:keepNext/>
      </w:pPr>
      <w:r>
        <w:rPr/>
        <w:t>Core platform data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6</w:t>
      </w:r>
    </w:p>
    <w:p>
      <w:pPr/>
      <w:r>
        <w:rPr/>
        <w:t>The reference architecture is now concrete enough to productize; Chapter 6 defines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tc>
      </w:tr>
    </w:tbl>
    <w:p>
      <w:r>
        <w:br w:type="page"/>
      </w:r>
    </w:p>
    <w:p>
      <w:pPr>
        <w:pStyle w:val="Heading1"/>
        <w:keepNext/>
        <w:pageBreakBefore w:val="0"/>
      </w:pPr>
      <w:r>
        <w:rPr/>
        <w:t>06 — Agentic Developer Platform and SDK</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developer-platform.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rPr/>
        <w:t>Figure 6-1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portability.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rPr/>
        <w:t>Figure 6-2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developer-lifecycle.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rPr/>
        <w:t>Figure 6-3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Transition to Chapter 7</w:t>
      </w:r>
    </w:p>
    <w:p>
      <w:pPr/>
      <w:r>
        <w:rPr/>
        <w:t>With platform responsibilities separated from application logic, Chapter 7 specifies the developer workflow that makes the paved road usable.</w:t>
      </w:r>
    </w:p>
    <w:p>
      <w:pPr>
        <w:pStyle w:val="Heading1"/>
        <w:keepNext/>
        <w:pageBreakBefore/>
      </w:pPr>
      <w:r>
        <w:rPr/>
        <w:t>07 — Developer Experience, Testing, and Delivery Lifecycle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dx-golden-path.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rPr/>
        <w:t>Figure 7-1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3479800"/>
            <wp:docPr id="9" name="Picture 9"/>
            <wp:cNvGraphicFramePr>
              <a:graphicFrameLocks noChangeAspect="1"/>
            </wp:cNvGraphicFramePr>
            <a:graphic>
              <a:graphicData uri="http://schemas.openxmlformats.org/drawingml/2006/picture">
                <pic:pic>
                  <pic:nvPicPr>
                    <pic:cNvPr id="0" name="test-pyramid.png"/>
                    <pic:cNvPicPr/>
                  </pic:nvPicPr>
                  <pic:blipFill>
                    <a:blip r:embed="rId21"/>
                    <a:stretch>
                      <a:fillRect/>
                    </a:stretch>
                  </pic:blipFill>
                  <pic:spPr>
                    <a:xfrm>
                      <a:off x="0" y="0"/>
                      <a:ext cx="6263640" cy="3479800"/>
                    </a:xfrm>
                    <a:prstGeom prst="rect"/>
                  </pic:spPr>
                </pic:pic>
              </a:graphicData>
            </a:graphic>
          </wp:inline>
        </w:drawing>
      </w:r>
    </w:p>
    <w:p>
      <w:pPr>
        <w:pStyle w:val="Caption"/>
        <w:jc w:val="center"/>
      </w:pPr>
      <w:r>
        <w:rPr/>
        <w:t>Figure 7-2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Troubleshooting</w:t>
      </w:r>
    </w:p>
    <w:p>
      <w:pPr/>
      <w:r>
        <w:rP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2"/>
        <w:keepNext/>
      </w:pPr>
      <w:r>
        <w:rPr/>
        <w:t>Transition to Chapter 8</w:t>
      </w:r>
    </w:p>
    <w:p>
      <w:pPr/>
      <w:r>
        <w:rPr/>
        <w:t>The delivery path is established; Chapter 8 packages repeatable behavior as versioned Skills with explicit contracts and lifecycle controls.</w:t>
      </w:r>
    </w:p>
    <w:p>
      <w:pPr>
        <w:pStyle w:val="Heading1"/>
        <w:keepNext/>
        <w:pageBreakBefore/>
      </w:pPr>
      <w:r>
        <w:rPr/>
        <w:t>08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M.</w:t>
      </w:r>
    </w:p>
    <w:p>
      <w:pPr>
        <w:pStyle w:val="Heading2"/>
        <w:keepNext/>
      </w:pPr>
      <w:r>
        <w:rPr/>
        <w:t>Implementation reference</w:t>
      </w:r>
    </w:p>
    <w:p>
      <w:pPr>
        <w:pStyle w:val="Heading3"/>
        <w:keepNext/>
      </w:pPr>
      <w:r>
        <w:rPr/>
        <w:t>Skill manifest and resolver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_SEMVER</w:t>
            </w:r>
            <w:r>
              <w:rPr>
                <w:rFonts w:ascii="Courier New" w:hAnsi="Courier New"/>
                <w:color w:val="19324D"/>
                <w:sz w:val="14"/>
              </w:rPr>
              <w:t xml:space="preserve"> =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compile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r>
            <w:r>
              <w:rPr>
                <w:rFonts w:ascii="Courier New" w:hAnsi="Courier New"/>
                <w:color w:val="118A84"/>
                <w:sz w:val="14"/>
              </w:rPr>
              <w:t>"^(0|[1-9]\d*)\.(0|[1-9]\d*)\.(0|[1-9]\d*)"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r>
            <w:r>
              <w:rPr>
                <w:rFonts w:ascii="Courier New" w:hAnsi="Courier New"/>
                <w:color w:val="118A84"/>
                <w:sz w:val="14"/>
              </w:rPr>
              <w:t>"(?:-([0-9A-Za-z-]+(?:\.[0-9A-Za-z-]+)*))?"</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r>
            <w:r>
              <w:rPr>
                <w:rFonts w:ascii="Courier New" w:hAnsi="Courier New"/>
                <w:color w:val="118A84"/>
                <w:sz w:val="14"/>
              </w:rPr>
              <w:t>"(?:\+[0-9A-Za-z-]+(?:\.[0-9A-Za-z-]+)*)?$"</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 SemVer 2.0 precedence key; build metadata has no precedence."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match</w:t>
            </w:r>
            <w:r>
              <w:rPr>
                <w:rFonts w:ascii="Courier New" w:hAnsi="Courier New"/>
                <w:color w:val="19324D"/>
                <w:sz w:val="14"/>
              </w:rPr>
              <w:t xml:space="preserve"> = </w:t>
            </w:r>
            <w:r>
              <w:rPr>
                <w:rFonts w:ascii="Courier New" w:hAnsi="Courier New"/>
                <w:color w:val="19324D"/>
                <w:sz w:val="14"/>
              </w:rPr>
              <w:t>_SEMVER</w:t>
            </w:r>
            <w:r>
              <w:rPr>
                <w:rFonts w:ascii="Courier New" w:hAnsi="Courier New"/>
                <w:color w:val="19324D"/>
                <w:sz w:val="14"/>
              </w:rPr>
              <w:t>.</w:t>
            </w:r>
            <w:r>
              <w:rPr>
                <w:rFonts w:ascii="Courier New" w:hAnsi="Courier New"/>
                <w:color w:val="19324D"/>
                <w:sz w:val="14"/>
              </w:rPr>
              <w:t>fullmatch</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match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semantic version: {version}"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major</w:t>
            </w:r>
            <w:r>
              <w:rPr>
                <w:rFonts w:ascii="Courier New" w:hAnsi="Courier New"/>
                <w:color w:val="19324D"/>
                <w:sz w:val="14"/>
              </w:rPr>
              <w:t xml:space="preserve">, </w:t>
            </w:r>
            <w:r>
              <w:rPr>
                <w:rFonts w:ascii="Courier New" w:hAnsi="Courier New"/>
                <w:color w:val="19324D"/>
                <w:sz w:val="14"/>
              </w:rPr>
              <w:t>minor</w:t>
            </w:r>
            <w:r>
              <w:rPr>
                <w:rFonts w:ascii="Courier New" w:hAnsi="Courier New"/>
                <w:color w:val="19324D"/>
                <w:sz w:val="14"/>
              </w:rPr>
              <w:t xml:space="preserve">, </w:t>
            </w:r>
            <w:r>
              <w:rPr>
                <w:rFonts w:ascii="Courier New" w:hAnsi="Courier New"/>
                <w:color w:val="19324D"/>
                <w:sz w:val="14"/>
              </w:rPr>
              <w:t>patch</w:t>
            </w:r>
            <w:r>
              <w:rPr>
                <w:rFonts w:ascii="Courier New" w:hAnsi="Courier New"/>
                <w:color w:val="19324D"/>
                <w:sz w:val="14"/>
              </w:rPr>
              <w:t xml:space="preserve"> = (</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match</w:t>
            </w:r>
            <w:r>
              <w:rPr>
                <w:rFonts w:ascii="Courier New" w:hAnsi="Courier New"/>
                <w:color w:val="19324D"/>
                <w:sz w:val="14"/>
              </w:rPr>
              <w:t>.</w:t>
            </w:r>
            <w:r>
              <w:rPr>
                <w:rFonts w:ascii="Courier New" w:hAnsi="Courier New"/>
                <w:color w:val="19324D"/>
                <w:sz w:val="14"/>
              </w:rPr>
              <w:t>group</w:t>
            </w:r>
            <w:r>
              <w:rPr>
                <w:rFonts w:ascii="Courier New" w:hAnsi="Courier New"/>
                <w:color w:val="19324D"/>
                <w:sz w:val="14"/>
              </w:rPr>
              <w:t>(</w:t>
            </w:r>
            <w:r>
              <w:rPr>
                <w:rFonts w:ascii="Courier New" w:hAnsi="Courier New"/>
                <w:color w:val="19324D"/>
                <w:sz w:val="14"/>
              </w:rPr>
              <w:t>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prerelease</w:t>
            </w:r>
            <w:r>
              <w:rPr>
                <w:rFonts w:ascii="Courier New" w:hAnsi="Courier New"/>
                <w:color w:val="19324D"/>
                <w:sz w:val="14"/>
              </w:rPr>
              <w:t xml:space="preserve"> = </w:t>
            </w:r>
            <w:r>
              <w:rPr>
                <w:rFonts w:ascii="Courier New" w:hAnsi="Courier New"/>
                <w:b/>
                <w:color w:val="1769D2"/>
                <w:sz w:val="14"/>
              </w:rPr>
              <w:t>match</w:t>
            </w:r>
            <w:r>
              <w:rPr>
                <w:rFonts w:ascii="Courier New" w:hAnsi="Courier New"/>
                <w:color w:val="19324D"/>
                <w:sz w:val="14"/>
              </w:rPr>
              <w:t>.</w:t>
            </w:r>
            <w:r>
              <w:rPr>
                <w:rFonts w:ascii="Courier New" w:hAnsi="Courier New"/>
                <w:color w:val="19324D"/>
                <w:sz w:val="14"/>
              </w:rPr>
              <w:t>group</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prerelease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major</w:t>
            </w:r>
            <w:r>
              <w:rPr>
                <w:rFonts w:ascii="Courier New" w:hAnsi="Courier New"/>
                <w:color w:val="19324D"/>
                <w:sz w:val="14"/>
              </w:rPr>
              <w:t xml:space="preserve">, </w:t>
            </w:r>
            <w:r>
              <w:rPr>
                <w:rFonts w:ascii="Courier New" w:hAnsi="Courier New"/>
                <w:color w:val="19324D"/>
                <w:sz w:val="14"/>
              </w:rPr>
              <w:t>minor</w:t>
            </w:r>
            <w:r>
              <w:rPr>
                <w:rFonts w:ascii="Courier New" w:hAnsi="Courier New"/>
                <w:color w:val="19324D"/>
                <w:sz w:val="14"/>
              </w:rPr>
              <w:t xml:space="preserve">, </w:t>
            </w:r>
            <w:r>
              <w:rPr>
                <w:rFonts w:ascii="Courier New" w:hAnsi="Courier New"/>
                <w:color w:val="19324D"/>
                <w:sz w:val="14"/>
              </w:rPr>
              <w:t>patch</w:t>
            </w:r>
            <w:r>
              <w:rPr>
                <w:rFonts w:ascii="Courier New" w:hAnsi="Courier New"/>
                <w:color w:val="19324D"/>
                <w:sz w:val="14"/>
              </w:rPr>
              <w:t xml:space="preserve">, </w:t>
            </w:r>
            <w:r>
              <w:rPr>
                <w:rFonts w:ascii="Courier New" w:hAnsi="Courier New"/>
                <w:color w:val="19324D"/>
                <w:sz w:val="14"/>
              </w:rPr>
              <w:t>1</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identifier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prerelease</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identifier</w:t>
            </w:r>
            <w:r>
              <w:rPr>
                <w:rFonts w:ascii="Courier New" w:hAnsi="Courier New"/>
                <w:color w:val="19324D"/>
                <w:sz w:val="14"/>
              </w:rPr>
              <w:t>.</w:t>
            </w:r>
            <w:r>
              <w:rPr>
                <w:rFonts w:ascii="Courier New" w:hAnsi="Courier New"/>
                <w:color w:val="19324D"/>
                <w:sz w:val="14"/>
              </w:rPr>
              <w:t>isdigit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identifier</w:t>
            </w:r>
            <w:r>
              <w:rPr>
                <w:rFonts w:ascii="Courier New" w:hAnsi="Courier New"/>
                <w:color w:val="19324D"/>
                <w:sz w:val="14"/>
              </w:rPr>
              <w:t xml:space="preserve">) &gt; </w:t>
            </w:r>
            <w:r>
              <w:rPr>
                <w:rFonts w:ascii="Courier New" w:hAnsi="Courier New"/>
                <w:color w:val="19324D"/>
                <w:sz w:val="14"/>
              </w:rPr>
              <w:t>1</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identifier</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"numeric prerelease identifiers cannot have leading zeroes"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identifier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identifier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major</w:t>
            </w:r>
            <w:r>
              <w:rPr>
                <w:rFonts w:ascii="Courier New" w:hAnsi="Courier New"/>
                <w:color w:val="19324D"/>
                <w:sz w:val="14"/>
              </w:rPr>
              <w:t xml:space="preserve">, </w:t>
            </w:r>
            <w:r>
              <w:rPr>
                <w:rFonts w:ascii="Courier New" w:hAnsi="Courier New"/>
                <w:color w:val="19324D"/>
                <w:sz w:val="14"/>
              </w:rPr>
              <w:t>minor</w:t>
            </w:r>
            <w:r>
              <w:rPr>
                <w:rFonts w:ascii="Courier New" w:hAnsi="Courier New"/>
                <w:color w:val="19324D"/>
                <w:sz w:val="14"/>
              </w:rPr>
              <w:t xml:space="preserve">, </w:t>
            </w:r>
            <w:r>
              <w:rPr>
                <w:rFonts w:ascii="Courier New" w:hAnsi="Courier New"/>
                <w:color w:val="19324D"/>
                <w:sz w:val="14"/>
              </w:rPr>
              <w:t>patch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identifiers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knowledge_refs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validate_digest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 xml:space="preserve">, </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expected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"skill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__setattr__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9</w:t>
      </w:r>
    </w:p>
    <w:p>
      <w:pPr/>
      <w:r>
        <w:rPr/>
        <w:t>Individual Skills are governable; Chapter 9 composes them into domain packs without dissolving ownership or compatibility boundaries.</w:t>
      </w:r>
    </w:p>
    <w:p>
      <w:pPr>
        <w:pStyle w:val="Heading1"/>
        <w:keepNext/>
        <w:pageBreakBefore/>
      </w:pPr>
      <w:r>
        <w:rPr/>
        <w:t>09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M.</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10</w:t>
      </w:r>
    </w:p>
    <w:p>
      <w:pPr/>
      <w:r>
        <w:rPr/>
        <w:t>The platform and capability model are complete; Chapter 10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w:t>
            </w:r>
          </w:p>
          <w:p>
            <w:pPr>
              <w:spacing w:before="360"/>
              <w:jc w:val="center"/>
            </w:pPr>
            <w:r>
              <w:rPr>
                <w:rFonts w:ascii="Arial" w:hAnsi="Arial"/>
                <w:color w:val="D8E8F5"/>
                <w:sz w:val="22"/>
              </w:rPr>
              <w:t>This Part selects the smallest topology that resolves the uncertainty at hand. The chapters progress from bounded reason–act loops through routing, planning, evaluation, human control, durable execution, and a cross-category decision catalog.</w:t>
            </w:r>
          </w:p>
        </w:tc>
      </w:tr>
    </w:tbl>
    <w:p>
      <w:r>
        <w:br w:type="page"/>
      </w:r>
    </w:p>
    <w:p>
      <w:pPr>
        <w:pStyle w:val="Heading1"/>
        <w:keepNext/>
        <w:pageBreakBefore w:val="0"/>
      </w:pPr>
      <w:r>
        <w:rPr/>
        <w:t>10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M.</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pStyle w:val="Heading3"/>
        <w:keepNext/>
      </w:pPr>
      <w:r>
        <w:rPr/>
        <w:t>Bounded ReAct controller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4</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maximum_identical_observations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__post_init__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&lt;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"all ReAct limits must be positive"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11</w:t>
      </w:r>
    </w:p>
    <w:p>
      <w:pPr/>
      <w:r>
        <w:rPr/>
        <w:t>A bounded reason–act loop handles local uncertainty; Chapter 11 adds routing and handoff when known paths or specialists should own the work.</w:t>
      </w:r>
    </w:p>
    <w:p>
      <w:pPr>
        <w:pStyle w:val="Heading1"/>
        <w:keepNext/>
        <w:pageBreakBefore/>
      </w:pPr>
      <w:r>
        <w:rPr/>
        <w:t>11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M.</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12</w:t>
      </w:r>
    </w:p>
    <w:p>
      <w:pPr/>
      <w:r>
        <w:rPr/>
        <w:t>Routing selects among known capabilities; Chapter 12 addresses tasks whose decomposition must itself be proposed and validated.</w:t>
      </w:r>
    </w:p>
    <w:p>
      <w:pPr>
        <w:pStyle w:val="Heading1"/>
        <w:keepNext/>
        <w:pageBreakBefore/>
      </w:pPr>
      <w:r>
        <w:rPr/>
        <w:t>12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M.</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_SHA256</w:t>
            </w:r>
            <w:r>
              <w:rPr>
                <w:rFonts w:ascii="Courier New" w:hAnsi="Courier New"/>
                <w:color w:val="19324D"/>
                <w:sz w:val="14"/>
              </w:rPr>
              <w:t xml:space="preserve"> =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compile</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r>
            <w:r>
              <w:rPr>
                <w:rFonts w:ascii="Courier New" w:hAnsi="Courier New"/>
                <w:color w:val="118A84"/>
                <w:sz w:val="14"/>
              </w:rPr>
              <w:t>"^sha256:[0-9a-f]{64}$"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"Deterministic limits used to compile one candidate plan."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maximum_nodes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100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4</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__post_init__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&lt;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"maximum_cost_usd must be finite and non-negative"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 xml:space="preserve"> &lt;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"maximum_nodes must be positive"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"maximum_risk must be between 0 and 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fullmatch</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"policy_digest must be a canonical sha256 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canonical</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13</w:t>
      </w:r>
    </w:p>
    <w:p>
      <w:pPr/>
      <w:r>
        <w:rPr/>
        <w:t>Planning creates an executable structure; Chapter 13 adds independent evaluation and bounded revision without self-certification.</w:t>
      </w:r>
    </w:p>
    <w:p>
      <w:pPr>
        <w:pStyle w:val="Heading1"/>
        <w:keepNext/>
        <w:pageBreakBefore/>
      </w:pPr>
      <w:r>
        <w:rPr/>
        <w:t>13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M.</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14</w:t>
      </w:r>
    </w:p>
    <w:p>
      <w:pPr/>
      <w:r>
        <w:rPr/>
        <w:t>Automated evaluation can improve candidates; Chapter 14 identifies decisions that require explicit human authority, correction, or recourse.</w:t>
      </w:r>
    </w:p>
    <w:p>
      <w:pPr>
        <w:pStyle w:val="Heading1"/>
        <w:keepNext/>
        <w:pageBreakBefore/>
      </w:pPr>
      <w:r>
        <w:rPr/>
        <w:t>14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M.</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field_name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tzinfo</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utcoffset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"{field_name} must be timezone-aware"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"Exact action reviewed by an approver; immutable after presentation."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expiry_is_aware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15</w:t>
      </w:r>
    </w:p>
    <w:p>
      <w:pPr/>
      <w:r>
        <w:rPr/>
        <w:t>Human control introduces waits and resumptions; Chapter 15 makes those waits durable and gives long-running work explicit state and recovery.</w:t>
      </w:r>
    </w:p>
    <w:p>
      <w:pPr>
        <w:pStyle w:val="Heading1"/>
        <w:keepNext/>
        <w:pageBreakBefore/>
      </w:pPr>
      <w:r>
        <w:rPr/>
        <w:t>15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M.</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RunStatus</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TERMINAL</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RunStatus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kind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16</w:t>
      </w:r>
    </w:p>
    <w:p>
      <w:pPr/>
      <w:r>
        <w:rPr/>
        <w:t>The core patterns are now defined; Chapter 16 compares them across uncertainty, authority, latency, evidence, and operating cost.</w:t>
      </w:r>
    </w:p>
    <w:p>
      <w:pPr>
        <w:pStyle w:val="Heading1"/>
        <w:keepNext/>
        <w:pageBreakBefore/>
      </w:pPr>
      <w:r>
        <w:rPr/>
        <w:t>16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pattern-decision-tree.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17</w:t>
      </w:r>
    </w:p>
    <w:p>
      <w:pPr/>
      <w:r>
        <w:rPr/>
        <w:t>Pattern selection is easier when failure shapes are visible; Chapter 17 recasts recurring anti-patterns as measurable replacement decisions.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ANTI-PATTERNS</w:t>
            </w:r>
          </w:p>
          <w:p>
            <w:pPr>
              <w:spacing w:before="360"/>
              <w:jc w:val="center"/>
            </w:pPr>
            <w:r>
              <w:rPr>
                <w:rFonts w:ascii="Arial" w:hAnsi="Arial"/>
                <w:color w:val="D8E8F5"/>
                <w:sz w:val="22"/>
              </w:rPr>
              <w:t>This Part reverses the lens. It exposes recurring architecture shapes that hide authority, state, effects, security, reliability, or operating cost, and pairs each failure with a measurable replacement pattern.</w:t>
            </w:r>
          </w:p>
        </w:tc>
      </w:tr>
    </w:tbl>
    <w:p>
      <w:r>
        <w:br w:type="page"/>
      </w:r>
    </w:p>
    <w:p>
      <w:pPr>
        <w:pStyle w:val="Heading1"/>
        <w:keepNext/>
        <w:pageBreakBefore w:val="0"/>
      </w:pPr>
      <w:r>
        <w:rPr/>
        <w:t>17 — Enterprise Anti-Pattern Catalog</w:t>
      </w:r>
    </w:p>
    <w:p>
      <w:pPr>
        <w:pStyle w:val="Heading2"/>
        <w:keepNext/>
      </w:pPr>
      <w:r>
        <w:rPr/>
        <w:t>Field-guide method</w:t>
      </w:r>
    </w:p>
    <w:p>
      <w:pPr/>
      <w:r>
        <w:rPr/>
        <w:t>Anti-patterns are recurring system shapes. Diagnose the failed responsibility boundary, not only the symptom. Each card supplies the same replacement sequence.</w:t>
      </w:r>
    </w:p>
    <w:p>
      <w:pPr>
        <w:spacing w:before="80" w:after="40"/>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anti-before-after.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rPr/>
        <w:t>Figure 17-1 — Autonomous monolith versus governed agentic architecture</w:t>
      </w:r>
    </w:p>
    <w:p>
      <w:pPr>
        <w:pStyle w:val="Heading2"/>
        <w:keepNext/>
      </w:pPr>
      <w:r>
        <w:rPr/>
        <w:t>Reasoning</w:t>
      </w:r>
    </w:p>
    <w:p>
      <w:pPr>
        <w:pStyle w:val="Heading3"/>
        <w:keepNext/>
      </w:pPr>
      <w:r>
        <w:rPr/>
        <w:t>AP-01 — Autonomous monolith</w:t>
      </w:r>
    </w:p>
    <w:p>
      <w:pPr/>
      <w:r>
        <w:rPr>
          <w:b/>
        </w:rPr>
        <w:t>Problem.</w:t>
      </w:r>
      <w:r>
        <w:rPr/>
        <w:t xml:space="preserve"> A prototype mixes reasoning, state, credentials, tools, retries, approval, completion.</w:t>
      </w:r>
    </w:p>
    <w:p>
      <w:pPr/>
      <w:r>
        <w:rPr>
          <w:b/>
        </w:rPr>
        <w:t>Anti-Pattern.</w:t>
      </w:r>
      <w:r>
        <w:rPr/>
        <w:t xml:space="preserve"> One unconstrained agent owns end-to-end control.</w:t>
      </w:r>
    </w:p>
    <w:p>
      <w:pPr/>
      <w:r>
        <w:rPr>
          <w:b/>
        </w:rPr>
        <w:t>Why It Fails.</w:t>
      </w:r>
      <w:r>
        <w:rPr/>
        <w:t xml:space="preserve"> Probabilistic behavior becomes the control plane and failures cannot be isolated.</w:t>
      </w:r>
    </w:p>
    <w:p>
      <w:pPr/>
      <w:r>
        <w:rPr>
          <w:b/>
        </w:rPr>
        <w:t>Recommended Pattern.</w:t>
      </w:r>
      <w:r>
        <w:rPr/>
        <w:t xml:space="preserve"> Bounded runtime inside durable workflow, policy, tool/effect, acceptance services.</w:t>
      </w:r>
    </w:p>
    <w:p>
      <w:pPr/>
      <w:r>
        <w:rPr>
          <w:b/>
        </w:rPr>
        <w:t>Architecture.</w:t>
      </w:r>
      <w:r>
        <w:rPr/>
        <w:t xml:space="preserve"> Monolith → direct tools → “done” versus workflow → semantic nodes → governed effects → acceptance.</w:t>
      </w:r>
    </w:p>
    <w:p>
      <w:pPr/>
      <w:r>
        <w:rPr>
          <w:b/>
        </w:rPr>
        <w:t>Enterprise Example.</w:t>
      </w:r>
      <w:r>
        <w:rPr/>
        <w:t xml:space="preserve"> Onboarding restarts and repeats vendor creation.</w:t>
      </w:r>
    </w:p>
    <w:p>
      <w:pPr/>
      <w:r>
        <w:rPr>
          <w:b/>
        </w:rPr>
        <w:t>Detection Metrics.</w:t>
      </w:r>
      <w:r>
        <w:rPr/>
        <w:t xml:space="preserve"> Direct protected calls, restart loss, false completion, mixed responsibilities.</w:t>
      </w:r>
    </w:p>
    <w:p>
      <w:pPr/>
      <w:r>
        <w:rPr>
          <w:b/>
        </w:rPr>
        <w:t>Trade-offs.</w:t>
      </w:r>
      <w:r>
        <w:rPr/>
        <w:t xml:space="preserve"> Decompose around highest-risk effects; more services add interfaces.</w:t>
      </w:r>
    </w:p>
    <w:p>
      <w:pPr>
        <w:pStyle w:val="Heading2"/>
        <w:keepNext/>
      </w:pPr>
      <w:r>
        <w:rPr/>
        <w:t>Context engineering</w:t>
      </w:r>
    </w:p>
    <w:p>
      <w:pPr>
        <w:pStyle w:val="Heading3"/>
        <w:keepNext/>
      </w:pPr>
      <w:r>
        <w:rPr/>
        <w:t>AP-02 — Prompt as database</w:t>
      </w:r>
    </w:p>
    <w:p>
      <w:pPr/>
      <w:r>
        <w:rPr>
          <w:b/>
        </w:rPr>
        <w:t>Problem.</w:t>
      </w:r>
      <w:r>
        <w:rPr/>
        <w:t xml:space="preserve"> Business state must survive.</w:t>
      </w:r>
    </w:p>
    <w:p>
      <w:pPr/>
      <w:r>
        <w:rPr>
          <w:b/>
        </w:rPr>
        <w:t>Anti-Pattern.</w:t>
      </w:r>
      <w:r>
        <w:rPr/>
        <w:t xml:space="preserve"> Chat history or summary is authoritative.</w:t>
      </w:r>
    </w:p>
    <w:p>
      <w:pPr/>
      <w:r>
        <w:rPr>
          <w:b/>
        </w:rPr>
        <w:t>Why It Fails.</w:t>
      </w:r>
      <w:r>
        <w:rPr/>
        <w:t xml:space="preserve"> Truncation, drift, concurrency, schema, and audit fail.</w:t>
      </w:r>
    </w:p>
    <w:p>
      <w:pPr/>
      <w:r>
        <w:rPr>
          <w:b/>
        </w:rPr>
        <w:t>Recommended Pattern.</w:t>
      </w:r>
      <w:r>
        <w:rPr/>
        <w:t xml:space="preserve"> Canonical typed state plus ContextManifest projection.</w:t>
      </w:r>
    </w:p>
    <w:p>
      <w:pPr/>
      <w:r>
        <w:rPr>
          <w:b/>
        </w:rPr>
        <w:t>Architecture.</w:t>
      </w:r>
      <w:r>
        <w:rPr/>
        <w:t xml:space="preserve"> Transcript state versus State Service → snapshot → prompt.</w:t>
      </w:r>
    </w:p>
    <w:p>
      <w:pPr/>
      <w:r>
        <w:rPr>
          <w:b/>
        </w:rPr>
        <w:t>Enterprise Example.</w:t>
      </w:r>
      <w:r>
        <w:rPr/>
        <w:t xml:space="preserve"> Renewal forgets legal approval after summarization.</w:t>
      </w:r>
    </w:p>
    <w:p>
      <w:pPr/>
      <w:r>
        <w:rPr>
          <w:b/>
        </w:rPr>
        <w:t>Detection Metrics.</w:t>
      </w:r>
      <w:r>
        <w:rPr/>
        <w:t xml:space="preserve"> Compaction loss, summary conflict, recovery mismatch.</w:t>
      </w:r>
    </w:p>
    <w:p>
      <w:pPr/>
      <w:r>
        <w:rPr>
          <w:b/>
        </w:rPr>
        <w:t>Trade-offs.</w:t>
      </w:r>
      <w:r>
        <w:rPr/>
        <w:t xml:space="preserve"> Typed state needs schema evolution.</w:t>
      </w:r>
    </w:p>
    <w:p>
      <w:pPr>
        <w:pStyle w:val="Heading2"/>
        <w:keepNext/>
      </w:pPr>
      <w:r>
        <w:rPr/>
        <w:t>Security</w:t>
      </w:r>
    </w:p>
    <w:p>
      <w:pPr>
        <w:pStyle w:val="Heading3"/>
        <w:keepNext/>
      </w:pPr>
      <w:r>
        <w:rPr/>
        <w:t>AP-03 — Ambient authority</w:t>
      </w:r>
    </w:p>
    <w:p>
      <w:pPr/>
      <w:r>
        <w:rPr>
          <w:b/>
        </w:rPr>
        <w:t>Problem.</w:t>
      </w:r>
      <w:r>
        <w:rPr/>
        <w:t xml:space="preserve"> Agents need access.</w:t>
      </w:r>
    </w:p>
    <w:p>
      <w:pPr/>
      <w:r>
        <w:rPr>
          <w:b/>
        </w:rPr>
        <w:t>Anti-Pattern.</w:t>
      </w:r>
      <w:r>
        <w:rPr/>
        <w:t xml:space="preserve"> Workers receive reusable broad credentials.</w:t>
      </w:r>
    </w:p>
    <w:p>
      <w:pPr/>
      <w:r>
        <w:rPr>
          <w:b/>
        </w:rPr>
        <w:t>Why It Fails.</w:t>
      </w:r>
      <w:r>
        <w:rPr/>
        <w:t xml:space="preserve"> Compromise obtains broad, long-lived authority.</w:t>
      </w:r>
    </w:p>
    <w:p>
      <w:pPr/>
      <w:r>
        <w:rPr>
          <w:b/>
        </w:rPr>
        <w:t>Recommended Pattern.</w:t>
      </w:r>
      <w:r>
        <w:rPr/>
        <w:t xml:space="preserve"> Subject+workload identity and narrowed capability leases.</w:t>
      </w:r>
    </w:p>
    <w:p>
      <w:pPr/>
      <w:r>
        <w:rPr>
          <w:b/>
        </w:rPr>
        <w:t>Architecture.</w:t>
      </w:r>
      <w:r>
        <w:rPr/>
        <w:t xml:space="preserve"> Broad token versus policy → scoped lease → enforcement.</w:t>
      </w:r>
    </w:p>
    <w:p>
      <w:pPr/>
      <w:r>
        <w:rPr>
          <w:b/>
        </w:rPr>
        <w:t>Enterprise Example.</w:t>
      </w:r>
      <w:r>
        <w:rPr/>
        <w:t xml:space="preserve"> Support token can export all customers.</w:t>
      </w:r>
    </w:p>
    <w:p>
      <w:pPr/>
      <w:r>
        <w:rPr>
          <w:b/>
        </w:rPr>
        <w:t>Detection Metrics.</w:t>
      </w:r>
      <w:r>
        <w:rPr/>
        <w:t xml:space="preserve"> Scope/age, unused privilege, expansion, cross-tenant attempts.</w:t>
      </w:r>
    </w:p>
    <w:p>
      <w:pPr/>
      <w:r>
        <w:rPr>
          <w:b/>
        </w:rPr>
        <w:t>Trade-offs.</w:t>
      </w:r>
      <w:r>
        <w:rPr/>
        <w:t xml:space="preserve"> Fine policy adds design/latency.</w:t>
      </w:r>
    </w:p>
    <w:p>
      <w:pPr>
        <w:pStyle w:val="Heading2"/>
        <w:keepNext/>
      </w:pPr>
      <w:r>
        <w:rPr/>
        <w:t>Reliability</w:t>
      </w:r>
    </w:p>
    <w:p>
      <w:pPr>
        <w:pStyle w:val="Heading3"/>
        <w:keepNext/>
      </w:pPr>
      <w:r>
        <w:rPr/>
        <w:t>AP-04 — Retry everywhere</w:t>
      </w:r>
    </w:p>
    <w:p>
      <w:pPr/>
      <w:r>
        <w:rPr>
          <w:b/>
        </w:rPr>
        <w:t>Problem.</w:t>
      </w:r>
      <w:r>
        <w:rPr/>
        <w:t xml:space="preserve"> Transient failures occur.</w:t>
      </w:r>
    </w:p>
    <w:p>
      <w:pPr/>
      <w:r>
        <w:rPr>
          <w:b/>
        </w:rPr>
        <w:t>Anti-Pattern.</w:t>
      </w:r>
      <w:r>
        <w:rPr/>
        <w:t xml:space="preserve"> SDK, gateway, workflow, connector, tool each retry.</w:t>
      </w:r>
    </w:p>
    <w:p>
      <w:pPr/>
      <w:r>
        <w:rPr>
          <w:b/>
        </w:rPr>
        <w:t>Why It Fails.</w:t>
      </w:r>
      <w:r>
        <w:rPr/>
        <w:t xml:space="preserve"> Attempts multiply, cost/load spike, mutations duplicate.</w:t>
      </w:r>
    </w:p>
    <w:p>
      <w:pPr/>
      <w:r>
        <w:rPr>
          <w:b/>
        </w:rPr>
        <w:t>Recommended Pattern.</w:t>
      </w:r>
      <w:r>
        <w:rPr/>
        <w:t xml:space="preserve"> One retry owner per failure class and shared attempt/deadline budget.</w:t>
      </w:r>
    </w:p>
    <w:p>
      <w:pPr/>
      <w:r>
        <w:rPr>
          <w:b/>
        </w:rPr>
        <w:t>Architecture.</w:t>
      </w:r>
      <w:r>
        <w:rPr/>
        <w:t xml:space="preserve"> Nested retries versus classified failure → one schedule → terminal.</w:t>
      </w:r>
    </w:p>
    <w:p>
      <w:pPr/>
      <w:r>
        <w:rPr>
          <w:b/>
        </w:rPr>
        <w:t>Enterprise Example.</w:t>
      </w:r>
      <w:r>
        <w:rPr/>
        <w:t xml:space="preserve"> 3×3×2 policies create 18 registry calls.</w:t>
      </w:r>
    </w:p>
    <w:p>
      <w:pPr/>
      <w:r>
        <w:rPr>
          <w:b/>
        </w:rPr>
        <w:t>Detection Metrics.</w:t>
      </w:r>
      <w:r>
        <w:rPr/>
        <w:t xml:space="preserve"> Attempts/logical operation, amplification, duplicates, deadline overrun.</w:t>
      </w:r>
    </w:p>
    <w:p>
      <w:pPr/>
      <w:r>
        <w:rPr>
          <w:b/>
        </w:rPr>
        <w:t>Trade-offs.</w:t>
      </w:r>
      <w:r>
        <w:rPr/>
        <w:t xml:space="preserve"> Central policy can be conservative.</w:t>
      </w:r>
    </w:p>
    <w:p>
      <w:pPr>
        <w:pStyle w:val="Heading2"/>
        <w:keepNext/>
      </w:pPr>
      <w:r>
        <w:rPr/>
        <w:t>Reliability</w:t>
      </w:r>
    </w:p>
    <w:p>
      <w:pPr>
        <w:pStyle w:val="Heading3"/>
        <w:keepNext/>
      </w:pPr>
      <w:r>
        <w:rPr/>
        <w:t>AP-05 — Timeout means failure</w:t>
      </w:r>
    </w:p>
    <w:p>
      <w:pPr/>
      <w:r>
        <w:rPr>
          <w:b/>
        </w:rPr>
        <w:t>Problem.</w:t>
      </w:r>
      <w:r>
        <w:rPr/>
        <w:t xml:space="preserve"> Response is lost after dispatch.</w:t>
      </w:r>
    </w:p>
    <w:p>
      <w:pPr/>
      <w:r>
        <w:rPr>
          <w:b/>
        </w:rPr>
        <w:t>Anti-Pattern.</w:t>
      </w:r>
      <w:r>
        <w:rPr/>
        <w:t xml:space="preserve"> Mark failed and retry immediately.</w:t>
      </w:r>
    </w:p>
    <w:p>
      <w:pPr/>
      <w:r>
        <w:rPr>
          <w:b/>
        </w:rPr>
        <w:t>Why It Fails.</w:t>
      </w:r>
      <w:r>
        <w:rPr/>
        <w:t xml:space="preserve"> First call may have committed.</w:t>
      </w:r>
    </w:p>
    <w:p>
      <w:pPr/>
      <w:r>
        <w:rPr>
          <w:b/>
        </w:rPr>
        <w:t>Recommended Pattern.</w:t>
      </w:r>
      <w:r>
        <w:rPr/>
        <w:t xml:space="preserve"> Unknown-effect terminal and reconciliation before retry/compensate.</w:t>
      </w:r>
    </w:p>
    <w:p>
      <w:pPr/>
      <w:r>
        <w:rPr>
          <w:b/>
        </w:rPr>
        <w:t>Architecture.</w:t>
      </w:r>
      <w:r>
        <w:rPr/>
        <w:t xml:space="preserve"> Timeout→failed→retry versus timeout→unknown→lookup→decide.</w:t>
      </w:r>
    </w:p>
    <w:p>
      <w:pPr/>
      <w:r>
        <w:rPr>
          <w:b/>
        </w:rPr>
        <w:t>Enterprise Example.</w:t>
      </w:r>
      <w:r>
        <w:rPr/>
        <w:t xml:space="preserve"> Vendor is created twice.</w:t>
      </w:r>
    </w:p>
    <w:p>
      <w:pPr/>
      <w:r>
        <w:rPr>
          <w:b/>
        </w:rPr>
        <w:t>Detection Metrics.</w:t>
      </w:r>
      <w:r>
        <w:rPr/>
        <w:t xml:space="preserve"> Unknown count/age, duplicate keys, post-timeout conflicts.</w:t>
      </w:r>
    </w:p>
    <w:p>
      <w:pPr/>
      <w:r>
        <w:rPr>
          <w:b/>
        </w:rPr>
        <w:t>Trade-offs.</w:t>
      </w:r>
      <w:r>
        <w:rPr/>
        <w:t xml:space="preserve"> Unknown may delay completion.</w:t>
      </w:r>
    </w:p>
    <w:p>
      <w:pPr>
        <w:pStyle w:val="Heading2"/>
        <w:keepNext/>
      </w:pPr>
      <w:r>
        <w:rPr/>
        <w:t>Governance</w:t>
      </w:r>
    </w:p>
    <w:p>
      <w:pPr>
        <w:pStyle w:val="Heading3"/>
        <w:keepNext/>
      </w:pPr>
      <w:r>
        <w:rPr/>
        <w:t>AP-06 — Boolean or conversational approval</w:t>
      </w:r>
    </w:p>
    <w:p>
      <w:pPr/>
      <w:r>
        <w:rPr>
          <w:b/>
        </w:rPr>
        <w:t>Problem.</w:t>
      </w:r>
      <w:r>
        <w:rPr/>
        <w:t xml:space="preserve"> Humans approve protected actions.</w:t>
      </w:r>
    </w:p>
    <w:p>
      <w:pPr/>
      <w:r>
        <w:rPr>
          <w:b/>
        </w:rPr>
        <w:t>Anti-Pattern.</w:t>
      </w:r>
      <w:r>
        <w:rPr/>
        <w:t xml:space="preserve"> A Boolean/chat message authorizes later current arguments.</w:t>
      </w:r>
    </w:p>
    <w:p>
      <w:pPr/>
      <w:r>
        <w:rPr>
          <w:b/>
        </w:rPr>
        <w:t>Why It Fails.</w:t>
      </w:r>
      <w:r>
        <w:rPr/>
        <w:t xml:space="preserve"> Effect, policy, actor, or version can change.</w:t>
      </w:r>
    </w:p>
    <w:p>
      <w:pPr/>
      <w:r>
        <w:rPr>
          <w:b/>
        </w:rPr>
        <w:t>Recommended Pattern.</w:t>
      </w:r>
      <w:r>
        <w:rPr/>
        <w:t xml:space="preserve"> Immutable proposal and expiring exact ApprovalGrant.</w:t>
      </w:r>
    </w:p>
    <w:p>
      <w:pPr/>
      <w:r>
        <w:rPr>
          <w:b/>
        </w:rPr>
        <w:t>Architecture.</w:t>
      </w:r>
      <w:r>
        <w:rPr/>
        <w:t xml:space="preserve"> approved=true versus proposal hash → grant → revalidate → commit.</w:t>
      </w:r>
    </w:p>
    <w:p>
      <w:pPr/>
      <w:r>
        <w:rPr>
          <w:b/>
        </w:rPr>
        <w:t>Enterprise Example.</w:t>
      </w:r>
      <w:r>
        <w:rPr/>
        <w:t xml:space="preserve"> $10k approval reused for $100k.</w:t>
      </w:r>
    </w:p>
    <w:p>
      <w:pPr/>
      <w:r>
        <w:rPr>
          <w:b/>
        </w:rPr>
        <w:t>Detection Metrics.</w:t>
      </w:r>
      <w:r>
        <w:rPr/>
        <w:t xml:space="preserve"> Hash mismatch, reuse, expiry, post-approval incident.</w:t>
      </w:r>
    </w:p>
    <w:p>
      <w:pPr/>
      <w:r>
        <w:rPr>
          <w:b/>
        </w:rPr>
        <w:t>Trade-offs.</w:t>
      </w:r>
      <w:r>
        <w:rPr/>
        <w:t xml:space="preserve"> Benign changes may require reapproval.</w:t>
      </w:r>
    </w:p>
    <w:p>
      <w:pPr>
        <w:pStyle w:val="Heading2"/>
        <w:keepNext/>
      </w:pPr>
      <w:r>
        <w:rPr/>
        <w:t>Observability</w:t>
      </w:r>
    </w:p>
    <w:p>
      <w:pPr>
        <w:pStyle w:val="Heading3"/>
        <w:keepNext/>
      </w:pPr>
      <w:r>
        <w:rPr/>
        <w:t>AP-07 — Model says done</w:t>
      </w:r>
    </w:p>
    <w:p>
      <w:pPr/>
      <w:r>
        <w:rPr>
          <w:b/>
        </w:rPr>
        <w:t>Problem.</w:t>
      </w:r>
      <w:r>
        <w:rPr/>
        <w:t xml:space="preserve"> Runs need completion.</w:t>
      </w:r>
    </w:p>
    <w:p>
      <w:pPr/>
      <w:r>
        <w:rPr>
          <w:b/>
        </w:rPr>
        <w:t>Anti-Pattern.</w:t>
      </w:r>
      <w:r>
        <w:rPr/>
        <w:t xml:space="preserve"> Model assertion sets success.</w:t>
      </w:r>
    </w:p>
    <w:p>
      <w:pPr/>
      <w:r>
        <w:rPr>
          <w:b/>
        </w:rPr>
        <w:t>Why It Fails.</w:t>
      </w:r>
      <w:r>
        <w:rPr/>
        <w:t xml:space="preserve"> Missing evidence, approval, effect, or obligation hides as success.</w:t>
      </w:r>
    </w:p>
    <w:p>
      <w:pPr/>
      <w:r>
        <w:rPr>
          <w:b/>
        </w:rPr>
        <w:t>Recommended Pattern.</w:t>
      </w:r>
      <w:r>
        <w:rPr/>
        <w:t xml:space="preserve"> Independent executable acceptance over authoritative state.</w:t>
      </w:r>
    </w:p>
    <w:p>
      <w:pPr/>
      <w:r>
        <w:rPr>
          <w:b/>
        </w:rPr>
        <w:t>Architecture.</w:t>
      </w:r>
      <w:r>
        <w:rPr/>
        <w:t xml:space="preserve"> Model text→success versus AcceptanceEngine→accepted/blocked/failed/unknown.</w:t>
      </w:r>
    </w:p>
    <w:p>
      <w:pPr/>
      <w:r>
        <w:rPr>
          <w:b/>
        </w:rPr>
        <w:t>Enterprise Example.</w:t>
      </w:r>
      <w:r>
        <w:rPr/>
        <w:t xml:space="preserve"> Onboarding says complete with stale sanctions check.</w:t>
      </w:r>
    </w:p>
    <w:p>
      <w:pPr/>
      <w:r>
        <w:rPr>
          <w:b/>
        </w:rPr>
        <w:t>Detection Metrics.</w:t>
      </w:r>
      <w:r>
        <w:rPr/>
        <w:t xml:space="preserve"> False completion, reopen rate, missing artifacts/effects.</w:t>
      </w:r>
    </w:p>
    <w:p>
      <w:pPr/>
      <w:r>
        <w:rPr>
          <w:b/>
        </w:rPr>
        <w:t>Trade-offs.</w:t>
      </w:r>
      <w:r>
        <w:rPr/>
        <w:t xml:space="preserve"> Rules require domain maintenance.</w:t>
      </w:r>
    </w:p>
    <w:p>
      <w:pPr>
        <w:pStyle w:val="Heading2"/>
        <w:keepNext/>
      </w:pPr>
      <w:r>
        <w:rPr/>
        <w:t>Multi-agent collaboration</w:t>
      </w:r>
    </w:p>
    <w:p>
      <w:pPr>
        <w:pStyle w:val="Heading3"/>
        <w:keepNext/>
      </w:pPr>
      <w:r>
        <w:rPr/>
        <w:t>AP-08 — Multi-agent chat as workflow</w:t>
      </w:r>
    </w:p>
    <w:p>
      <w:pPr/>
      <w:r>
        <w:rPr>
          <w:b/>
        </w:rPr>
        <w:t>Problem.</w:t>
      </w:r>
      <w:r>
        <w:rPr/>
        <w:t xml:space="preserve"> Specialists coordinate.</w:t>
      </w:r>
    </w:p>
    <w:p>
      <w:pPr/>
      <w:r>
        <w:rPr>
          <w:b/>
        </w:rPr>
        <w:t>Anti-Pattern.</w:t>
      </w:r>
      <w:r>
        <w:rPr/>
        <w:t xml:space="preserve"> Free-form messages own state, work, deadlines, joins.</w:t>
      </w:r>
    </w:p>
    <w:p>
      <w:pPr/>
      <w:r>
        <w:rPr>
          <w:b/>
        </w:rPr>
        <w:t>Why It Fails.</w:t>
      </w:r>
      <w:r>
        <w:rPr/>
        <w:t xml:space="preserve"> Duplicate work, cycles, lost cancellation/artifacts.</w:t>
      </w:r>
    </w:p>
    <w:p>
      <w:pPr/>
      <w:r>
        <w:rPr>
          <w:b/>
        </w:rPr>
        <w:t>Recommended Pattern.</w:t>
      </w:r>
      <w:r>
        <w:rPr/>
        <w:t xml:space="preserve"> TaskEnvelope, owner, child tasks, artifacts, deterministic join.</w:t>
      </w:r>
    </w:p>
    <w:p>
      <w:pPr/>
      <w:r>
        <w:rPr>
          <w:b/>
        </w:rPr>
        <w:t>Architecture.</w:t>
      </w:r>
      <w:r>
        <w:rPr/>
        <w:t xml:space="preserve"> Chat mesh versus supervisor workflow + task service.</w:t>
      </w:r>
    </w:p>
    <w:p>
      <w:pPr/>
      <w:r>
        <w:rPr>
          <w:b/>
        </w:rPr>
        <w:t>Enterprise Example.</w:t>
      </w:r>
      <w:r>
        <w:rPr/>
        <w:t xml:space="preserve"> Finance and legal each expect the other to approve.</w:t>
      </w:r>
    </w:p>
    <w:p>
      <w:pPr/>
      <w:r>
        <w:rPr>
          <w:b/>
        </w:rPr>
        <w:t>Detection Metrics.</w:t>
      </w:r>
      <w:r>
        <w:rPr/>
        <w:t xml:space="preserve"> Orphans, conflicts, depth, join age, late effects.</w:t>
      </w:r>
    </w:p>
    <w:p>
      <w:pPr/>
      <w:r>
        <w:rPr>
          <w:b/>
        </w:rPr>
        <w:t>Trade-offs.</w:t>
      </w:r>
      <w:r>
        <w:rPr/>
        <w:t xml:space="preserve"> Formal tasks reduce fluidity.</w:t>
      </w:r>
    </w:p>
    <w:p>
      <w:pPr>
        <w:pStyle w:val="Heading2"/>
        <w:keepNext/>
      </w:pPr>
      <w:r>
        <w:rPr/>
        <w:t>Context engineering</w:t>
      </w:r>
    </w:p>
    <w:p>
      <w:pPr>
        <w:pStyle w:val="Heading3"/>
        <w:keepNext/>
      </w:pPr>
      <w:r>
        <w:rPr/>
        <w:t>AP-09 — Vector store as source of truth</w:t>
      </w:r>
    </w:p>
    <w:p>
      <w:pPr/>
      <w:r>
        <w:rPr>
          <w:b/>
        </w:rPr>
        <w:t>Problem.</w:t>
      </w:r>
      <w:r>
        <w:rPr/>
        <w:t xml:space="preserve"> Relevant knowledge is needed.</w:t>
      </w:r>
    </w:p>
    <w:p>
      <w:pPr/>
      <w:r>
        <w:rPr>
          <w:b/>
        </w:rPr>
        <w:t>Anti-Pattern.</w:t>
      </w:r>
      <w:r>
        <w:rPr/>
        <w:t xml:space="preserve"> Similarity hit is current authoritative fact.</w:t>
      </w:r>
    </w:p>
    <w:p>
      <w:pPr/>
      <w:r>
        <w:rPr>
          <w:b/>
        </w:rPr>
        <w:t>Why It Fails.</w:t>
      </w:r>
      <w:r>
        <w:rPr/>
        <w:t xml:space="preserve"> Stale, unauthorized, poisoned, duplicated chunks drive action.</w:t>
      </w:r>
    </w:p>
    <w:p>
      <w:pPr/>
      <w:r>
        <w:rPr>
          <w:b/>
        </w:rPr>
        <w:t>Recommended Pattern.</w:t>
      </w:r>
      <w:r>
        <w:rPr/>
        <w:t xml:space="preserve"> Governed source/snapshot; index is derived locator with ACL/freshness verification.</w:t>
      </w:r>
    </w:p>
    <w:p>
      <w:pPr/>
      <w:r>
        <w:rPr>
          <w:b/>
        </w:rPr>
        <w:t>Architecture.</w:t>
      </w:r>
      <w:r>
        <w:rPr/>
        <w:t xml:space="preserve"> Vector hit→action versus source+ACL+snapshot→evidence→decision.</w:t>
      </w:r>
    </w:p>
    <w:p>
      <w:pPr/>
      <w:r>
        <w:rPr>
          <w:b/>
        </w:rPr>
        <w:t>Enterprise Example.</w:t>
      </w:r>
      <w:r>
        <w:rPr/>
        <w:t xml:space="preserve"> Old policy chunk applies obsolete limit.</w:t>
      </w:r>
    </w:p>
    <w:p>
      <w:pPr/>
      <w:r>
        <w:rPr>
          <w:b/>
        </w:rPr>
        <w:t>Detection Metrics.</w:t>
      </w:r>
      <w:r>
        <w:rPr/>
        <w:t xml:space="preserve"> Freshness, source disagreement, ACL/citation mismatch.</w:t>
      </w:r>
    </w:p>
    <w:p>
      <w:pPr/>
      <w:r>
        <w:rPr>
          <w:b/>
        </w:rPr>
        <w:t>Trade-offs.</w:t>
      </w:r>
      <w:r>
        <w:rPr/>
        <w:t xml:space="preserve"> Authoritative lookup may be slower.</w:t>
      </w:r>
    </w:p>
    <w:p>
      <w:pPr>
        <w:pStyle w:val="Heading2"/>
        <w:keepNext/>
      </w:pPr>
      <w:r>
        <w:rPr/>
        <w:t>Security</w:t>
      </w:r>
    </w:p>
    <w:p>
      <w:pPr>
        <w:pStyle w:val="Heading3"/>
        <w:keepNext/>
      </w:pPr>
      <w:r>
        <w:rPr/>
        <w:t>AP-10 — LLM judge as security gate</w:t>
      </w:r>
    </w:p>
    <w:p>
      <w:pPr/>
      <w:r>
        <w:rPr>
          <w:b/>
        </w:rPr>
        <w:t>Problem.</w:t>
      </w:r>
      <w:r>
        <w:rPr/>
        <w:t xml:space="preserve"> Ambiguous content needs review.</w:t>
      </w:r>
    </w:p>
    <w:p>
      <w:pPr/>
      <w:r>
        <w:rPr>
          <w:b/>
        </w:rPr>
        <w:t>Anti-Pattern.</w:t>
      </w:r>
      <w:r>
        <w:rPr/>
        <w:t xml:space="preserve"> Model score alone authorizes protected action.</w:t>
      </w:r>
    </w:p>
    <w:p>
      <w:pPr/>
      <w:r>
        <w:rPr>
          <w:b/>
        </w:rPr>
        <w:t>Why It Fails.</w:t>
      </w:r>
      <w:r>
        <w:rPr/>
        <w:t xml:space="preserve"> Judge is injectable, nondeterministic, biased, and drifts.</w:t>
      </w:r>
    </w:p>
    <w:p>
      <w:pPr/>
      <w:r>
        <w:rPr>
          <w:b/>
        </w:rPr>
        <w:t>Recommended Pattern.</w:t>
      </w:r>
      <w:r>
        <w:rPr/>
        <w:t xml:space="preserve"> Deterministic policy/invariant gate; judge only triages/evidences.</w:t>
      </w:r>
    </w:p>
    <w:p>
      <w:pPr/>
      <w:r>
        <w:rPr>
          <w:b/>
        </w:rPr>
        <w:t>Architecture.</w:t>
      </w:r>
      <w:r>
        <w:rPr/>
        <w:t xml:space="preserve"> score&gt;threshold→execute versus policy→optional judge→human/escalation.</w:t>
      </w:r>
    </w:p>
    <w:p>
      <w:pPr/>
      <w:r>
        <w:rPr>
          <w:b/>
        </w:rPr>
        <w:t>Enterprise Example.</w:t>
      </w:r>
      <w:r>
        <w:rPr/>
        <w:t xml:space="preserve"> Judge calls excessive payment low risk.</w:t>
      </w:r>
    </w:p>
    <w:p>
      <w:pPr/>
      <w:r>
        <w:rPr>
          <w:b/>
        </w:rPr>
        <w:t>Detection Metrics.</w:t>
      </w:r>
      <w:r>
        <w:rPr/>
        <w:t xml:space="preserve"> Repeated-run disagreement, bypass, false negative, override.</w:t>
      </w:r>
    </w:p>
    <w:p>
      <w:pPr/>
      <w:r>
        <w:rPr>
          <w:b/>
        </w:rPr>
        <w:t>Trade-offs.</w:t>
      </w:r>
      <w:r>
        <w:rPr/>
        <w:t xml:space="preserve"> Rules cannot express all nuance.</w:t>
      </w:r>
    </w:p>
    <w:p>
      <w:pPr>
        <w:pStyle w:val="Heading2"/>
        <w:keepNext/>
      </w:pPr>
      <w:r>
        <w:rPr/>
        <w:t>Reasoning</w:t>
      </w:r>
    </w:p>
    <w:p>
      <w:pPr>
        <w:pStyle w:val="Heading3"/>
        <w:keepNext/>
      </w:pPr>
      <w:r>
        <w:rPr/>
        <w:t>AP-11 — Unbounded loops and recursive delegation</w:t>
      </w:r>
    </w:p>
    <w:p>
      <w:pPr/>
      <w:r>
        <w:rPr>
          <w:b/>
        </w:rPr>
        <w:t>Problem.</w:t>
      </w:r>
      <w:r>
        <w:rPr/>
        <w:t xml:space="preserve"> Complex work varies.</w:t>
      </w:r>
    </w:p>
    <w:p>
      <w:pPr/>
      <w:r>
        <w:rPr>
          <w:b/>
        </w:rPr>
        <w:t>Anti-Pattern.</w:t>
      </w:r>
      <w:r>
        <w:rPr/>
        <w:t xml:space="preserve"> Agents iterate/spawn without global limits.</w:t>
      </w:r>
    </w:p>
    <w:p>
      <w:pPr/>
      <w:r>
        <w:rPr>
          <w:b/>
        </w:rPr>
        <w:t>Why It Fails.</w:t>
      </w:r>
      <w:r>
        <w:rPr/>
        <w:t xml:space="preserve"> Runaway cost, cyclic delegation, queue saturation.</w:t>
      </w:r>
    </w:p>
    <w:p>
      <w:pPr/>
      <w:r>
        <w:rPr>
          <w:b/>
        </w:rPr>
        <w:t>Recommended Pattern.</w:t>
      </w:r>
      <w:r>
        <w:rPr/>
        <w:t xml:space="preserve"> Global decreasing budgets, acyclic ownership, depth/fan-out/progress limits.</w:t>
      </w:r>
    </w:p>
    <w:p>
      <w:pPr/>
      <w:r>
        <w:rPr>
          <w:b/>
        </w:rPr>
        <w:t>Architecture.</w:t>
      </w:r>
      <w:r>
        <w:rPr/>
        <w:t xml:space="preserve"> Recursion versus runtime-governed task graph.</w:t>
      </w:r>
    </w:p>
    <w:p>
      <w:pPr/>
      <w:r>
        <w:rPr>
          <w:b/>
        </w:rPr>
        <w:t>Enterprise Example.</w:t>
      </w:r>
      <w:r>
        <w:rPr/>
        <w:t xml:space="preserve"> Research supervisor spawns endless fact-checkers.</w:t>
      </w:r>
    </w:p>
    <w:p>
      <w:pPr/>
      <w:r>
        <w:rPr>
          <w:b/>
        </w:rPr>
        <w:t>Detection Metrics.</w:t>
      </w:r>
      <w:r>
        <w:rPr/>
        <w:t xml:space="preserve"> Depth, fan-out, repeated state, no progress, budget exhaustion.</w:t>
      </w:r>
    </w:p>
    <w:p>
      <w:pPr/>
      <w:r>
        <w:rPr>
          <w:b/>
        </w:rPr>
        <w:t>Trade-offs.</w:t>
      </w:r>
      <w:r>
        <w:rPr/>
        <w:t xml:space="preserve"> Caps may truncate rare work.</w:t>
      </w:r>
    </w:p>
    <w:p>
      <w:pPr>
        <w:pStyle w:val="Heading2"/>
        <w:keepNext/>
      </w:pPr>
      <w:r>
        <w:rPr/>
        <w:t>Tools</w:t>
      </w:r>
    </w:p>
    <w:p>
      <w:pPr>
        <w:pStyle w:val="Heading3"/>
        <w:keepNext/>
      </w:pPr>
      <w:r>
        <w:rPr/>
        <w:t>AP-12 — Ungated tool discovery and catalog dumping</w:t>
      </w:r>
    </w:p>
    <w:p>
      <w:pPr/>
      <w:r>
        <w:rPr>
          <w:b/>
        </w:rPr>
        <w:t>Problem.</w:t>
      </w:r>
      <w:r>
        <w:rPr/>
        <w:t xml:space="preserve"> Many tools exist.</w:t>
      </w:r>
    </w:p>
    <w:p>
      <w:pPr/>
      <w:r>
        <w:rPr>
          <w:b/>
        </w:rPr>
        <w:t>Anti-Pattern.</w:t>
      </w:r>
      <w:r>
        <w:rPr/>
        <w:t xml:space="preserve"> Every discovered tool/schema enters the prompt.</w:t>
      </w:r>
    </w:p>
    <w:p>
      <w:pPr/>
      <w:r>
        <w:rPr>
          <w:b/>
        </w:rPr>
        <w:t>Why It Fails.</w:t>
      </w:r>
      <w:r>
        <w:rPr/>
        <w:t xml:space="preserve"> Confusion, token load, malicious descriptions, excessive agency.</w:t>
      </w:r>
    </w:p>
    <w:p>
      <w:pPr/>
      <w:r>
        <w:rPr>
          <w:b/>
        </w:rPr>
        <w:t>Recommended Pattern.</w:t>
      </w:r>
      <w:r>
        <w:rPr/>
        <w:t xml:space="preserve"> Registry → eligibility/policy → task shortlist → schema validation.</w:t>
      </w:r>
    </w:p>
    <w:p>
      <w:pPr/>
      <w:r>
        <w:rPr>
          <w:b/>
        </w:rPr>
        <w:t>Architecture.</w:t>
      </w:r>
      <w:r>
        <w:rPr/>
        <w:t xml:space="preserve"> Full MCP catalog versus approved tool slice and lease.</w:t>
      </w:r>
    </w:p>
    <w:p>
      <w:pPr/>
      <w:r>
        <w:rPr>
          <w:b/>
        </w:rPr>
        <w:t>Enterprise Example.</w:t>
      </w:r>
      <w:r>
        <w:rPr/>
        <w:t xml:space="preserve"> Reporting agent finds admin delete tool.</w:t>
      </w:r>
    </w:p>
    <w:p>
      <w:pPr/>
      <w:r>
        <w:rPr>
          <w:b/>
        </w:rPr>
        <w:t>Detection Metrics.</w:t>
      </w:r>
      <w:r>
        <w:rPr/>
        <w:t xml:space="preserve"> Exposed/eligible/used, confusion, overhead, unauthorized discovery.</w:t>
      </w:r>
    </w:p>
    <w:p>
      <w:pPr/>
      <w:r>
        <w:rPr>
          <w:b/>
        </w:rPr>
        <w:t>Trade-offs.</w:t>
      </w:r>
      <w:r>
        <w:rPr/>
        <w:t xml:space="preserve"> Narrow list can omit needed tool.</w:t>
      </w:r>
    </w:p>
    <w:p>
      <w:pPr>
        <w:pStyle w:val="Heading2"/>
        <w:keepNext/>
      </w:pPr>
      <w:r>
        <w:rPr/>
        <w:t>Memory</w:t>
      </w:r>
    </w:p>
    <w:p>
      <w:pPr>
        <w:pStyle w:val="Heading3"/>
        <w:keepNext/>
      </w:pPr>
      <w:r>
        <w:rPr/>
        <w:t>AP-13 — Memory write by default</w:t>
      </w:r>
    </w:p>
    <w:p>
      <w:pPr/>
      <w:r>
        <w:rPr>
          <w:b/>
        </w:rPr>
        <w:t>Problem.</w:t>
      </w:r>
      <w:r>
        <w:rPr/>
        <w:t xml:space="preserve"> Personalization is desired.</w:t>
      </w:r>
    </w:p>
    <w:p>
      <w:pPr/>
      <w:r>
        <w:rPr>
          <w:b/>
        </w:rPr>
        <w:t>Anti-Pattern.</w:t>
      </w:r>
      <w:r>
        <w:rPr/>
        <w:t xml:space="preserve"> Every interaction/summary becomes durable memory.</w:t>
      </w:r>
    </w:p>
    <w:p>
      <w:pPr/>
      <w:r>
        <w:rPr>
          <w:b/>
        </w:rPr>
        <w:t>Why It Fails.</w:t>
      </w:r>
      <w:r>
        <w:rPr/>
        <w:t xml:space="preserve"> Secrets, errors, injections, bias, stale facts persist.</w:t>
      </w:r>
    </w:p>
    <w:p>
      <w:pPr/>
      <w:r>
        <w:rPr>
          <w:b/>
        </w:rPr>
        <w:t>Recommended Pattern.</w:t>
      </w:r>
      <w:r>
        <w:rPr/>
        <w:t xml:space="preserve"> Purpose-bound candidate with provenance, verification, scope, TTL, deletion.</w:t>
      </w:r>
    </w:p>
    <w:p>
      <w:pPr/>
      <w:r>
        <w:rPr>
          <w:b/>
        </w:rPr>
        <w:t>Architecture.</w:t>
      </w:r>
      <w:r>
        <w:rPr/>
        <w:t xml:space="preserve"> Transcript→memory versus candidate→gate→typed record.</w:t>
      </w:r>
    </w:p>
    <w:p>
      <w:pPr/>
      <w:r>
        <w:rPr>
          <w:b/>
        </w:rPr>
        <w:t>Enterprise Example.</w:t>
      </w:r>
      <w:r>
        <w:rPr/>
        <w:t xml:space="preserve"> Malicious email stores fake bank account.</w:t>
      </w:r>
    </w:p>
    <w:p>
      <w:pPr/>
      <w:r>
        <w:rPr>
          <w:b/>
        </w:rPr>
        <w:t>Detection Metrics.</w:t>
      </w:r>
      <w:r>
        <w:rPr/>
        <w:t xml:space="preserve"> Sensitive writes, stale retrieval, corrections, memory incidents.</w:t>
      </w:r>
    </w:p>
    <w:p>
      <w:pPr/>
      <w:r>
        <w:rPr>
          <w:b/>
        </w:rPr>
        <w:t>Trade-offs.</w:t>
      </w:r>
      <w:r>
        <w:rPr/>
        <w:t xml:space="preserve"> Strict writes reduce convenience.</w:t>
      </w:r>
    </w:p>
    <w:p>
      <w:pPr>
        <w:pStyle w:val="Heading2"/>
        <w:keepNext/>
      </w:pPr>
      <w:r>
        <w:rPr/>
        <w:t>Observability</w:t>
      </w:r>
    </w:p>
    <w:p>
      <w:pPr>
        <w:pStyle w:val="Heading3"/>
        <w:keepNext/>
      </w:pPr>
      <w:r>
        <w:rPr/>
        <w:t>AP-14 — Telemetry without causal/effect lineage</w:t>
      </w:r>
    </w:p>
    <w:p>
      <w:pPr/>
      <w:r>
        <w:rPr>
          <w:b/>
        </w:rPr>
        <w:t>Problem.</w:t>
      </w:r>
      <w:r>
        <w:rPr/>
        <w:t xml:space="preserve"> Teams instrument components.</w:t>
      </w:r>
    </w:p>
    <w:p>
      <w:pPr/>
      <w:r>
        <w:rPr>
          <w:b/>
        </w:rPr>
        <w:t>Anti-Pattern.</w:t>
      </w:r>
      <w:r>
        <w:rPr/>
        <w:t xml:space="preserve"> Logs cannot join versions, policy, effects, acceptance, outcome.</w:t>
      </w:r>
    </w:p>
    <w:p>
      <w:pPr/>
      <w:r>
        <w:rPr>
          <w:b/>
        </w:rPr>
        <w:t>Why It Fails.</w:t>
      </w:r>
      <w:r>
        <w:rPr/>
        <w:t xml:space="preserve"> Local optimization hides business regression.</w:t>
      </w:r>
    </w:p>
    <w:p>
      <w:pPr/>
      <w:r>
        <w:rPr>
          <w:b/>
        </w:rPr>
        <w:t>Recommended Pattern.</w:t>
      </w:r>
      <w:r>
        <w:rPr/>
        <w:t xml:space="preserve"> Causal run graph joining release, context, decisions, effects, outcome/cost.</w:t>
      </w:r>
    </w:p>
    <w:p>
      <w:pPr/>
      <w:r>
        <w:rPr>
          <w:b/>
        </w:rPr>
        <w:t>Architecture.</w:t>
      </w:r>
      <w:r>
        <w:rPr/>
        <w:t xml:space="preserve"> Separate dashboards versus correlated graph.</w:t>
      </w:r>
    </w:p>
    <w:p>
      <w:pPr/>
      <w:r>
        <w:rPr>
          <w:b/>
        </w:rPr>
        <w:t>Enterprise Example.</w:t>
      </w:r>
      <w:r>
        <w:rPr/>
        <w:t xml:space="preserve"> Lower model latency hides more retries and lower completion.</w:t>
      </w:r>
    </w:p>
    <w:p>
      <w:pPr/>
      <w:r>
        <w:rPr>
          <w:b/>
        </w:rPr>
        <w:t>Detection Metrics.</w:t>
      </w:r>
      <w:r>
        <w:rPr/>
        <w:t xml:space="preserve"> Outcome join, missing parents/versions, unattributed cost.</w:t>
      </w:r>
    </w:p>
    <w:p>
      <w:pPr/>
      <w:r>
        <w:rPr>
          <w:b/>
        </w:rPr>
        <w:t>Trade-offs.</w:t>
      </w:r>
      <w:r>
        <w:rPr/>
        <w:t xml:space="preserve"> Correlation increases governance burden.</w:t>
      </w:r>
    </w:p>
    <w:p>
      <w:pPr>
        <w:pStyle w:val="Heading2"/>
        <w:keepNext/>
      </w:pPr>
      <w:r>
        <w:rPr/>
        <w:t>System architecture</w:t>
      </w:r>
    </w:p>
    <w:p>
      <w:pPr>
        <w:pStyle w:val="Heading3"/>
        <w:keepNext/>
      </w:pPr>
      <w:r>
        <w:rPr/>
        <w:t>AP-15 — Model/provider swap as configuration</w:t>
      </w:r>
    </w:p>
    <w:p>
      <w:pPr/>
      <w:r>
        <w:rPr>
          <w:b/>
        </w:rPr>
        <w:t>Problem.</w:t>
      </w:r>
      <w:r>
        <w:rPr/>
        <w:t xml:space="preserve"> Teams seek cost/quality changes.</w:t>
      </w:r>
    </w:p>
    <w:p>
      <w:pPr/>
      <w:r>
        <w:rPr>
          <w:b/>
        </w:rPr>
        <w:t>Anti-Pattern.</w:t>
      </w:r>
      <w:r>
        <w:rPr/>
        <w:t xml:space="preserve"> Alias changes without behavioral validation.</w:t>
      </w:r>
    </w:p>
    <w:p>
      <w:pPr/>
      <w:r>
        <w:rPr>
          <w:b/>
        </w:rPr>
        <w:t>Why It Fails.</w:t>
      </w:r>
      <w:r>
        <w:rPr/>
        <w:t xml:space="preserve"> Tool, schema, refusal, safety, latency, cost behavior shifts.</w:t>
      </w:r>
    </w:p>
    <w:p>
      <w:pPr/>
      <w:r>
        <w:rPr>
          <w:b/>
        </w:rPr>
        <w:t>Recommended Pattern.</w:t>
      </w:r>
      <w:r>
        <w:rPr/>
        <w:t xml:space="preserve"> Versioned ChangeBundle with evaluation, security, load, canary, rollback.</w:t>
      </w:r>
    </w:p>
    <w:p>
      <w:pPr/>
      <w:r>
        <w:rPr>
          <w:b/>
        </w:rPr>
        <w:t>Architecture.</w:t>
      </w:r>
      <w:r>
        <w:rPr/>
        <w:t xml:space="preserve"> Edit alias versus immutable route policy→replay→approval→canary.</w:t>
      </w:r>
    </w:p>
    <w:p>
      <w:pPr/>
      <w:r>
        <w:rPr>
          <w:b/>
        </w:rPr>
        <w:t>Enterprise Example.</w:t>
      </w:r>
      <w:r>
        <w:rPr/>
        <w:t xml:space="preserve"> Cheaper model drops tool args in one language.</w:t>
      </w:r>
    </w:p>
    <w:p>
      <w:pPr/>
      <w:r>
        <w:rPr>
          <w:b/>
        </w:rPr>
        <w:t>Detection Metrics.</w:t>
      </w:r>
      <w:r>
        <w:rPr/>
        <w:t xml:space="preserve"> Schema/tool regression, refusal shift, slice drift, fallback.</w:t>
      </w:r>
    </w:p>
    <w:p>
      <w:pPr/>
      <w:r>
        <w:rPr>
          <w:b/>
        </w:rPr>
        <w:t>Trade-offs.</w:t>
      </w:r>
      <w:r>
        <w:rPr/>
        <w:t xml:space="preserve"> Validation slows experimentation.</w:t>
      </w:r>
    </w:p>
    <w:p>
      <w:pPr>
        <w:pStyle w:val="Heading2"/>
        <w:keepNext/>
      </w:pPr>
      <w:r>
        <w:rPr/>
        <w:t>Operations</w:t>
      </w:r>
    </w:p>
    <w:p>
      <w:pPr>
        <w:pStyle w:val="Heading3"/>
        <w:keepNext/>
      </w:pPr>
      <w:r>
        <w:rPr/>
        <w:t>AP-16 — In-place change and test after release</w:t>
      </w:r>
    </w:p>
    <w:p>
      <w:pPr/>
      <w:r>
        <w:rPr>
          <w:b/>
        </w:rPr>
        <w:t>Problem.</w:t>
      </w:r>
      <w:r>
        <w:rPr/>
        <w:t xml:space="preserve"> Fast edits are convenient.</w:t>
      </w:r>
    </w:p>
    <w:p>
      <w:pPr/>
      <w:r>
        <w:rPr>
          <w:b/>
        </w:rPr>
        <w:t>Anti-Pattern.</w:t>
      </w:r>
      <w:r>
        <w:rPr/>
        <w:t xml:space="preserve"> Prompts/Skills/tools/policy/routes mutate production.</w:t>
      </w:r>
    </w:p>
    <w:p>
      <w:pPr/>
      <w:r>
        <w:rPr>
          <w:b/>
        </w:rPr>
        <w:t>Why It Fails.</w:t>
      </w:r>
      <w:r>
        <w:rPr/>
        <w:t xml:space="preserve"> Runs are irreproducible; rollback/attribution fail.</w:t>
      </w:r>
    </w:p>
    <w:p>
      <w:pPr/>
      <w:r>
        <w:rPr>
          <w:b/>
        </w:rPr>
        <w:t>Recommended Pattern.</w:t>
      </w:r>
      <w:r>
        <w:rPr/>
        <w:t xml:space="preserve"> Immutable artifacts, ReleaseManifest, pretests, signed promotion, canary, rollback.</w:t>
      </w:r>
    </w:p>
    <w:p>
      <w:pPr/>
      <w:r>
        <w:rPr>
          <w:b/>
        </w:rPr>
        <w:t>Architecture.</w:t>
      </w:r>
      <w:r>
        <w:rPr/>
        <w:t xml:space="preserve"> Mutable console versus build→validate→approve→promote→monitor.</w:t>
      </w:r>
    </w:p>
    <w:p>
      <w:pPr/>
      <w:r>
        <w:rPr>
          <w:b/>
        </w:rPr>
        <w:t>Enterprise Example.</w:t>
      </w:r>
      <w:r>
        <w:rPr/>
        <w:t xml:space="preserve"> Prompt fix increases leakage and cannot roll back exactly.</w:t>
      </w:r>
    </w:p>
    <w:p>
      <w:pPr/>
      <w:r>
        <w:rPr>
          <w:b/>
        </w:rPr>
        <w:t>Detection Metrics.</w:t>
      </w:r>
      <w:r>
        <w:rPr/>
        <w:t xml:space="preserve"> Unversioned runs, out-of-band edits, rollback failure.</w:t>
      </w:r>
    </w:p>
    <w:p>
      <w:pPr/>
      <w:r>
        <w:rPr>
          <w:b/>
        </w:rPr>
        <w:t>Trade-offs.</w:t>
      </w:r>
      <w:r>
        <w:rPr/>
        <w:t xml:space="preserve"> Immutability needs good tooling.</w:t>
      </w:r>
    </w:p>
    <w:p>
      <w:pPr>
        <w:pStyle w:val="Heading2"/>
        <w:keepNext/>
      </w:pPr>
      <w:r>
        <w:rPr/>
        <w:t>Transition to Chapter 18</w:t>
      </w:r>
    </w:p>
    <w:p>
      <w:pPr/>
      <w:r>
        <w:rPr/>
        <w:t>After removing unsafe local architectures, Chapter 18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MULTI-AGENT &amp; PLATFORM INTEGRATION</w:t>
            </w:r>
          </w:p>
          <w:p>
            <w:pPr>
              <w:spacing w:before="360"/>
              <w:jc w:val="center"/>
            </w:pPr>
            <w:r>
              <w:rPr>
                <w:rFonts w:ascii="Arial" w:hAnsi="Arial"/>
                <w:color w:val="D8E8F5"/>
                <w:sz w:val="22"/>
              </w:rPr>
              <w:t>This Part expands beyond one runtime. It shows when specialized agents are justified and how MCP, A2A, APIs, events, and shared services can cross platform boundaries without transferring hidden authority or trust.</w:t>
            </w:r>
          </w:p>
        </w:tc>
      </w:tr>
    </w:tbl>
    <w:p>
      <w:r>
        <w:br w:type="page"/>
      </w:r>
    </w:p>
    <w:p>
      <w:pPr>
        <w:pStyle w:val="Heading1"/>
        <w:keepNext/>
        <w:pageBreakBefore w:val="0"/>
      </w:pPr>
      <w:r>
        <w:rPr/>
        <w:t>18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M.</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19</w:t>
      </w:r>
    </w:p>
    <w:p>
      <w:pPr/>
      <w:r>
        <w:rPr/>
        <w:t>Multi-agent collaboration inside one platform is only part of the problem; Chapter 19 governs cross-platform tools, agents, APIs, and events.</w:t>
      </w:r>
    </w:p>
    <w:p>
      <w:pPr>
        <w:pStyle w:val="Heading1"/>
        <w:keepNext/>
        <w:pageBreakBefore/>
      </w:pPr>
      <w:r>
        <w:rPr/>
        <w:t>19 — MCP, A2A, and External Integration</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M.</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20</w:t>
      </w:r>
    </w:p>
    <w:p>
      <w:pPr/>
      <w:r>
        <w:rPr/>
        <w:t>External integrations are bounded; Chapter 20 isolates model-provider access and policy in the LLM Gateway control plane.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LLM GATEWAY</w:t>
            </w:r>
          </w:p>
          <w:p>
            <w:pPr>
              <w:spacing w:before="360"/>
              <w:jc w:val="center"/>
            </w:pPr>
            <w:r>
              <w:rPr>
                <w:rFonts w:ascii="Arial" w:hAnsi="Arial"/>
                <w:color w:val="D8E8F5"/>
                <w:sz w:val="22"/>
              </w:rPr>
              <w:t>This Part isolates model-provider concerns behind a control plane for routing, authorization, policy, privacy, budgets, resilience, telemetry, and evaluation hooks. It also distinguishes the LLM Gateway from API, agent, MCP, and workflow layers.</w:t>
            </w:r>
          </w:p>
        </w:tc>
      </w:tr>
    </w:tbl>
    <w:p>
      <w:r>
        <w:br w:type="page"/>
      </w:r>
    </w:p>
    <w:p>
      <w:pPr>
        <w:pStyle w:val="Heading1"/>
        <w:keepNext/>
        <w:pageBreakBefore w:val="0"/>
      </w:pPr>
      <w:r>
        <w:rPr/>
        <w:t>20 — LLM Gateway and Model Control Plane</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gateway-position.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rPr/>
        <w:t>Figure 20-1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model-routing.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rPr/>
        <w:t>Figure 20-2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Transition to Chapter 21</w:t>
      </w:r>
    </w:p>
    <w:p>
      <w:pPr/>
      <w:r>
        <w:rPr/>
        <w:t>The gateway controls model access, but not the entire attack surface; Chapter 21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SECURITY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tc>
      </w:tr>
    </w:tbl>
    <w:p>
      <w:r>
        <w:br w:type="page"/>
      </w:r>
    </w:p>
    <w:p>
      <w:pPr>
        <w:pStyle w:val="Heading1"/>
        <w:keepNext/>
        <w:pageBreakBefore w:val="0"/>
      </w:pPr>
      <w:r>
        <w:rPr/>
        <w:t>21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security-depth.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rPr/>
        <w:t>Figure 21-1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3479800"/>
            <wp:docPr id="15" name="Picture 15"/>
            <wp:cNvGraphicFramePr>
              <a:graphicFrameLocks noChangeAspect="1"/>
            </wp:cNvGraphicFramePr>
            <a:graphic>
              <a:graphicData uri="http://schemas.openxmlformats.org/drawingml/2006/picture">
                <pic:pic>
                  <pic:nvPicPr>
                    <pic:cNvPr id="0" name="security-boundaries.png"/>
                    <pic:cNvPicPr/>
                  </pic:nvPicPr>
                  <pic:blipFill>
                    <a:blip r:embed="rId27"/>
                    <a:stretch>
                      <a:fillRect/>
                    </a:stretch>
                  </pic:blipFill>
                  <pic:spPr>
                    <a:xfrm>
                      <a:off x="0" y="0"/>
                      <a:ext cx="6263640" cy="3479800"/>
                    </a:xfrm>
                    <a:prstGeom prst="rect"/>
                  </pic:spPr>
                </pic:pic>
              </a:graphicData>
            </a:graphic>
          </wp:inline>
        </w:drawing>
      </w:r>
    </w:p>
    <w:p>
      <w:pPr>
        <w:pStyle w:val="Caption"/>
        <w:jc w:val="center"/>
      </w:pPr>
      <w:r>
        <w:rPr/>
        <w:t>Figure 21-2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guardrail-sequenc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rPr/>
        <w:t>Figure 21-3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Transition to Chapter 22</w:t>
      </w:r>
    </w:p>
    <w:p>
      <w:pPr/>
      <w:r>
        <w:rPr/>
        <w:t>The threat model is established; Chapter 22 applies it to context, retrieval, memory, and state—the data surfaces most likely to carry hidden instructions.</w:t>
      </w:r>
    </w:p>
    <w:p>
      <w:pPr>
        <w:pStyle w:val="Heading1"/>
        <w:keepNext/>
        <w:pageBreakBefore/>
      </w:pPr>
      <w:r>
        <w:rPr/>
        <w:t>22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M.</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23</w:t>
      </w:r>
    </w:p>
    <w:p>
      <w:pPr/>
      <w:r>
        <w:rPr/>
        <w:t>Context and state are bounded; Chapter 23 determines whose authority may flow through the system and how that authority narrows across hops.</w:t>
      </w:r>
    </w:p>
    <w:p>
      <w:pPr>
        <w:pStyle w:val="Heading1"/>
        <w:keepNext/>
        <w:pageBreakBefore/>
      </w:pPr>
      <w:r>
        <w:rPr/>
        <w:t>23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M.</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24</w:t>
      </w:r>
    </w:p>
    <w:p>
      <w:pPr/>
      <w:r>
        <w:rPr/>
        <w:t>Identity and delegated authority answer who may ask; Chapter 24 proves whether a specific tool effect may execute, commit, retry, or recover.</w:t>
      </w:r>
    </w:p>
    <w:p>
      <w:pPr>
        <w:pStyle w:val="Heading1"/>
        <w:keepNext/>
        <w:pageBreakBefore/>
      </w:pPr>
      <w:r>
        <w:rPr/>
        <w:t>24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M.</w:t>
      </w:r>
    </w:p>
    <w:p>
      <w:pPr>
        <w:pStyle w:val="Heading2"/>
        <w:keepNext/>
      </w:pPr>
      <w:r>
        <w:rPr/>
        <w:t>Implementation reference</w:t>
      </w: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25</w:t>
      </w:r>
    </w:p>
    <w:p>
      <w:pPr/>
      <w:r>
        <w:rPr/>
        <w:t>Protected effects are governed; Chapter 25 contains the remaining execution, egress, data, privacy, and supply-chain blast radius.</w:t>
      </w:r>
    </w:p>
    <w:p>
      <w:pPr>
        <w:pStyle w:val="Heading1"/>
        <w:keepNext/>
        <w:pageBreakBefore/>
      </w:pPr>
      <w:r>
        <w:rPr/>
        <w:t>25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M.</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26</w:t>
      </w:r>
    </w:p>
    <w:p>
      <w:pPr/>
      <w:r>
        <w:rPr/>
        <w:t>Security controls now produce events and evidence; Chapter 26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IX</w:t>
            </w:r>
          </w:p>
          <w:p>
            <w:pPr>
              <w:pStyle w:val="BookPart"/>
              <w:jc w:val="center"/>
            </w:pPr>
            <w:r>
              <w:t>OBSERVABILITY &amp; EVALUATION</w:t>
            </w:r>
          </w:p>
          <w:p>
            <w:pPr>
              <w:spacing w:before="360"/>
              <w:jc w:val="center"/>
            </w:pPr>
            <w:r>
              <w:rPr>
                <w:rFonts w:ascii="Arial" w:hAnsi="Arial"/>
                <w:color w:val="D8E8F5"/>
                <w:sz w:val="22"/>
              </w:rPr>
              <w:t>This Part establishes the evidence plane. Traces reconstruct trajectories and effects; evaluations measure outcomes, safety, reliability, latency, cost, and human burden; debugging turns those signals into actionable diagnoses.</w:t>
            </w:r>
          </w:p>
        </w:tc>
      </w:tr>
    </w:tbl>
    <w:p>
      <w:r>
        <w:br w:type="page"/>
      </w:r>
    </w:p>
    <w:p>
      <w:pPr>
        <w:pStyle w:val="Heading1"/>
        <w:keepNext/>
        <w:pageBreakBefore w:val="0"/>
      </w:pPr>
      <w:r>
        <w:rPr/>
        <w:t>26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M.</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27</w:t>
      </w:r>
    </w:p>
    <w:p>
      <w:pPr/>
      <w:r>
        <w:rPr/>
        <w:t>Tracing explains what happened; Chapter 27 determines whether the trajectory and outcome were acceptable and whether a change is safe to ship.</w:t>
      </w:r>
    </w:p>
    <w:p>
      <w:pPr>
        <w:pStyle w:val="Heading1"/>
        <w:keepNext/>
        <w:pageBreakBefore/>
      </w:pPr>
      <w:r>
        <w:rPr/>
        <w:t>27 — Evaluation, Testing, and Debugging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M.</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28</w:t>
      </w:r>
    </w:p>
    <w:p>
      <w:pPr/>
      <w:r>
        <w:rPr/>
        <w:t>Evaluation supplies comparable evidence; Chapter 28 turns that evidence into a governed learning and improvement lifecycle.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X</w:t>
            </w:r>
          </w:p>
          <w:p>
            <w:pPr>
              <w:pStyle w:val="BookPart"/>
              <w:jc w:val="center"/>
            </w:pPr>
            <w:r>
              <w:t>CONTINUOUS LEARNING</w:t>
            </w:r>
          </w:p>
          <w:p>
            <w:pPr>
              <w:spacing w:before="360"/>
              <w:jc w:val="center"/>
            </w:pPr>
            <w:r>
              <w:rPr>
                <w:rFonts w:ascii="Arial" w:hAnsi="Arial"/>
                <w:color w:val="D8E8F5"/>
                <w:sz w:val="22"/>
              </w:rPr>
              <w:t>This Part closes the evidence-to-change loop. It separates bounded runtime adaptation from governed offline improvement and defines who may recommend, validate, approve, deploy, monitor, and reverse changes to prompts, models, tools, memory, routing, workflows, and architecture.</w:t>
            </w:r>
          </w:p>
        </w:tc>
      </w:tr>
    </w:tbl>
    <w:p>
      <w:r>
        <w:br w:type="page"/>
      </w:r>
    </w:p>
    <w:p>
      <w:pPr>
        <w:pStyle w:val="Heading1"/>
        <w:keepNext/>
        <w:pageBreakBefore w:val="0"/>
      </w:pPr>
      <w:r>
        <w:rPr/>
        <w:t>28 — Continuous Learning and Improvement Architecture</w:t>
      </w: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learning-loop.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rPr/>
        <w:t>Figure 28-1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3479800"/>
            <wp:docPr id="18" name="Picture 18"/>
            <wp:cNvGraphicFramePr>
              <a:graphicFrameLocks noChangeAspect="1"/>
            </wp:cNvGraphicFramePr>
            <a:graphic>
              <a:graphicData uri="http://schemas.openxmlformats.org/drawingml/2006/picture">
                <pic:pic>
                  <pic:nvPicPr>
                    <pic:cNvPr id="0" name="runtime-offline.png"/>
                    <pic:cNvPicPr/>
                  </pic:nvPicPr>
                  <pic:blipFill>
                    <a:blip r:embed="rId30"/>
                    <a:stretch>
                      <a:fillRect/>
                    </a:stretch>
                  </pic:blipFill>
                  <pic:spPr>
                    <a:xfrm>
                      <a:off x="0" y="0"/>
                      <a:ext cx="6263640" cy="3479800"/>
                    </a:xfrm>
                    <a:prstGeom prst="rect"/>
                  </pic:spPr>
                </pic:pic>
              </a:graphicData>
            </a:graphic>
          </wp:inline>
        </w:drawing>
      </w:r>
    </w:p>
    <w:p>
      <w:pPr>
        <w:pStyle w:val="Caption"/>
        <w:jc w:val="center"/>
      </w:pPr>
      <w:r>
        <w:rPr/>
        <w:t>Figure 28-2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Transition to Chapter 29</w:t>
      </w:r>
    </w:p>
    <w:p>
      <w:pPr/>
      <w:r>
        <w:rPr/>
        <w:t>The improvement loop proposes and validates change; Chapter 29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XI</w:t>
            </w:r>
          </w:p>
          <w:p>
            <w:pPr>
              <w:pStyle w:val="BookPart"/>
              <w:jc w:val="center"/>
            </w:pPr>
            <w:r>
              <w:t>GOVERNANCE</w:t>
            </w:r>
          </w:p>
          <w:p>
            <w:pPr>
              <w:spacing w:before="360"/>
              <w:jc w:val="center"/>
            </w:pPr>
            <w:r>
              <w:rPr>
                <w:rFonts w:ascii="Arial" w:hAnsi="Arial"/>
                <w:color w:val="D8E8F5"/>
                <w:sz w:val="22"/>
              </w:rPr>
              <w:t>This Part defines decision rights, risk tiers, evidence requirements, exceptions, accountability, and lifecycle oversight. It connects technical release controls to an operating model rather than treating governance as a review gate at the end.</w:t>
            </w:r>
          </w:p>
        </w:tc>
      </w:tr>
    </w:tbl>
    <w:p>
      <w:r>
        <w:br w:type="page"/>
      </w:r>
    </w:p>
    <w:p>
      <w:pPr>
        <w:pStyle w:val="Heading1"/>
        <w:keepNext/>
        <w:pageBreakBefore w:val="0"/>
      </w:pPr>
      <w:r>
        <w:rPr/>
        <w:t>29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overnance-model.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rPr/>
        <w:t>Figure 29-1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Transition to Chapter 30</w:t>
      </w:r>
    </w:p>
    <w:p>
      <w:pPr/>
      <w:r>
        <w:rPr/>
        <w:t>Governance defines who may release change; Chapter 30 makes releases immutable, promotable, observable, reversible, and recoverable.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XII</w:t>
            </w:r>
          </w:p>
          <w:p>
            <w:pPr>
              <w:pStyle w:val="BookPart"/>
              <w:jc w:val="center"/>
            </w:pPr>
            <w:r>
              <w:t>DEPLOYMENT &amp; PRODUCTION OPERATIONS</w:t>
            </w:r>
          </w:p>
          <w:p>
            <w:pPr>
              <w:spacing w:before="360"/>
              <w:jc w:val="center"/>
            </w:pPr>
            <w:r>
              <w:rPr>
                <w:rFonts w:ascii="Arial" w:hAnsi="Arial"/>
                <w:color w:val="D8E8F5"/>
                <w:sz w:val="22"/>
              </w:rPr>
              <w:t>This Part operationalizes the complete architecture. It covers immutable releases, promotion, rollback, disaster recovery, capacity, queueing, cost, latency, reliability, and the economics of verified—not merely generated—outcomes.</w:t>
            </w:r>
          </w:p>
        </w:tc>
      </w:tr>
    </w:tbl>
    <w:p>
      <w:r>
        <w:br w:type="page"/>
      </w:r>
    </w:p>
    <w:p>
      <w:pPr>
        <w:pStyle w:val="Heading1"/>
        <w:keepNext/>
        <w:pageBreakBefore w:val="0"/>
      </w:pPr>
      <w:r>
        <w:rPr/>
        <w:t>30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M.</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31</w:t>
      </w:r>
    </w:p>
    <w:p>
      <w:pPr/>
      <w:r>
        <w:rPr/>
        <w:t>The release lifecycle is controlled; Chapter 31 sizes the system and optimizes cost, latency, capacity, and reliability around verified outcomes.</w:t>
      </w:r>
    </w:p>
    <w:p>
      <w:pPr>
        <w:pStyle w:val="Heading1"/>
        <w:keepNext/>
        <w:pageBreakBefore/>
      </w:pPr>
      <w:r>
        <w:rPr/>
        <w:t>31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M.</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Decision aids, runbooks, contracts, framework landscape, assurance evidence, and release acceptance.</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 AN AGENT SDK IS NOT AUTOMATICALLY A DURABLE W</w:t>
            </w:r>
            <w:r>
              <w:rPr/>
              <w:t xml:space="preserve">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w:t>
      </w:r>
    </w:p>
    <w:p>
      <w:pPr>
        <w:pStyle w:val="Heading1"/>
        <w:keepNext/>
        <w:pageBreakBefore/>
      </w:pPr>
      <w:r>
        <w:rPr/>
        <w:t>Northstar Agentic Reference Implementation</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32">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33">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34">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35">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36">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37">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38">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39">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40">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41">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42">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43">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44">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45">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46">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47">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48">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49">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50">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51">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52">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53">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54">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55">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56">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57">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58">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59">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60">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61">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62">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63">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64">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65">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66">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67">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68">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69">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70">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71">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72">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73">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74">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Heading1"/>
        <w:keepNext/>
        <w:pageBreakBefore/>
      </w:pPr>
      <w:r>
        <w:rPr/>
        <w:t>Appendix L — Release history and editorial closure</w:t>
      </w:r>
    </w:p>
    <w:p>
      <w:pPr>
        <w:pStyle w:val="Heading2"/>
        <w:keepNext/>
      </w:pPr>
      <w:r>
        <w:rPr/>
        <w:t>Book v1.0.0 publication release</w:t>
      </w:r>
    </w:p>
    <w:p>
      <w:pPr>
        <w:pStyle w:val="ListBullet"/>
        <w:keepLines/>
      </w:pPr>
      <w:r>
        <w:rPr/>
        <w:t>Established semantic version 1.0.0 as the canonical publication and future-development baseline.</w:t>
      </w:r>
    </w:p>
    <w:p>
      <w:pPr>
        <w:pStyle w:val="ListBullet"/>
        <w:keepLines/>
      </w:pPr>
      <w:r>
        <w:rPr/>
        <w:t>Reviewed all 31 chapters and 15 appendices as one dependency-ordered narrative; added specific Part orientations and chapter-to-chapter transitions.</w:t>
      </w:r>
    </w:p>
    <w:p>
      <w:pPr>
        <w:pStyle w:val="ListBullet"/>
        <w:keepLines/>
      </w:pPr>
      <w:r>
        <w:rPr/>
        <w:t>Removed repeated package boilerplate and consolidated maintenance instructions in the development package.</w:t>
      </w:r>
    </w:p>
    <w:p>
      <w:pPr>
        <w:pStyle w:val="ListBullet"/>
        <w:keepLines/>
      </w:pPr>
      <w:r>
        <w:rPr/>
        <w:t>Replaced duplicate source lists with a numbered References section and a claim-to-source traceability matrix.</w:t>
      </w:r>
    </w:p>
    <w:p>
      <w:pPr>
        <w:pStyle w:val="ListBullet"/>
        <w:keepLines/>
      </w:pPr>
      <w:r>
        <w:rPr/>
        <w:t>Added scoped evidence notes for protocols, frameworks, standards, research, security guidance, governance, accessibility, incident response, and queueing claims.</w:t>
      </w:r>
    </w:p>
    <w:p>
      <w:pPr>
        <w:pStyle w:val="ListBullet"/>
        <w:keepLines/>
      </w:pPr>
      <w:r>
        <w:rPr/>
        <w:t>Encoded the visual and structural system in machine-readable configuration, reusable build/validation scripts, templates, and agent Skills.</w:t>
      </w:r>
    </w:p>
    <w:p>
      <w:pPr/>
      <w:r>
        <w:rPr/>
        <w:t>This closure log records the review findings resolved in the final edition. Version assumptions, validation boundaries, and architectural recommendations remain explicit so future upgrades can be assessed without reopening settled design gaps.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Severity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Finding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Final implementation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Critical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baseline was stale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Resolved: the obsolete 2025-06-18 baseline was removed. The final edition uses MCP 2026-07-28 with a stateless core, per-request capability negotiation, server/discover, cacheable list results, explicit application handles, and optional Tasks/Skills extensions.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A2A examples mixed local and normative APIs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 A2A 1.0.1; name normative operations separately from Northstar bridge endpoints; treat cancellation as best effort and task visibility as an authorization obligation.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approval sample was not executable as shown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the protected tool, return RunResult instead of throwing serialized state, preserve the SDK interruption, and verify the enterprise proposal hash and resource version at the gateway.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was represented as a Boolean in companion code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ActionProposal and ApprovalGrant contracts bound to tenant, run, tool, arguments, logical effect, policy digest, expiry, and expected resource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Adapter validation scope was overstated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explicitly that deterministic modules are executed in CI while OpenAI/MLflow adapters are syntax-checked here and require pinned dependency and endpoint integration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Delegated authority omitted purpose and spend in code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Make purpose and cost monotonic in CapabilityEnvelope and add boundary tests, including URI prefix ambiguity.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Ambiguous connector failures could remain 'executing'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every post-dispatch ambiguous exception to unknown; reconcile against the authoritative downstream record before retry or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 terminology could imply a standard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Label Skill and Skill Pack as book-defined platform packaging patterns. Distinguish them from A2A AgentSkill discovery metadata and the optional Skills-over-MCP extension.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maturity was underqualified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Keep OTLP and the trace model, but label GenAI semantic conventions Development and isolate them behind a mapping layer.</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version status needed stronger caveats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Retain the 3.15.2 reproducibility baseline without claiming it is latest; re-verify experimental features and distinguish synchronous evaluation orchestration from an async predict function.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references were presented too uniformly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voluntary NIST guidance, certifiable ISO management-system requirements, community OWASP guidance, and binding law. Add jurisdiction and legal-review caveats.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assurance was thin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dependency locks, SBOM, signed provenance, trusted builders/signers, immutable Skill artifacts, and release attestations; distinguish SBOM contents from SLSA build provenance.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Operational resilience lacked explicit objectives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 kill-switch scopes, degraded safe mode, RTO/RPO, region-failover evidence, restoration tests, and recovery of approvals/effects.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Privacy lifecycle needed a rights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minimization, purpose limitation, retention, deletion propagation, legal hold, data residency, subject-rights handling, and model-provider data-use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factors were not a first-class safety layer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 accessible approval UX, automation-bias controls, rationale/evidence separation, preview fidelity, fatigue metrics, and recourse/appeal.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interoperability lacked a concrete 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CloudEvents 1.0-compatible event metadata, source-plus-ID deduplication, outbox ownership, schema versioning, and large-payload indirection.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Medium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Capacity guidance needed an executable 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 arrival-rate, fan-out, retry-amplification, service-time, utilization, queue, token, and cost equations plus load-test calibration.</w:t>
            </w:r>
          </w:p>
        </w:tc>
      </w:tr>
    </w:tbl>
    <w:p>
      <w:pPr>
        <w:spacing w:after="20"/>
      </w:pPr>
    </w:p>
    <w:p>
      <w:pPr>
        <w:pStyle w:val="Heading2"/>
        <w:keepNext/>
      </w:pPr>
      <w:r>
        <w:rPr/>
        <w:t>Final implementations with implementation impact</w:t>
      </w:r>
    </w:p>
    <w:p>
      <w:pPr/>
      <w:r>
        <w:rPr>
          <w:b/>
        </w:rPr>
        <w:t>✓</w:t>
      </w:r>
      <w:r>
        <w:rPr/>
        <w:t xml:space="preserve"> The OpenAI protected tool is registered; pause/resume returns RunResult; state is not thrown as exception text; approval metadata reaches the gateway.</w:t>
      </w:r>
    </w:p>
    <w:p>
      <w:pPr/>
      <w:r>
        <w:rPr>
          <w:b/>
        </w:rPr>
        <w:t>✓</w:t>
      </w:r>
      <w:r>
        <w:rPr/>
        <w:t xml:space="preserve"> The MLflow evaluation wrapper is synchronous while still accepting async prediction functions.</w:t>
      </w:r>
    </w:p>
    <w:p>
      <w:pPr/>
      <w:r>
        <w:rPr>
          <w:b/>
        </w:rPr>
        <w:t>✓</w:t>
      </w:r>
      <w:r>
        <w:rPr/>
        <w:t xml:space="preserve"> Capability delegation narrows purpose and cost and rejects ambiguous URI-prefix matches.</w:t>
      </w:r>
    </w:p>
    <w:p>
      <w:pPr/>
      <w:r>
        <w:rPr>
          <w:b/>
        </w:rPr>
        <w:t>✓</w:t>
      </w:r>
      <w:r>
        <w:rPr/>
        <w:t xml:space="preserve"> Mutating tools declare idempotency and ambiguous post-dispatch exceptions become unknown.</w:t>
      </w:r>
    </w:p>
    <w:p>
      <w:pPr/>
      <w:r>
        <w:rPr>
          <w:b/>
        </w:rPr>
        <w:t>✓</w:t>
      </w:r>
      <w:r>
        <w:rPr/>
        <w:t xml:space="preserve"> Added approval, event/outbox, artifact-policy, supply-chain, kill-switch, and recovery-objective modules with deterministic tests.</w:t>
      </w:r>
    </w:p>
    <w:p>
      <w:pPr/>
      <w:r>
        <w:rPr>
          <w:b/>
        </w:rPr>
        <w:t>✓</w:t>
      </w:r>
      <w:r>
        <w:rPr/>
        <w:t xml:space="preserve"> MCP guidance now targets 2026-07-28; A2A guidance targets 1.0.1; local bridge APIs are not presented as protocol operations.</w:t>
      </w:r>
    </w:p>
    <w:p>
      <w:pPr>
        <w:pStyle w:val="Heading2"/>
        <w:keepNext/>
      </w:pPr>
      <w:r>
        <w:rPr/>
        <w:t>v1.0.0 publication architecture and developer-platform foundation</w:t>
      </w:r>
    </w:p>
    <w:p>
      <w:pPr/>
      <w:r>
        <w:rPr/>
        <w:t>✓ Chapter 17 now contains sixteen category-organized pattern-replacement cards with consistent architecture, example, metric, and trade-off fields.</w:t>
      </w:r>
    </w:p>
    <w:p>
      <w:pPr/>
      <w:r>
        <w:rPr/>
        <w:t>✓ Chapter 28 now defines the ten-stage continuous-learning architecture, runtime/offline boundary, optimization matrix, automation policy, and regression lifecycle.</w:t>
      </w:r>
    </w:p>
    <w:p>
      <w:pPr>
        <w:pStyle w:val="Heading1"/>
        <w:keepNext/>
        <w:pageBreakBefore/>
      </w:pPr>
      <w:r>
        <w:rPr/>
        <w:t>Appendix M — Citation and 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bl>
    <w:p>
      <w:pPr>
        <w:spacing w:after="20"/>
      </w:pPr>
    </w:p>
    <w:p>
      <w:pPr>
        <w:pStyle w:val="Heading1"/>
        <w:keepNext/>
        <w:pageBreakBefore/>
      </w:pPr>
      <w:r>
        <w:rPr/>
        <w:t>Appendix N — Integrated assurance coverage</w:t>
      </w:r>
    </w:p>
    <w:p>
      <w:pPr/>
      <w:r>
        <w:rPr/>
        <w:t>The controls below are part of the final architecture and acceptance model. They are no longer review gaps; each has an owning boundary, required evidence, and a deployment validation path.</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Assurance area</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control/evidence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and epistemics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class, source revision, evidence hash, uncertainty, unsupported-claim rejection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1, 14, 19</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quality and freshness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source, freshness SLO, duplicate/entity resolution, schema drift, correction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1, 14, 20</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and records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Minimization, purpose, residency, retention, deletion, legal hold, DSAR, provider use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14, 17, 21</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Multimodal and binary input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 sniffing, malware scan, OCR provenance, decompression limits, sandbox, active-content stripping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2, 13, 17</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factors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Accessible preview, evidence/rationale split, anti-automation-bias prompts, fatigue and override metrics, appeal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8, 17, 18</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catalog, residency/retention, schema conformance, drift evals, fallback equivalence, exit plan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3, 19, 21</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continuity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RTO/RPO, degraded safe mode, region evacuation, backup restore, pending-approval and unknown-effect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9, 16, 21</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Lockfile, SBOM, SLSA provenance, signature, trusted builder, vulnerability policy, revocation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10, 11, 21</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negotiation, conformance tests, dual-read/write where safe, bridge ownership, deprecation deadline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13, 21</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Quantitative capacity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Arrival rate, fan-out, retry multiplier, p95 service time, utilization target, permits, queue SLO,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20, 22</w:t>
            </w:r>
          </w:p>
        </w:tc>
      </w:tr>
    </w:tbl>
    <w:p>
      <w:pPr>
        <w:spacing w:after="20"/>
      </w:pPr>
    </w:p>
    <w:p>
      <w:pPr>
        <w:pStyle w:val="Heading2"/>
        <w:keepNext/>
      </w:pPr>
      <w:r>
        <w:rPr/>
        <w:t>Data quality, freshness, and correction</w:t>
      </w:r>
    </w:p>
    <w:p>
      <w:pPr/>
      <w:r>
        <w:rPr/>
        <w:t>Grounding fails when an authorized source is stale, duplicated, incorrectly resolved, or semantically incompatible. Define a data contract with source authority, revision semantics, freshness SLO, schema owner, quality checks, conflict precedence, and a correction path. Entity resolution must preserve uncertainty rather than silently merging records. A retrieval score is not evidence of freshness or truth.</w:t>
      </w:r>
    </w:p>
    <w:p>
      <w:pPr>
        <w:pStyle w:val="Heading2"/>
        <w:keepNext/>
      </w:pPr>
      <w:r>
        <w:rPr/>
        <w:t>Privacy, records, and derived-data deletion</w:t>
      </w:r>
    </w:p>
    <w:p>
      <w:pPr/>
      <w:r>
        <w:rPr/>
        <w:t>Inventory every copy: source object, search index, cache, prompt snapshot, trace, artifact, evaluation dataset, backup, and model-provider retention surface. A deletion workflow must either delete, cryptographically render inaccessible, or record a documented legal-hold exception for each copy. Test propagation. Do not promise that deleting a memory row removes information from a model that was trained or fine-tuned on it; prevent that data use unless the governance basis explicitly allows it.</w:t>
      </w:r>
    </w:p>
    <w:p>
      <w:pPr>
        <w:pStyle w:val="Heading2"/>
        <w:keepNext/>
      </w:pPr>
      <w:r>
        <w:rPr/>
        <w:t>Multimodal and binary-content boundary</w:t>
      </w:r>
    </w:p>
    <w:p>
      <w:pPr/>
      <w:r>
        <w:rPr/>
        <w:t>Treat PDFs, images, office files, archives, audio, and video as hostile containers. Verify media type independently of extension; cap size, expansion ratio, pages, duration, and nested depth; scan malware; strip active content; isolate OCR and parsers; retain the original hash; record OCR/model versions; and label extracted text as untrusted. A screenshot of instructions is still prompt-injection content.</w:t>
      </w:r>
    </w:p>
    <w:p>
      <w:pPr>
        <w:pStyle w:val="Heading2"/>
        <w:keepNext/>
      </w:pPr>
      <w:r>
        <w:rPr/>
        <w:t>Human factors, accessibility, and recourse</w:t>
      </w:r>
    </w:p>
    <w:p>
      <w:pPr/>
      <w:r>
        <w:rPr/>
        <w:t>Approval safety depends on the interface. Present the exact action, target, before/after diff, evidence, uncertainty, reversibility, expiration, and resource version. Separate model rationale from authoritative evidence. Support keyboard and screen-reader navigation, color-independent risk cues, plain language, localization, and adequate review time. Measure approval latency, rejection, override, rubber-stamping, and post-approval incidents. Provide an appeal or correction path for consequential decisions.</w:t>
      </w:r>
    </w:p>
    <w:p>
      <w:pPr>
        <w:pStyle w:val="Heading2"/>
        <w:keepNext/>
      </w:pPr>
      <w:r>
        <w:rPr/>
        <w:t>Model and provider change management</w:t>
      </w:r>
    </w:p>
    <w:p>
      <w:pPr/>
      <w:r>
        <w:rPr/>
        <w:t>Maintain an approved model catalog with owner, intended use, data residency, retention/training terms, model card, context limit, structured-output behavior, tool support, deprecation date, and fallback. A model swap is a release change. Run schema, trajectory, safety, latency, cost, and degraded-mode evaluations on the exact release graph. Prove that a fallback has equivalent authorization and effect boundaries; output similarity alone is insufficient.</w:t>
      </w:r>
    </w:p>
    <w:p>
      <w:pPr>
        <w:pStyle w:val="Heading2"/>
        <w:keepNext/>
      </w:pPr>
      <w:r>
        <w:rPr/>
        <w:t>Incident response and business continuity</w:t>
      </w:r>
    </w:p>
    <w:p>
      <w:pPr/>
      <w:r>
        <w:rPr/>
        <w:t>Predefine severity, on-call ownership, evidence preservation, tenant notification, regulatory escalation, and post-incident evaluation updates. Kill switches should stop admission or a scoped capability without destroying workflow history. During region loss, restore workflow state, authorization references, pending approvals, timers, effect records, and audit evidence consistently. Test RTO/RPO and a safe degraded mode in which users can inspect status and resolve unknown effects while new high-risk mutations remain blocked.</w:t>
      </w:r>
    </w:p>
    <w:p>
      <w:pPr>
        <w:pStyle w:val="Heading2"/>
        <w:keepNext/>
      </w:pPr>
      <w:r>
        <w:rPr/>
        <w:t>Software, model, and Skill supply chain</w:t>
      </w:r>
    </w:p>
    <w:p>
      <w:pPr/>
      <w:r>
        <w:rPr/>
        <w:t>Pin and hash dependencies; generate an SBOM; produce signed build provenance; isolate builders; scan source, binaries, models, prompts, Skill packages, and MCP configuration; verify publishers; and enforce revocation. An SBOM lists components, while SLSA provenance supports trust in how an artifact was produced. Neither proves that the application is safe; evaluation, policy, and runtime controls remain necessary.</w:t>
      </w:r>
    </w:p>
    <w:p>
      <w:pPr>
        <w:pStyle w:val="Heading2"/>
        <w:keepNext/>
      </w:pPr>
      <w:r>
        <w:rPr/>
        <w:t>Quantitative capacity and economics</w:t>
      </w:r>
    </w:p>
    <w:p>
      <w:pPr/>
      <w:r>
        <w:rPr/>
        <w:t>Use measured distributions rather than average-only estimates. Segment by tenant, risk class, model route, tool dependency, and approval path. Model fan-out and retries explicitly, reserve headroom for correlated failures, and enforce admission before downstream saturation. Optimize cost per verified accepted outcome, not tokens per request; a cheap run that fails acceptance or creates reconciliation work is expensive.</w:t>
      </w:r>
    </w:p>
    <w:p>
      <w:pPr>
        <w:pStyle w:val="Heading2"/>
        <w:keepNext/>
      </w:pPr>
      <w:r>
        <w:rPr/>
        <w:t>Governance and legal applicability</w:t>
      </w:r>
    </w:p>
    <w:p>
      <w:pPr/>
      <w:r>
        <w:rPr/>
        <w:t>Create a control-to-obligation matrix per use case, role, geography, sector, and deployment date. NIST AI RMF is voluntary guidance; ISO/IEC 42001 specifies an organizational AI management system; OWASP provides community security guidance; and the EU AI Act imposes phased legal obligations. These references overlap but are not interchangeable. Obtain qualified legal and privacy review for the actual system and jurisdiction.</w:t>
      </w:r>
    </w:p>
    <w:p>
      <w:pPr>
        <w:pStyle w:val="Heading1"/>
        <w:keepNext/>
        <w:pageBreakBefore/>
      </w:pPr>
      <w:r>
        <w:rPr/>
        <w:t>Appendix O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v1.0.0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AGENTIC AI ARCHITECTURE &amp; DEVELOPER PLATFORM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arxiv.org/abs/2210.03629" TargetMode="External"/><Relationship Id="rId33" Type="http://schemas.openxmlformats.org/officeDocument/2006/relationships/hyperlink" Target="https://doi.org/10.1287/opre.9.3.383" TargetMode="External"/><Relationship Id="rId34" Type="http://schemas.openxmlformats.org/officeDocument/2006/relationships/hyperlink" Target="https://github.com/cloudevents/spec/blob/main/cloudevents/spec.md" TargetMode="External"/><Relationship Id="rId35" Type="http://schemas.openxmlformats.org/officeDocument/2006/relationships/hyperlink" Target="https://modelcontextprotocol.io/specification/2026-07-28" TargetMode="External"/><Relationship Id="rId36" Type="http://schemas.openxmlformats.org/officeDocument/2006/relationships/hyperlink" Target="https://modelcontextprotocol.io/specification/2026-07-28/basic/authorization" TargetMode="External"/><Relationship Id="rId37" Type="http://schemas.openxmlformats.org/officeDocument/2006/relationships/hyperlink" Target="https://a2a-protocol.org/v1.0.1/specification" TargetMode="External"/><Relationship Id="rId38" Type="http://schemas.openxmlformats.org/officeDocument/2006/relationships/hyperlink" Target="https://datatracker.ietf.org/doc/html/rfc8693" TargetMode="External"/><Relationship Id="rId39" Type="http://schemas.openxmlformats.org/officeDocument/2006/relationships/hyperlink" Target="https://datatracker.ietf.org/doc/html/rfc8707" TargetMode="External"/><Relationship Id="rId40" Type="http://schemas.openxmlformats.org/officeDocument/2006/relationships/hyperlink" Target="https://datatracker.ietf.org/doc/html/rfc9728" TargetMode="External"/><Relationship Id="rId41" Type="http://schemas.openxmlformats.org/officeDocument/2006/relationships/hyperlink" Target="https://www.iso.org/standard/42001" TargetMode="External"/><Relationship Id="rId42" Type="http://schemas.openxmlformats.org/officeDocument/2006/relationships/hyperlink" Target="https://github.com/open-telemetry/semantic-conventions-genai" TargetMode="External"/><Relationship Id="rId43" Type="http://schemas.openxmlformats.org/officeDocument/2006/relationships/hyperlink" Target="https://www.w3.org/TR/WCAG22/" TargetMode="External"/><Relationship Id="rId44" Type="http://schemas.openxmlformats.org/officeDocument/2006/relationships/hyperlink" Target="https://csrc.nist.gov/pubs/sp/800/207/final" TargetMode="External"/><Relationship Id="rId45" Type="http://schemas.openxmlformats.org/officeDocument/2006/relationships/hyperlink" Target="https://www.nist.gov/itl/ai-risk-management-framework" TargetMode="External"/><Relationship Id="rId46" Type="http://schemas.openxmlformats.org/officeDocument/2006/relationships/hyperlink" Target="https://doi.org/10.6028/NIST.AI.600-1" TargetMode="External"/><Relationship Id="rId47" Type="http://schemas.openxmlformats.org/officeDocument/2006/relationships/hyperlink" Target="https://genai.owasp.org/resource/owasp-top-10-for-agentic-applications-for-2026/" TargetMode="External"/><Relationship Id="rId48" Type="http://schemas.openxmlformats.org/officeDocument/2006/relationships/hyperlink" Target="https://cheatsheetseries.owasp.org/cheatsheets/AI_Agent_Security_Cheat_Sheet.html" TargetMode="External"/><Relationship Id="rId49" Type="http://schemas.openxmlformats.org/officeDocument/2006/relationships/hyperlink" Target="https://slsa.dev/spec/v1.2" TargetMode="External"/><Relationship Id="rId50" Type="http://schemas.openxmlformats.org/officeDocument/2006/relationships/hyperlink" Target="https://www.cisa.gov/sbom" TargetMode="External"/><Relationship Id="rId51" Type="http://schemas.openxmlformats.org/officeDocument/2006/relationships/hyperlink" Target="https://eur-lex.europa.eu/eli/reg/2016/679/oj" TargetMode="External"/><Relationship Id="rId52" Type="http://schemas.openxmlformats.org/officeDocument/2006/relationships/hyperlink" Target="https://digital-strategy.ec.europa.eu/en/policies/regulatory-framework-ai" TargetMode="External"/><Relationship Id="rId53" Type="http://schemas.openxmlformats.org/officeDocument/2006/relationships/hyperlink" Target="https://csrc.nist.gov/pubs/sp/800/61/r3/final" TargetMode="External"/><Relationship Id="rId54" Type="http://schemas.openxmlformats.org/officeDocument/2006/relationships/hyperlink" Target="https://temporal.io/blog/what-is-durable-execution" TargetMode="External"/><Relationship Id="rId55" Type="http://schemas.openxmlformats.org/officeDocument/2006/relationships/hyperlink" Target="https://docs.aws.amazon.com/prescriptive-guidance/latest/cloud-design-patterns/transactional-outbox.html" TargetMode="External"/><Relationship Id="rId56" Type="http://schemas.openxmlformats.org/officeDocument/2006/relationships/hyperlink" Target="https://mlflow.org/docs/latest/genai/eval-monitor/" TargetMode="External"/><Relationship Id="rId57" Type="http://schemas.openxmlformats.org/officeDocument/2006/relationships/hyperlink" Target="https://mlflow.org/releases/3.15.2" TargetMode="External"/><Relationship Id="rId58" Type="http://schemas.openxmlformats.org/officeDocument/2006/relationships/hyperlink" Target="https://deepeval.com/docs/metrics-introduction" TargetMode="External"/><Relationship Id="rId59" Type="http://schemas.openxmlformats.org/officeDocument/2006/relationships/hyperlink" Target="https://arize.com/docs/phoenix" TargetMode="External"/><Relationship Id="rId60" Type="http://schemas.openxmlformats.org/officeDocument/2006/relationships/hyperlink" Target="https://docs.ragas.io/en/latest/concepts/metrics/available_metrics/agents" TargetMode="External"/><Relationship Id="rId61" Type="http://schemas.openxmlformats.org/officeDocument/2006/relationships/hyperlink" Target="https://docs.langchain.com/langsmith/evaluation"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www.anthropic.com/engineering/building-effective-agents" TargetMode="External"/><Relationship Id="rId64" Type="http://schemas.openxmlformats.org/officeDocument/2006/relationships/hyperlink" Target="https://www.anthropic.com/engineering/multi-agent-research-system" TargetMode="External"/><Relationship Id="rId65" Type="http://schemas.openxmlformats.org/officeDocument/2006/relationships/hyperlink" Target="https://openai.github.io/openai-agents-python" TargetMode="External"/><Relationship Id="rId66" Type="http://schemas.openxmlformats.org/officeDocument/2006/relationships/hyperlink" Target="https://github.com/openai/openai-agents-python/releases/tag/v0.22.2" TargetMode="External"/><Relationship Id="rId67" Type="http://schemas.openxmlformats.org/officeDocument/2006/relationships/hyperlink" Target="https://learn.microsoft.com/en-us/agent-framework/overview" TargetMode="External"/><Relationship Id="rId68" Type="http://schemas.openxmlformats.org/officeDocument/2006/relationships/hyperlink" Target="https://adk.dev/agents" TargetMode="External"/><Relationship Id="rId69" Type="http://schemas.openxmlformats.org/officeDocument/2006/relationships/hyperlink" Target="https://docs.aws.amazon.com/bedrock/latest/userguide/agents-multi-agent-collaboration.html" TargetMode="External"/><Relationship Id="rId70" Type="http://schemas.openxmlformats.org/officeDocument/2006/relationships/hyperlink" Target="https://docs.langchain.com/oss/python/langgraph/persistence" TargetMode="External"/><Relationship Id="rId71" Type="http://schemas.openxmlformats.org/officeDocument/2006/relationships/hyperlink" Target="https://docs.llamaindex.ai/en/stable/module_guides/workflow/" TargetMode="External"/><Relationship Id="rId72" Type="http://schemas.openxmlformats.org/officeDocument/2006/relationships/hyperlink" Target="https://pydantic.dev/docs/ai/capabilities/durable_execution/overview" TargetMode="External"/><Relationship Id="rId73" Type="http://schemas.openxmlformats.org/officeDocument/2006/relationships/hyperlink" Target="https://docs.dapr.io/developing-ai/dapr-agents" TargetMode="External"/><Relationship Id="rId74" Type="http://schemas.openxmlformats.org/officeDocument/2006/relationships/hyperlink" Target="https://docs.dbos.dev/ai/ai-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Architecture &amp; Developer Platform Guide — Book v1.0.0</dc:title>
  <dc:subject>Enterprise Agentic AI architecture and developer platform</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