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0.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Agentic AI Architecture &amp; Developer Platform Guide</w:t>
      </w:r>
    </w:p>
    <w:p>
      <w:pPr>
        <w:pStyle w:val="Subtitle"/>
        <w:jc w:val="center"/>
      </w:pPr>
      <w:r>
        <w:rPr/>
        <w:t>Book v2.0.0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v2.0.0</w:t>
      </w:r>
    </w:p>
    <w:p>
      <w:pPr>
        <w:pStyle w:val="Subtitle"/>
        <w:jc w:val="center"/>
      </w:pPr>
      <w:r>
        <w:rPr/>
        <w:t>Book v2.0.0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v2.0.0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3479800"/>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3479800"/>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w:t>
      </w:r>
    </w:p>
    <w:p>
      <w:pPr>
        <w:pStyle w:val="ListNumber"/>
        <w:keepLines/>
      </w:pPr>
      <w:r>
        <w:rPr/>
        <w:t>Enterprise Reference Architecture, Boundaries, and Contracts</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Context Engineering, RAG, Memory, and State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w:t>
            </w:r>
          </w:p>
          <w:p>
            <w:pPr>
              <w:spacing w:before="360"/>
              <w:jc w:val="center"/>
            </w:pPr>
            <w:r>
              <w:rPr>
                <w:rFonts w:ascii="Arial" w:hAnsi="Arial"/>
                <w:color w:val="D8E8F5"/>
                <w:sz w:val="22"/>
              </w:rPr>
              <w:t>This Part converts the foundational invariants into an enterprise system of record. It assigns ownership across experience, application, runtime, knowledge, gateway, security, governance, and operations planes, then specifies the APIs and records that let those planes evolve independently.</w:t>
            </w:r>
          </w:p>
          <w:p>
            <w:pPr>
              <w:spacing w:before="400"/>
              <w:jc w:val="center"/>
            </w:pPr>
            <w:r>
              <w:drawing>
                <wp:inline xmlns:a="http://schemas.openxmlformats.org/drawingml/2006/main" xmlns:pic="http://schemas.openxmlformats.org/drawingml/2006/picture">
                  <wp:extent cx="4389120" cy="4264833"/>
                  <wp:docPr id="4" name="Picture 4"/>
                  <wp:cNvGraphicFramePr>
                    <a:graphicFrameLocks noChangeAspect="1"/>
                  </wp:cNvGraphicFramePr>
                  <a:graphic>
                    <a:graphicData uri="http://schemas.openxmlformats.org/drawingml/2006/picture">
                      <pic:pic>
                        <pic:nvPicPr>
                          <pic:cNvPr id="0" name="part-ii.png"/>
                          <pic:cNvPicPr/>
                        </pic:nvPicPr>
                        <pic:blipFill>
                          <a:blip r:embed="rId16"/>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3479800"/>
            <wp:docPr id="5" name="Picture 5"/>
            <wp:cNvGraphicFramePr>
              <a:graphicFrameLocks noChangeAspect="1"/>
            </wp:cNvGraphicFramePr>
            <a:graphic>
              <a:graphicData uri="http://schemas.openxmlformats.org/drawingml/2006/picture">
                <pic:pic>
                  <pic:nvPicPr>
                    <pic:cNvPr id="0" name="reference-architecture.png"/>
                    <pic:cNvPicPr/>
                  </pic:nvPicPr>
                  <pic:blipFill>
                    <a:blip r:embed="rId17"/>
                    <a:stretch>
                      <a:fillRect/>
                    </a:stretch>
                  </pic:blipFill>
                  <pic:spPr>
                    <a:xfrm>
                      <a:off x="0" y="0"/>
                      <a:ext cx="6263640" cy="3479800"/>
                    </a:xfrm>
                    <a:prstGeom prst="rect"/>
                  </pic:spPr>
                </pic:pic>
              </a:graphicData>
            </a:graphic>
          </wp:inline>
        </w:drawing>
      </w:r>
    </w:p>
    <w:p>
      <w:pPr>
        <w:pStyle w:val="Caption"/>
        <w:jc w:val="center"/>
      </w:pPr>
      <w:r>
        <w:rPr/>
        <w:t>Figure 4-1 — Enterprise agentic AI layered reference architecture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3479800"/>
            <wp:docPr id="6" name="Picture 6"/>
            <wp:cNvGraphicFramePr>
              <a:graphicFrameLocks noChangeAspect="1"/>
            </wp:cNvGraphicFramePr>
            <a:graphic>
              <a:graphicData uri="http://schemas.openxmlformats.org/drawingml/2006/picture">
                <pic:pic>
                  <pic:nvPicPr>
                    <pic:cNvPr id="0" name="request-sequence.png"/>
                    <pic:cNvPicPr/>
                  </pic:nvPicPr>
                  <pic:blipFill>
                    <a:blip r:embed="rId18"/>
                    <a:stretch>
                      <a:fillRect/>
                    </a:stretch>
                  </pic:blipFill>
                  <pic:spPr>
                    <a:xfrm>
                      <a:off x="0" y="0"/>
                      <a:ext cx="6263640" cy="347980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5</w:t>
      </w:r>
    </w:p>
    <w:p>
      <w:pPr/>
      <w:r>
        <w:rPr/>
        <w:t>The reference architecture is now concrete enough to productize; Chapter 5 defines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7" name="Picture 7"/>
                  <wp:cNvGraphicFramePr>
                    <a:graphicFrameLocks noChangeAspect="1"/>
                  </wp:cNvGraphicFramePr>
                  <a:graphic>
                    <a:graphicData uri="http://schemas.openxmlformats.org/drawingml/2006/picture">
                      <pic:pic>
                        <pic:nvPicPr>
                          <pic:cNvPr id="0" name="part-iii.png"/>
                          <pic:cNvPicPr/>
                        </pic:nvPicPr>
                        <pic:blipFill>
                          <a:blip r:embed="rId1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05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3479800"/>
            <wp:docPr id="8" name="Picture 8"/>
            <wp:cNvGraphicFramePr>
              <a:graphicFrameLocks noChangeAspect="1"/>
            </wp:cNvGraphicFramePr>
            <a:graphic>
              <a:graphicData uri="http://schemas.openxmlformats.org/drawingml/2006/picture">
                <pic:pic>
                  <pic:nvPicPr>
                    <pic:cNvPr id="0" name="developer-platform.png"/>
                    <pic:cNvPicPr/>
                  </pic:nvPicPr>
                  <pic:blipFill>
                    <a:blip r:embed="rId20"/>
                    <a:stretch>
                      <a:fillRect/>
                    </a:stretch>
                  </pic:blipFill>
                  <pic:spPr>
                    <a:xfrm>
                      <a:off x="0" y="0"/>
                      <a:ext cx="6263640" cy="3479800"/>
                    </a:xfrm>
                    <a:prstGeom prst="rect"/>
                  </pic:spPr>
                </pic:pic>
              </a:graphicData>
            </a:graphic>
          </wp:inline>
        </w:drawing>
      </w:r>
    </w:p>
    <w:p>
      <w:pPr>
        <w:pStyle w:val="Caption"/>
        <w:jc w:val="center"/>
      </w:pPr>
      <w:r>
        <w:rPr/>
        <w:t>Figure 5-1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3479800"/>
            <wp:docPr id="9" name="Picture 9"/>
            <wp:cNvGraphicFramePr>
              <a:graphicFrameLocks noChangeAspect="1"/>
            </wp:cNvGraphicFramePr>
            <a:graphic>
              <a:graphicData uri="http://schemas.openxmlformats.org/drawingml/2006/picture">
                <pic:pic>
                  <pic:nvPicPr>
                    <pic:cNvPr id="0" name="portability.png"/>
                    <pic:cNvPicPr/>
                  </pic:nvPicPr>
                  <pic:blipFill>
                    <a:blip r:embed="rId21"/>
                    <a:stretch>
                      <a:fillRect/>
                    </a:stretch>
                  </pic:blipFill>
                  <pic:spPr>
                    <a:xfrm>
                      <a:off x="0" y="0"/>
                      <a:ext cx="6263640" cy="3479800"/>
                    </a:xfrm>
                    <a:prstGeom prst="rect"/>
                  </pic:spPr>
                </pic:pic>
              </a:graphicData>
            </a:graphic>
          </wp:inline>
        </w:drawing>
      </w:r>
    </w:p>
    <w:p>
      <w:pPr>
        <w:pStyle w:val="Caption"/>
        <w:jc w:val="center"/>
      </w:pPr>
      <w:r>
        <w:rPr/>
        <w:t>Figure 5-2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3479800"/>
            <wp:docPr id="10" name="Picture 10"/>
            <wp:cNvGraphicFramePr>
              <a:graphicFrameLocks noChangeAspect="1"/>
            </wp:cNvGraphicFramePr>
            <a:graphic>
              <a:graphicData uri="http://schemas.openxmlformats.org/drawingml/2006/picture">
                <pic:pic>
                  <pic:nvPicPr>
                    <pic:cNvPr id="0" name="developer-lifecycle.png"/>
                    <pic:cNvPicPr/>
                  </pic:nvPicPr>
                  <pic:blipFill>
                    <a:blip r:embed="rId22"/>
                    <a:stretch>
                      <a:fillRect/>
                    </a:stretch>
                  </pic:blipFill>
                  <pic:spPr>
                    <a:xfrm>
                      <a:off x="0" y="0"/>
                      <a:ext cx="6263640" cy="3479800"/>
                    </a:xfrm>
                    <a:prstGeom prst="rect"/>
                  </pic:spPr>
                </pic:pic>
              </a:graphicData>
            </a:graphic>
          </wp:inline>
        </w:drawing>
      </w:r>
    </w:p>
    <w:p>
      <w:pPr>
        <w:pStyle w:val="Caption"/>
        <w:jc w:val="center"/>
      </w:pPr>
      <w:r>
        <w:rPr/>
        <w:t>Figure 5-3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3479800"/>
            <wp:docPr id="11" name="Picture 11"/>
            <wp:cNvGraphicFramePr>
              <a:graphicFrameLocks noChangeAspect="1"/>
            </wp:cNvGraphicFramePr>
            <a:graphic>
              <a:graphicData uri="http://schemas.openxmlformats.org/drawingml/2006/picture">
                <pic:pic>
                  <pic:nvPicPr>
                    <pic:cNvPr id="0" name="dx-golden-path.png"/>
                    <pic:cNvPicPr/>
                  </pic:nvPicPr>
                  <pic:blipFill>
                    <a:blip r:embed="rId23"/>
                    <a:stretch>
                      <a:fillRect/>
                    </a:stretch>
                  </pic:blipFill>
                  <pic:spPr>
                    <a:xfrm>
                      <a:off x="0" y="0"/>
                      <a:ext cx="6263640" cy="3479800"/>
                    </a:xfrm>
                    <a:prstGeom prst="rect"/>
                  </pic:spPr>
                </pic:pic>
              </a:graphicData>
            </a:graphic>
          </wp:inline>
        </w:drawing>
      </w:r>
    </w:p>
    <w:p>
      <w:pPr>
        <w:pStyle w:val="Caption"/>
        <w:jc w:val="center"/>
      </w:pPr>
      <w:r>
        <w:rPr/>
        <w:t>Figure 5-4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3479800"/>
            <wp:docPr id="12" name="Picture 12"/>
            <wp:cNvGraphicFramePr>
              <a:graphicFrameLocks noChangeAspect="1"/>
            </wp:cNvGraphicFramePr>
            <a:graphic>
              <a:graphicData uri="http://schemas.openxmlformats.org/drawingml/2006/picture">
                <pic:pic>
                  <pic:nvPicPr>
                    <pic:cNvPr id="0" name="test-pyramid.png"/>
                    <pic:cNvPicPr/>
                  </pic:nvPicPr>
                  <pic:blipFill>
                    <a:blip r:embed="rId24"/>
                    <a:stretch>
                      <a:fillRect/>
                    </a:stretch>
                  </pic:blipFill>
                  <pic:spPr>
                    <a:xfrm>
                      <a:off x="0" y="0"/>
                      <a:ext cx="6263640" cy="3479800"/>
                    </a:xfrm>
                    <a:prstGeom prst="rect"/>
                  </pic:spPr>
                </pic:pic>
              </a:graphicData>
            </a:graphic>
          </wp:inline>
        </w:drawing>
      </w:r>
    </w:p>
    <w:p>
      <w:pPr>
        <w:pStyle w:val="Caption"/>
        <w:jc w:val="center"/>
      </w:pPr>
      <w:r>
        <w:rPr/>
        <w:t>Figure 5-5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6</w:t>
      </w:r>
    </w:p>
    <w:p>
      <w:pPr/>
      <w:r>
        <w:rPr/>
        <w:t>The delivery path is established; Chapter 6 packages repeatable behavior as versioned Skills with explicit contracts and lifecycle controls.</w:t>
      </w:r>
    </w:p>
    <w:p>
      <w:pPr>
        <w:pStyle w:val="Heading1"/>
        <w:keepNext/>
        <w:pageBreakBefore/>
      </w:pPr>
      <w:r>
        <w:rPr/>
        <w:t>06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7</w:t>
      </w:r>
    </w:p>
    <w:p>
      <w:pPr/>
      <w:r>
        <w:rPr/>
        <w:t>Individual Skills are governable; Chapter 7 composes them into domain packs without dissolving ownership or compatibility boundaries.</w:t>
      </w:r>
    </w:p>
    <w:p>
      <w:pPr>
        <w:pStyle w:val="Heading1"/>
        <w:keepNext/>
        <w:pageBreakBefore/>
      </w:pPr>
      <w:r>
        <w:rPr/>
        <w:t>07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8</w:t>
      </w:r>
    </w:p>
    <w:p>
      <w:pPr/>
      <w:r>
        <w:rPr/>
        <w:t>The platform and capability model are complete; Chapter 8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13" name="Picture 13"/>
                  <wp:cNvGraphicFramePr>
                    <a:graphicFrameLocks noChangeAspect="1"/>
                  </wp:cNvGraphicFramePr>
                  <a:graphic>
                    <a:graphicData uri="http://schemas.openxmlformats.org/drawingml/2006/picture">
                      <pic:pic>
                        <pic:nvPicPr>
                          <pic:cNvPr id="0" name="part-iv.png"/>
                          <pic:cNvPicPr/>
                        </pic:nvPicPr>
                        <pic:blipFill>
                          <a:blip r:embed="rId2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08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9</w:t>
      </w:r>
    </w:p>
    <w:p>
      <w:pPr/>
      <w:r>
        <w:rPr/>
        <w:t>A bounded reason–act loop handles local uncertainty; Chapter 9 adds routing and handoff when known paths or specialists should own the work.</w:t>
      </w:r>
    </w:p>
    <w:p>
      <w:pPr>
        <w:pStyle w:val="Heading1"/>
        <w:keepNext/>
        <w:pageBreakBefore/>
      </w:pPr>
      <w:r>
        <w:rPr/>
        <w:t>09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10</w:t>
      </w:r>
    </w:p>
    <w:p>
      <w:pPr/>
      <w:r>
        <w:rPr/>
        <w:t>Routing selects among known capabilities; Chapter 10 addresses tasks whose decomposition must itself be proposed and validated.</w:t>
      </w:r>
    </w:p>
    <w:p>
      <w:pPr>
        <w:pStyle w:val="Heading1"/>
        <w:keepNext/>
        <w:pageBreakBefore/>
      </w:pPr>
      <w:r>
        <w:rPr/>
        <w:t>10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11</w:t>
      </w:r>
    </w:p>
    <w:p>
      <w:pPr/>
      <w:r>
        <w:rPr/>
        <w:t>Planning creates an executable structure; Chapter 11 adds independent evaluation and bounded revision without self-certification.</w:t>
      </w:r>
    </w:p>
    <w:p>
      <w:pPr>
        <w:pStyle w:val="Heading1"/>
        <w:keepNext/>
        <w:pageBreakBefore/>
      </w:pPr>
      <w:r>
        <w:rPr/>
        <w:t>11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12</w:t>
      </w:r>
    </w:p>
    <w:p>
      <w:pPr/>
      <w:r>
        <w:rPr/>
        <w:t>Automated evaluation can improve candidates; Chapter 12 identifies decisions that require explicit human authority, correction, or recourse.</w:t>
      </w:r>
    </w:p>
    <w:p>
      <w:pPr>
        <w:pStyle w:val="Heading1"/>
        <w:keepNext/>
        <w:pageBreakBefore/>
      </w:pPr>
      <w:r>
        <w:rPr/>
        <w:t>12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13</w:t>
      </w:r>
    </w:p>
    <w:p>
      <w:pPr/>
      <w:r>
        <w:rPr/>
        <w:t>Human control introduces waits and resumptions; Chapter 13 makes those waits durable and gives long-running work explicit state and recovery.</w:t>
      </w:r>
    </w:p>
    <w:p>
      <w:pPr>
        <w:pStyle w:val="Heading1"/>
        <w:keepNext/>
        <w:pageBreakBefore/>
      </w:pPr>
      <w:r>
        <w:rPr/>
        <w:t>13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14</w:t>
      </w:r>
    </w:p>
    <w:p>
      <w:pPr/>
      <w:r>
        <w:rPr/>
        <w:t>The core patterns are now defined; Chapter 14 compares them across uncertainty, authority, latency, evidence, and operating cost.</w:t>
      </w:r>
    </w:p>
    <w:p>
      <w:pPr>
        <w:pStyle w:val="Heading1"/>
        <w:keepNext/>
        <w:pageBreakBefore/>
      </w:pPr>
      <w:r>
        <w:rPr/>
        <w:t>14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3479800"/>
            <wp:docPr id="14" name="Picture 14"/>
            <wp:cNvGraphicFramePr>
              <a:graphicFrameLocks noChangeAspect="1"/>
            </wp:cNvGraphicFramePr>
            <a:graphic>
              <a:graphicData uri="http://schemas.openxmlformats.org/drawingml/2006/picture">
                <pic:pic>
                  <pic:nvPicPr>
                    <pic:cNvPr id="0" name="pattern-decision-tree.png"/>
                    <pic:cNvPicPr/>
                  </pic:nvPicPr>
                  <pic:blipFill>
                    <a:blip r:embed="rId26"/>
                    <a:stretch>
                      <a:fillRect/>
                    </a:stretch>
                  </pic:blipFill>
                  <pic:spPr>
                    <a:xfrm>
                      <a:off x="0" y="0"/>
                      <a:ext cx="6263640" cy="3479800"/>
                    </a:xfrm>
                    <a:prstGeom prst="rect"/>
                  </pic:spPr>
                </pic:pic>
              </a:graphicData>
            </a:graphic>
          </wp:inline>
        </w:drawing>
      </w:r>
    </w:p>
    <w:p>
      <w:pPr>
        <w:pStyle w:val="Caption"/>
        <w:jc w:val="center"/>
      </w:pPr>
      <w:r>
        <w:rPr/>
        <w:t>Figure 14-1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15</w:t>
      </w:r>
    </w:p>
    <w:p>
      <w:pPr/>
      <w:r>
        <w:rPr/>
        <w:t>Pattern selection is easier when failure shapes are visible; Chapter 15 recasts recurring anti-patterns as measurable replacement decisions.</w:t>
      </w:r>
    </w:p>
    <w:p>
      <w:pPr>
        <w:pStyle w:val="Heading1"/>
        <w:keepNext/>
        <w:pageBreakBefore/>
      </w:pPr>
      <w:r>
        <w:rPr/>
        <w:t>15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3479800"/>
            <wp:docPr id="15" name="Picture 15"/>
            <wp:cNvGraphicFramePr>
              <a:graphicFrameLocks noChangeAspect="1"/>
            </wp:cNvGraphicFramePr>
            <a:graphic>
              <a:graphicData uri="http://schemas.openxmlformats.org/drawingml/2006/picture">
                <pic:pic>
                  <pic:nvPicPr>
                    <pic:cNvPr id="0" name="anti-before-after.png"/>
                    <pic:cNvPicPr/>
                  </pic:nvPicPr>
                  <pic:blipFill>
                    <a:blip r:embed="rId27"/>
                    <a:stretch>
                      <a:fillRect/>
                    </a:stretch>
                  </pic:blipFill>
                  <pic:spPr>
                    <a:xfrm>
                      <a:off x="0" y="0"/>
                      <a:ext cx="6263640" cy="3479800"/>
                    </a:xfrm>
                    <a:prstGeom prst="rect"/>
                  </pic:spPr>
                </pic:pic>
              </a:graphicData>
            </a:graphic>
          </wp:inline>
        </w:drawing>
      </w:r>
    </w:p>
    <w:p>
      <w:pPr>
        <w:pStyle w:val="Caption"/>
        <w:jc w:val="center"/>
      </w:pPr>
      <w:r>
        <w:rPr/>
        <w:t>Figure 15-1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16</w:t>
      </w:r>
    </w:p>
    <w:p>
      <w:pPr/>
      <w:r>
        <w:rPr/>
        <w:t>After removing unsafe local architectures, Chapter 16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16" name="Picture 16"/>
                  <wp:cNvGraphicFramePr>
                    <a:graphicFrameLocks noChangeAspect="1"/>
                  </wp:cNvGraphicFramePr>
                  <a:graphic>
                    <a:graphicData uri="http://schemas.openxmlformats.org/drawingml/2006/picture">
                      <pic:pic>
                        <pic:nvPicPr>
                          <pic:cNvPr id="0" name="part-v.png"/>
                          <pic:cNvPicPr/>
                        </pic:nvPicPr>
                        <pic:blipFill>
                          <a:blip r:embed="rId2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16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17</w:t>
      </w:r>
    </w:p>
    <w:p>
      <w:pPr/>
      <w:r>
        <w:rPr/>
        <w:t>Multi-agent collaboration inside one platform is only part of the problem; Chapter 17 governs cross-platform tools, agents, APIs, and events.</w:t>
      </w:r>
    </w:p>
    <w:p>
      <w:pPr>
        <w:pStyle w:val="Heading1"/>
        <w:keepNext/>
        <w:pageBreakBefore/>
      </w:pPr>
      <w:r>
        <w:rPr/>
        <w:t>17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3479800"/>
            <wp:docPr id="17" name="Picture 17"/>
            <wp:cNvGraphicFramePr>
              <a:graphicFrameLocks noChangeAspect="1"/>
            </wp:cNvGraphicFramePr>
            <a:graphic>
              <a:graphicData uri="http://schemas.openxmlformats.org/drawingml/2006/picture">
                <pic:pic>
                  <pic:nvPicPr>
                    <pic:cNvPr id="0" name="gateway-position.png"/>
                    <pic:cNvPicPr/>
                  </pic:nvPicPr>
                  <pic:blipFill>
                    <a:blip r:embed="rId29"/>
                    <a:stretch>
                      <a:fillRect/>
                    </a:stretch>
                  </pic:blipFill>
                  <pic:spPr>
                    <a:xfrm>
                      <a:off x="0" y="0"/>
                      <a:ext cx="6263640" cy="3479800"/>
                    </a:xfrm>
                    <a:prstGeom prst="rect"/>
                  </pic:spPr>
                </pic:pic>
              </a:graphicData>
            </a:graphic>
          </wp:inline>
        </w:drawing>
      </w:r>
    </w:p>
    <w:p>
      <w:pPr>
        <w:pStyle w:val="Caption"/>
        <w:jc w:val="center"/>
      </w:pPr>
      <w:r>
        <w:rPr/>
        <w:t>Figure 17-1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3479800"/>
            <wp:docPr id="18" name="Picture 18"/>
            <wp:cNvGraphicFramePr>
              <a:graphicFrameLocks noChangeAspect="1"/>
            </wp:cNvGraphicFramePr>
            <a:graphic>
              <a:graphicData uri="http://schemas.openxmlformats.org/drawingml/2006/picture">
                <pic:pic>
                  <pic:nvPicPr>
                    <pic:cNvPr id="0" name="model-routing.png"/>
                    <pic:cNvPicPr/>
                  </pic:nvPicPr>
                  <pic:blipFill>
                    <a:blip r:embed="rId30"/>
                    <a:stretch>
                      <a:fillRect/>
                    </a:stretch>
                  </pic:blipFill>
                  <pic:spPr>
                    <a:xfrm>
                      <a:off x="0" y="0"/>
                      <a:ext cx="6263640" cy="3479800"/>
                    </a:xfrm>
                    <a:prstGeom prst="rect"/>
                  </pic:spPr>
                </pic:pic>
              </a:graphicData>
            </a:graphic>
          </wp:inline>
        </w:drawing>
      </w:r>
    </w:p>
    <w:p>
      <w:pPr>
        <w:pStyle w:val="Caption"/>
        <w:jc w:val="center"/>
      </w:pPr>
      <w:r>
        <w:rPr/>
        <w:t>Figure 17-2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18</w:t>
      </w:r>
    </w:p>
    <w:p>
      <w:pPr/>
      <w:r>
        <w:rPr/>
        <w:t>The gateway controls model access, but not the entire attack surface; Chapter 18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19" name="Picture 19"/>
                  <wp:cNvGraphicFramePr>
                    <a:graphicFrameLocks noChangeAspect="1"/>
                  </wp:cNvGraphicFramePr>
                  <a:graphic>
                    <a:graphicData uri="http://schemas.openxmlformats.org/drawingml/2006/picture">
                      <pic:pic>
                        <pic:nvPicPr>
                          <pic:cNvPr id="0" name="part-vi.png"/>
                          <pic:cNvPicPr/>
                        </pic:nvPicPr>
                        <pic:blipFill>
                          <a:blip r:embed="rId31"/>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3479800"/>
            <wp:docPr id="20" name="Picture 20"/>
            <wp:cNvGraphicFramePr>
              <a:graphicFrameLocks noChangeAspect="1"/>
            </wp:cNvGraphicFramePr>
            <a:graphic>
              <a:graphicData uri="http://schemas.openxmlformats.org/drawingml/2006/picture">
                <pic:pic>
                  <pic:nvPicPr>
                    <pic:cNvPr id="0" name="security-depth.png"/>
                    <pic:cNvPicPr/>
                  </pic:nvPicPr>
                  <pic:blipFill>
                    <a:blip r:embed="rId32"/>
                    <a:stretch>
                      <a:fillRect/>
                    </a:stretch>
                  </pic:blipFill>
                  <pic:spPr>
                    <a:xfrm>
                      <a:off x="0" y="0"/>
                      <a:ext cx="6263640" cy="3479800"/>
                    </a:xfrm>
                    <a:prstGeom prst="rect"/>
                  </pic:spPr>
                </pic:pic>
              </a:graphicData>
            </a:graphic>
          </wp:inline>
        </w:drawing>
      </w:r>
    </w:p>
    <w:p>
      <w:pPr>
        <w:pStyle w:val="Caption"/>
        <w:jc w:val="center"/>
      </w:pPr>
      <w:r>
        <w:rPr/>
        <w:t>Figure 18-1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3479800"/>
            <wp:docPr id="21" name="Picture 21"/>
            <wp:cNvGraphicFramePr>
              <a:graphicFrameLocks noChangeAspect="1"/>
            </wp:cNvGraphicFramePr>
            <a:graphic>
              <a:graphicData uri="http://schemas.openxmlformats.org/drawingml/2006/picture">
                <pic:pic>
                  <pic:nvPicPr>
                    <pic:cNvPr id="0" name="security-boundaries.png"/>
                    <pic:cNvPicPr/>
                  </pic:nvPicPr>
                  <pic:blipFill>
                    <a:blip r:embed="rId33"/>
                    <a:stretch>
                      <a:fillRect/>
                    </a:stretch>
                  </pic:blipFill>
                  <pic:spPr>
                    <a:xfrm>
                      <a:off x="0" y="0"/>
                      <a:ext cx="6263640" cy="3479800"/>
                    </a:xfrm>
                    <a:prstGeom prst="rect"/>
                  </pic:spPr>
                </pic:pic>
              </a:graphicData>
            </a:graphic>
          </wp:inline>
        </w:drawing>
      </w:r>
    </w:p>
    <w:p>
      <w:pPr>
        <w:pStyle w:val="Caption"/>
        <w:jc w:val="center"/>
      </w:pPr>
      <w:r>
        <w:rPr/>
        <w:t>Figure 18-2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3479800"/>
            <wp:docPr id="22" name="Picture 22"/>
            <wp:cNvGraphicFramePr>
              <a:graphicFrameLocks noChangeAspect="1"/>
            </wp:cNvGraphicFramePr>
            <a:graphic>
              <a:graphicData uri="http://schemas.openxmlformats.org/drawingml/2006/picture">
                <pic:pic>
                  <pic:nvPicPr>
                    <pic:cNvPr id="0" name="guardrail-sequence.png"/>
                    <pic:cNvPicPr/>
                  </pic:nvPicPr>
                  <pic:blipFill>
                    <a:blip r:embed="rId34"/>
                    <a:stretch>
                      <a:fillRect/>
                    </a:stretch>
                  </pic:blipFill>
                  <pic:spPr>
                    <a:xfrm>
                      <a:off x="0" y="0"/>
                      <a:ext cx="6263640" cy="3479800"/>
                    </a:xfrm>
                    <a:prstGeom prst="rect"/>
                  </pic:spPr>
                </pic:pic>
              </a:graphicData>
            </a:graphic>
          </wp:inline>
        </w:drawing>
      </w:r>
    </w:p>
    <w:p>
      <w:pPr>
        <w:pStyle w:val="Caption"/>
        <w:jc w:val="center"/>
      </w:pPr>
      <w:r>
        <w:rPr/>
        <w:t>Figure 18-3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19</w:t>
      </w:r>
    </w:p>
    <w:p>
      <w:pPr/>
      <w:r>
        <w:rPr/>
        <w:t>The threat model is established; Chapter 19 applies it to context, retrieval, memory, and state—the data surfaces most likely to carry hidden instructions.</w:t>
      </w:r>
    </w:p>
    <w:p>
      <w:pPr>
        <w:pStyle w:val="Heading1"/>
        <w:keepNext/>
        <w:pageBreakBefore/>
      </w:pPr>
      <w:r>
        <w:rPr/>
        <w:t>19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20</w:t>
      </w:r>
    </w:p>
    <w:p>
      <w:pPr/>
      <w:r>
        <w:rPr/>
        <w:t>Context and state are bounded; Chapter 20 determines whose authority may flow through the system and how that authority narrows across hops.</w:t>
      </w:r>
    </w:p>
    <w:p>
      <w:pPr>
        <w:pStyle w:val="Heading1"/>
        <w:keepNext/>
        <w:pageBreakBefore/>
      </w:pPr>
      <w:r>
        <w:rPr/>
        <w:t>20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21</w:t>
      </w:r>
    </w:p>
    <w:p>
      <w:pPr/>
      <w:r>
        <w:rPr/>
        <w:t>Identity and delegated authority answer who may ask; Chapter 21 proves whether a specific tool effect may execute, commit, retry, or recover.</w:t>
      </w:r>
    </w:p>
    <w:p>
      <w:pPr>
        <w:pStyle w:val="Heading1"/>
        <w:keepNext/>
        <w:pageBreakBefore/>
      </w:pPr>
      <w:r>
        <w:rPr/>
        <w:t>21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22</w:t>
      </w:r>
    </w:p>
    <w:p>
      <w:pPr/>
      <w:r>
        <w:rPr/>
        <w:t>Protected effects are governed; Chapter 22 contains the remaining execution, egress, data, privacy, and supply-chain blast radius.</w:t>
      </w:r>
    </w:p>
    <w:p>
      <w:pPr>
        <w:pStyle w:val="Heading1"/>
        <w:keepNext/>
        <w:pageBreakBefore/>
      </w:pPr>
      <w:r>
        <w:rPr/>
        <w:t>22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23</w:t>
      </w:r>
    </w:p>
    <w:p>
      <w:pPr/>
      <w:r>
        <w:rPr/>
        <w:t>Security controls now produce events and evidence; Chapter 23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23" name="Picture 23"/>
                  <wp:cNvGraphicFramePr>
                    <a:graphicFrameLocks noChangeAspect="1"/>
                  </wp:cNvGraphicFramePr>
                  <a:graphic>
                    <a:graphicData uri="http://schemas.openxmlformats.org/drawingml/2006/picture">
                      <pic:pic>
                        <pic:nvPicPr>
                          <pic:cNvPr id="0" name="part-vii.png"/>
                          <pic:cNvPicPr/>
                        </pic:nvPicPr>
                        <pic:blipFill>
                          <a:blip r:embed="rId3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23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24</w:t>
      </w:r>
    </w:p>
    <w:p>
      <w:pPr/>
      <w:r>
        <w:rPr/>
        <w:t>Tracing explains what happened; Chapter 24 determines whether the trajectory and outcome were acceptable and whether a change is safe to ship.</w:t>
      </w:r>
    </w:p>
    <w:p>
      <w:pPr>
        <w:pStyle w:val="Heading1"/>
        <w:keepNext/>
        <w:pageBreakBefore/>
      </w:pPr>
      <w:r>
        <w:rPr/>
        <w:t>24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3479800"/>
            <wp:docPr id="24" name="Picture 24"/>
            <wp:cNvGraphicFramePr>
              <a:graphicFrameLocks noChangeAspect="1"/>
            </wp:cNvGraphicFramePr>
            <a:graphic>
              <a:graphicData uri="http://schemas.openxmlformats.org/drawingml/2006/picture">
                <pic:pic>
                  <pic:nvPicPr>
                    <pic:cNvPr id="0" name="learning-loop.png"/>
                    <pic:cNvPicPr/>
                  </pic:nvPicPr>
                  <pic:blipFill>
                    <a:blip r:embed="rId36"/>
                    <a:stretch>
                      <a:fillRect/>
                    </a:stretch>
                  </pic:blipFill>
                  <pic:spPr>
                    <a:xfrm>
                      <a:off x="0" y="0"/>
                      <a:ext cx="6263640" cy="3479800"/>
                    </a:xfrm>
                    <a:prstGeom prst="rect"/>
                  </pic:spPr>
                </pic:pic>
              </a:graphicData>
            </a:graphic>
          </wp:inline>
        </w:drawing>
      </w:r>
    </w:p>
    <w:p>
      <w:pPr>
        <w:pStyle w:val="Caption"/>
        <w:jc w:val="center"/>
      </w:pPr>
      <w:r>
        <w:rPr/>
        <w:t>Figure 24-1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3479800"/>
            <wp:docPr id="25" name="Picture 25"/>
            <wp:cNvGraphicFramePr>
              <a:graphicFrameLocks noChangeAspect="1"/>
            </wp:cNvGraphicFramePr>
            <a:graphic>
              <a:graphicData uri="http://schemas.openxmlformats.org/drawingml/2006/picture">
                <pic:pic>
                  <pic:nvPicPr>
                    <pic:cNvPr id="0" name="runtime-offline.png"/>
                    <pic:cNvPicPr/>
                  </pic:nvPicPr>
                  <pic:blipFill>
                    <a:blip r:embed="rId37"/>
                    <a:stretch>
                      <a:fillRect/>
                    </a:stretch>
                  </pic:blipFill>
                  <pic:spPr>
                    <a:xfrm>
                      <a:off x="0" y="0"/>
                      <a:ext cx="6263640" cy="3479800"/>
                    </a:xfrm>
                    <a:prstGeom prst="rect"/>
                  </pic:spPr>
                </pic:pic>
              </a:graphicData>
            </a:graphic>
          </wp:inline>
        </w:drawing>
      </w:r>
    </w:p>
    <w:p>
      <w:pPr>
        <w:pStyle w:val="Caption"/>
        <w:jc w:val="center"/>
      </w:pPr>
      <w:r>
        <w:rPr/>
        <w:t>Figure 24-2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25</w:t>
      </w:r>
    </w:p>
    <w:p>
      <w:pPr/>
      <w:r>
        <w:rPr/>
        <w:t>The improvement loop proposes and validates change; Chapter 25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26" name="Picture 26"/>
                  <wp:cNvGraphicFramePr>
                    <a:graphicFrameLocks noChangeAspect="1"/>
                  </wp:cNvGraphicFramePr>
                  <a:graphic>
                    <a:graphicData uri="http://schemas.openxmlformats.org/drawingml/2006/picture">
                      <pic:pic>
                        <pic:nvPicPr>
                          <pic:cNvPr id="0" name="part-viii.png"/>
                          <pic:cNvPicPr/>
                        </pic:nvPicPr>
                        <pic:blipFill>
                          <a:blip r:embed="rId3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25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3479800"/>
            <wp:docPr id="27" name="Picture 27"/>
            <wp:cNvGraphicFramePr>
              <a:graphicFrameLocks noChangeAspect="1"/>
            </wp:cNvGraphicFramePr>
            <a:graphic>
              <a:graphicData uri="http://schemas.openxmlformats.org/drawingml/2006/picture">
                <pic:pic>
                  <pic:nvPicPr>
                    <pic:cNvPr id="0" name="governance-model.png"/>
                    <pic:cNvPicPr/>
                  </pic:nvPicPr>
                  <pic:blipFill>
                    <a:blip r:embed="rId39"/>
                    <a:stretch>
                      <a:fillRect/>
                    </a:stretch>
                  </pic:blipFill>
                  <pic:spPr>
                    <a:xfrm>
                      <a:off x="0" y="0"/>
                      <a:ext cx="6263640" cy="3479800"/>
                    </a:xfrm>
                    <a:prstGeom prst="rect"/>
                  </pic:spPr>
                </pic:pic>
              </a:graphicData>
            </a:graphic>
          </wp:inline>
        </w:drawing>
      </w:r>
    </w:p>
    <w:p>
      <w:pPr>
        <w:pStyle w:val="Caption"/>
        <w:jc w:val="center"/>
      </w:pPr>
      <w:r>
        <w:rPr/>
        <w:t>Figure 25-1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26</w:t>
      </w:r>
    </w:p>
    <w:p>
      <w:pPr/>
      <w:r>
        <w:rPr/>
        <w:t>Governance defines who may release change; Chapter 26 makes releases immutable, promotable, observable, reversible, and recoverable.</w:t>
      </w:r>
    </w:p>
    <w:p>
      <w:pPr>
        <w:pStyle w:val="Heading1"/>
        <w:keepNext/>
        <w:pageBreakBefore/>
      </w:pPr>
      <w:r>
        <w:rPr/>
        <w:t>26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27</w:t>
      </w:r>
    </w:p>
    <w:p>
      <w:pPr/>
      <w:r>
        <w:rPr/>
        <w:t>The release lifecycle is controlled; Chapter 27 sizes the system and optimizes cost, latency, capacity, and reliability around verified outcomes.</w:t>
      </w:r>
    </w:p>
    <w:p>
      <w:pPr>
        <w:pStyle w:val="Heading1"/>
        <w:keepNext/>
        <w:pageBreakBefore/>
      </w:pPr>
      <w:r>
        <w:rPr/>
        <w:t>27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40">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41">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42">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43">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44">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45">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46">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47">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48">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49">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50">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51">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52">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53">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54">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55">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56">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57">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58">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59">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60">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61">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62">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63">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64">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65">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66">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67">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68">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69">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70">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71">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72">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73">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74">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75">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76">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77">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78">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79">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80">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82">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v2.0.0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AGENTIC AI ARCHITECTURE &amp; DEVELOPER PLATFORM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hyperlink" Target="https://arxiv.org/abs/2210.03629" TargetMode="External"/><Relationship Id="rId41" Type="http://schemas.openxmlformats.org/officeDocument/2006/relationships/hyperlink" Target="https://doi.org/10.1287/opre.9.3.383" TargetMode="External"/><Relationship Id="rId42" Type="http://schemas.openxmlformats.org/officeDocument/2006/relationships/hyperlink" Target="https://github.com/cloudevents/spec/blob/main/cloudevents/spec.md" TargetMode="External"/><Relationship Id="rId43" Type="http://schemas.openxmlformats.org/officeDocument/2006/relationships/hyperlink" Target="https://modelcontextprotocol.io/specification/2026-07-28" TargetMode="External"/><Relationship Id="rId44" Type="http://schemas.openxmlformats.org/officeDocument/2006/relationships/hyperlink" Target="https://modelcontextprotocol.io/specification/2026-07-28/basic/authorization" TargetMode="External"/><Relationship Id="rId45" Type="http://schemas.openxmlformats.org/officeDocument/2006/relationships/hyperlink" Target="https://a2a-protocol.org/v1.0.1/specification" TargetMode="External"/><Relationship Id="rId46" Type="http://schemas.openxmlformats.org/officeDocument/2006/relationships/hyperlink" Target="https://datatracker.ietf.org/doc/html/rfc8693" TargetMode="External"/><Relationship Id="rId47" Type="http://schemas.openxmlformats.org/officeDocument/2006/relationships/hyperlink" Target="https://datatracker.ietf.org/doc/html/rfc8707" TargetMode="External"/><Relationship Id="rId48" Type="http://schemas.openxmlformats.org/officeDocument/2006/relationships/hyperlink" Target="https://datatracker.ietf.org/doc/html/rfc9728" TargetMode="External"/><Relationship Id="rId49" Type="http://schemas.openxmlformats.org/officeDocument/2006/relationships/hyperlink" Target="https://www.iso.org/standard/42001" TargetMode="External"/><Relationship Id="rId50" Type="http://schemas.openxmlformats.org/officeDocument/2006/relationships/hyperlink" Target="https://github.com/open-telemetry/semantic-conventions-genai" TargetMode="External"/><Relationship Id="rId51" Type="http://schemas.openxmlformats.org/officeDocument/2006/relationships/hyperlink" Target="https://www.w3.org/TR/WCAG22/" TargetMode="External"/><Relationship Id="rId52" Type="http://schemas.openxmlformats.org/officeDocument/2006/relationships/hyperlink" Target="https://csrc.nist.gov/pubs/sp/800/207/final" TargetMode="External"/><Relationship Id="rId53" Type="http://schemas.openxmlformats.org/officeDocument/2006/relationships/hyperlink" Target="https://www.nist.gov/itl/ai-risk-management-framework" TargetMode="External"/><Relationship Id="rId54" Type="http://schemas.openxmlformats.org/officeDocument/2006/relationships/hyperlink" Target="https://doi.org/10.6028/NIST.AI.600-1" TargetMode="External"/><Relationship Id="rId55" Type="http://schemas.openxmlformats.org/officeDocument/2006/relationships/hyperlink" Target="https://genai.owasp.org/resource/owasp-top-10-for-agentic-applications-for-2026/" TargetMode="External"/><Relationship Id="rId56" Type="http://schemas.openxmlformats.org/officeDocument/2006/relationships/hyperlink" Target="https://cheatsheetseries.owasp.org/cheatsheets/AI_Agent_Security_Cheat_Sheet.html" TargetMode="External"/><Relationship Id="rId57" Type="http://schemas.openxmlformats.org/officeDocument/2006/relationships/hyperlink" Target="https://slsa.dev/spec/v1.2" TargetMode="External"/><Relationship Id="rId58" Type="http://schemas.openxmlformats.org/officeDocument/2006/relationships/hyperlink" Target="https://www.cisa.gov/sbom" TargetMode="External"/><Relationship Id="rId59" Type="http://schemas.openxmlformats.org/officeDocument/2006/relationships/hyperlink" Target="https://eur-lex.europa.eu/eli/reg/2016/679/oj" TargetMode="External"/><Relationship Id="rId60" Type="http://schemas.openxmlformats.org/officeDocument/2006/relationships/hyperlink" Target="https://digital-strategy.ec.europa.eu/en/policies/regulatory-framework-ai" TargetMode="External"/><Relationship Id="rId61" Type="http://schemas.openxmlformats.org/officeDocument/2006/relationships/hyperlink" Target="https://csrc.nist.gov/pubs/sp/800/61/r3/final" TargetMode="External"/><Relationship Id="rId62" Type="http://schemas.openxmlformats.org/officeDocument/2006/relationships/hyperlink" Target="https://temporal.io/blog/what-is-durable-execution" TargetMode="External"/><Relationship Id="rId63" Type="http://schemas.openxmlformats.org/officeDocument/2006/relationships/hyperlink" Target="https://docs.aws.amazon.com/prescriptive-guidance/latest/cloud-design-patterns/transactional-outbox.html" TargetMode="External"/><Relationship Id="rId64" Type="http://schemas.openxmlformats.org/officeDocument/2006/relationships/hyperlink" Target="https://mlflow.org/docs/latest/genai/eval-monitor/" TargetMode="External"/><Relationship Id="rId65" Type="http://schemas.openxmlformats.org/officeDocument/2006/relationships/hyperlink" Target="https://mlflow.org/releases/3.15.2" TargetMode="External"/><Relationship Id="rId66" Type="http://schemas.openxmlformats.org/officeDocument/2006/relationships/hyperlink" Target="https://deepeval.com/docs/metrics-introduction" TargetMode="External"/><Relationship Id="rId67" Type="http://schemas.openxmlformats.org/officeDocument/2006/relationships/hyperlink" Target="https://arize.com/docs/phoenix" TargetMode="External"/><Relationship Id="rId68" Type="http://schemas.openxmlformats.org/officeDocument/2006/relationships/hyperlink" Target="https://docs.ragas.io/en/latest/concepts/metrics/available_metrics/agents" TargetMode="External"/><Relationship Id="rId69" Type="http://schemas.openxmlformats.org/officeDocument/2006/relationships/hyperlink" Target="https://docs.langchain.com/langsmith/evaluation" TargetMode="External"/><Relationship Id="rId70" Type="http://schemas.openxmlformats.org/officeDocument/2006/relationships/hyperlink" Target="https://developers.openai.com/api/docs/guides/agent-evals" TargetMode="External"/><Relationship Id="rId71" Type="http://schemas.openxmlformats.org/officeDocument/2006/relationships/hyperlink" Target="https://www.anthropic.com/engineering/building-effective-agents" TargetMode="External"/><Relationship Id="rId72" Type="http://schemas.openxmlformats.org/officeDocument/2006/relationships/hyperlink" Target="https://www.anthropic.com/engineering/multi-agent-research-system" TargetMode="External"/><Relationship Id="rId73" Type="http://schemas.openxmlformats.org/officeDocument/2006/relationships/hyperlink" Target="https://openai.github.io/openai-agents-python" TargetMode="External"/><Relationship Id="rId74" Type="http://schemas.openxmlformats.org/officeDocument/2006/relationships/hyperlink" Target="https://github.com/openai/openai-agents-python/releases/tag/v0.22.2" TargetMode="External"/><Relationship Id="rId75" Type="http://schemas.openxmlformats.org/officeDocument/2006/relationships/hyperlink" Target="https://learn.microsoft.com/en-us/agent-framework/overview" TargetMode="External"/><Relationship Id="rId76" Type="http://schemas.openxmlformats.org/officeDocument/2006/relationships/hyperlink" Target="https://adk.dev/agents" TargetMode="External"/><Relationship Id="rId77" Type="http://schemas.openxmlformats.org/officeDocument/2006/relationships/hyperlink" Target="https://docs.aws.amazon.com/bedrock/latest/userguide/agents-multi-agent-collaboration.html" TargetMode="External"/><Relationship Id="rId78" Type="http://schemas.openxmlformats.org/officeDocument/2006/relationships/hyperlink" Target="https://docs.langchain.com/oss/python/langgraph/persistence" TargetMode="External"/><Relationship Id="rId79" Type="http://schemas.openxmlformats.org/officeDocument/2006/relationships/hyperlink" Target="https://docs.llamaindex.ai/en/stable/module_guides/workflow/" TargetMode="External"/><Relationship Id="rId80" Type="http://schemas.openxmlformats.org/officeDocument/2006/relationships/hyperlink" Target="https://pydantic.dev/docs/ai/capabilities/durable_execution/overview" TargetMode="External"/><Relationship Id="rId81" Type="http://schemas.openxmlformats.org/officeDocument/2006/relationships/hyperlink" Target="https://docs.dapr.io/developing-ai/dapr-agents" TargetMode="External"/><Relationship Id="rId82" Type="http://schemas.openxmlformats.org/officeDocument/2006/relationships/hyperlink" Target="https://docs.dbos.dev/ai/ai-quicksta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Agentic AI Architecture &amp; Developer Platform Guide — Book v2.0.0</dc:title>
  <dc:subject>Enterprise Agentic AI architecture and developer platform</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