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1.0.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Agentic AI Architecture &amp; Developer Platform Guide</w:t>
      </w:r>
    </w:p>
    <w:p>
      <w:pPr>
        <w:pStyle w:val="Subtitle"/>
        <w:jc w:val="center"/>
      </w:pPr>
      <w:r>
        <w:rPr/>
        <w:t>Book v1.0.0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v1.0.0</w:t>
      </w:r>
    </w:p>
    <w:p>
      <w:pPr>
        <w:pStyle w:val="Subtitle"/>
        <w:jc w:val="center"/>
      </w:pPr>
      <w:r>
        <w:rPr/>
        <w:t>Book v1.0.0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v1.0.0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 VIII, X, XI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 X–XII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VI–XII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III–VI, IX–X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VII, VIII, XI and Appendices F, M–O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IX, X, XII and Appendices B, O</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3479800"/>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3479800"/>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w:t>
      </w:r>
    </w:p>
    <w:p>
      <w:pPr>
        <w:pStyle w:val="ListNumber"/>
        <w:keepLines/>
      </w:pPr>
      <w:r>
        <w:rPr/>
        <w:t>Enterprise Agentic AI Reference Architecture</w:t>
      </w:r>
    </w:p>
    <w:p>
      <w:pPr>
        <w:pStyle w:val="ListNumber"/>
        <w:keepLines/>
      </w:pPr>
      <w:r>
        <w:rPr/>
        <w:t>Platform Boundaries, APIs, and Data Models</w:t>
      </w:r>
    </w:p>
    <w:p>
      <w:pPr>
        <w:pStyle w:val="Heading2"/>
        <w:keepNext/>
      </w:pPr>
      <w:r>
        <w:rPr/>
        <w:t>Part III — Agentic Developer Platform &amp; SDK</w:t>
      </w:r>
    </w:p>
    <w:p>
      <w:pPr>
        <w:pStyle w:val="ListNumber"/>
        <w:keepLines/>
      </w:pPr>
      <w:r>
        <w:rPr/>
        <w:t>Agentic Developer Platform and SDK</w:t>
      </w:r>
    </w:p>
    <w:p>
      <w:pPr>
        <w:pStyle w:val="ListNumber"/>
        <w:keepLines/>
      </w:pPr>
      <w:r>
        <w:rPr/>
        <w:t>Developer Experience, Testing,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Heading2"/>
        <w:keepNext/>
      </w:pPr>
      <w:r>
        <w:rPr/>
        <w:t>Part V — Anti-Patterns</w:t>
      </w:r>
    </w:p>
    <w:p>
      <w:pPr>
        <w:pStyle w:val="ListNumber"/>
        <w:keepLines/>
      </w:pPr>
      <w:r>
        <w:rPr/>
        <w:t>Enterprise Anti-Pattern Catalog</w:t>
      </w:r>
    </w:p>
    <w:p>
      <w:pPr>
        <w:pStyle w:val="Heading2"/>
        <w:keepNext/>
      </w:pPr>
      <w:r>
        <w:rPr/>
        <w:t>Part VI — Multi-Agent &amp; Platform Integration</w:t>
      </w:r>
    </w:p>
    <w:p>
      <w:pPr>
        <w:pStyle w:val="ListNumber"/>
        <w:keepLines/>
      </w:pPr>
      <w:r>
        <w:rPr/>
        <w:t>Supervisor/Worker and Multi-Agent Collaboration</w:t>
      </w:r>
    </w:p>
    <w:p>
      <w:pPr>
        <w:pStyle w:val="ListNumber"/>
        <w:keepLines/>
      </w:pPr>
      <w:r>
        <w:rPr/>
        <w:t>MCP, A2A, and External Integration</w:t>
      </w:r>
    </w:p>
    <w:p>
      <w:pPr>
        <w:pStyle w:val="Heading2"/>
        <w:keepNext/>
      </w:pPr>
      <w:r>
        <w:rPr/>
        <w:t>Part VII — LLM Gateway</w:t>
      </w:r>
    </w:p>
    <w:p>
      <w:pPr>
        <w:pStyle w:val="ListNumber"/>
        <w:keepLines/>
      </w:pPr>
      <w:r>
        <w:rPr/>
        <w:t>LLM Gateway and Model Control Plane</w:t>
      </w:r>
    </w:p>
    <w:p>
      <w:pPr>
        <w:pStyle w:val="Heading2"/>
        <w:keepNext/>
      </w:pPr>
      <w:r>
        <w:rPr/>
        <w:t>Part VIII — Security &amp; Guardrails</w:t>
      </w:r>
    </w:p>
    <w:p>
      <w:pPr>
        <w:pStyle w:val="ListNumber"/>
        <w:keepLines/>
      </w:pPr>
      <w:r>
        <w:rPr/>
        <w:t>Agentic AI Security and Guardrails Architecture</w:t>
      </w:r>
    </w:p>
    <w:p>
      <w:pPr>
        <w:pStyle w:val="ListNumber"/>
        <w:keepLines/>
      </w:pPr>
      <w:r>
        <w:rPr/>
        <w:t>Context Engineering, RAG, Memory, and State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IX — Observability &amp; Evaluation</w:t>
      </w:r>
    </w:p>
    <w:p>
      <w:pPr>
        <w:pStyle w:val="ListNumber"/>
        <w:keepLines/>
      </w:pPr>
      <w:r>
        <w:rPr/>
        <w:t>Observability and Tracing with MLflow</w:t>
      </w:r>
    </w:p>
    <w:p>
      <w:pPr>
        <w:pStyle w:val="ListNumber"/>
        <w:keepLines/>
      </w:pPr>
      <w:r>
        <w:rPr/>
        <w:t>Evaluation, Testing, and Debugging with MLflow</w:t>
      </w:r>
    </w:p>
    <w:p>
      <w:pPr>
        <w:pStyle w:val="Heading2"/>
        <w:keepNext/>
      </w:pPr>
      <w:r>
        <w:rPr/>
        <w:t>Part X — Continuous Learning</w:t>
      </w:r>
    </w:p>
    <w:p>
      <w:pPr>
        <w:pStyle w:val="ListNumber"/>
        <w:keepLines/>
      </w:pPr>
      <w:r>
        <w:rPr/>
        <w:t>Continuous Learning and Improvement Architecture</w:t>
      </w:r>
    </w:p>
    <w:p>
      <w:pPr>
        <w:pStyle w:val="Heading2"/>
        <w:keepNext/>
      </w:pPr>
      <w:r>
        <w:rPr/>
        <w:t>Part XI — Governance</w:t>
      </w:r>
    </w:p>
    <w:p>
      <w:pPr>
        <w:pStyle w:val="ListNumber"/>
        <w:keepLines/>
      </w:pPr>
      <w:r>
        <w:rPr/>
        <w:t>Governance, Risk, and Operating Model</w:t>
      </w:r>
    </w:p>
    <w:p>
      <w:pPr>
        <w:pStyle w:val="Heading2"/>
        <w:keepNext/>
      </w:pPr>
      <w:r>
        <w:rPr/>
        <w:t>Part XII — Deployment &amp; Production Operations</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B–O. Runbooks, contracts, framework landscape, research, assurance, implementation, grounding,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M.</w:t>
      </w:r>
    </w:p>
    <w:p>
      <w:pPr>
        <w:pStyle w:val="Heading2"/>
        <w:keepNext/>
      </w:pPr>
      <w:r>
        <w:rPr/>
        <w:t>Implementation reference</w:t>
      </w:r>
    </w:p>
    <w:p>
      <w:pPr>
        <w:pStyle w:val="Heading3"/>
        <w:keepNext/>
      </w:pPr>
      <w:r>
        <w:rPr/>
        <w:t>Provider-neutral agent-step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 IF AN OPERATION MUST BE CORRECT EVERY TIME, SURVIVE A CRASH, ENFO</w:t>
            </w:r>
            <w:r>
              <w:rPr/>
              <w:t xml:space="preserve">  Boundary rule: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M.</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ToolExecutionConfig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retrieve_supplier_policy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country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"Retrieve authorized policy through the enterprise Tool Gateway."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18A84"/>
                <w:sz w:val="14"/>
              </w:rPr>
              <w:t>"supplier.policy.read.v2"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"country"</w:t>
            </w:r>
            <w:r>
              <w:rPr>
                <w:rFonts w:ascii="Courier New" w:hAnsi="Courier New"/>
                <w:color w:val="19324D"/>
                <w:sz w:val="14"/>
              </w:rPr>
              <w:t xml:space="preserve">: </w:t>
            </w:r>
            <w:r>
              <w:rPr>
                <w:rFonts w:ascii="Courier New" w:hAnsi="Courier New"/>
                <w:color w:val="19324D"/>
                <w:sz w:val="14"/>
              </w:rPr>
              <w:t>country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analyst"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"Analyze only supplied authorized evidence. Return a structured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"disposition. Never claim that an external write occurred."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retrieve_supplier_policy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StepDisposition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M.</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w:t>
            </w:r>
          </w:p>
          <w:p>
            <w:pPr>
              <w:spacing w:before="360"/>
              <w:jc w:val="center"/>
            </w:pPr>
            <w:r>
              <w:rPr>
                <w:rFonts w:ascii="Arial" w:hAnsi="Arial"/>
                <w:color w:val="D8E8F5"/>
                <w:sz w:val="22"/>
              </w:rPr>
              <w:t>This Part converts the foundational invariants into an enterprise system of record. It assigns ownership across experience, application, runtime, knowledge, gateway, security, governance, and operations planes, then specifies the APIs and records that let those planes evolve independently.</w:t>
            </w:r>
          </w:p>
        </w:tc>
      </w:tr>
    </w:tbl>
    <w:p>
      <w:r>
        <w:br w:type="page"/>
      </w:r>
    </w:p>
    <w:p>
      <w:pPr>
        <w:pStyle w:val="Heading1"/>
        <w:keepNext/>
        <w:pageBreakBefore w:val="0"/>
      </w:pPr>
      <w:r>
        <w:rPr/>
        <w:t>04 — Enterprise Agentic AI Reference Architecture</w:t>
      </w: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3479800"/>
            <wp:docPr id="3" name="Picture 3"/>
            <wp:cNvGraphicFramePr>
              <a:graphicFrameLocks noChangeAspect="1"/>
            </wp:cNvGraphicFramePr>
            <a:graphic>
              <a:graphicData uri="http://schemas.openxmlformats.org/drawingml/2006/picture">
                <pic:pic>
                  <pic:nvPicPr>
                    <pic:cNvPr id="0" name="reference-architecture.png"/>
                    <pic:cNvPicPr/>
                  </pic:nvPicPr>
                  <pic:blipFill>
                    <a:blip r:embed="rId15"/>
                    <a:stretch>
                      <a:fillRect/>
                    </a:stretch>
                  </pic:blipFill>
                  <pic:spPr>
                    <a:xfrm>
                      <a:off x="0" y="0"/>
                      <a:ext cx="6263640" cy="3479800"/>
                    </a:xfrm>
                    <a:prstGeom prst="rect"/>
                  </pic:spPr>
                </pic:pic>
              </a:graphicData>
            </a:graphic>
          </wp:inline>
        </w:drawing>
      </w:r>
    </w:p>
    <w:p>
      <w:pPr>
        <w:pStyle w:val="Caption"/>
        <w:jc w:val="center"/>
      </w:pPr>
      <w:r>
        <w:rPr/>
        <w:t>Figure 4-1 — Enterprise agentic AI layered reference architecture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3479800"/>
            <wp:docPr id="4" name="Picture 4"/>
            <wp:cNvGraphicFramePr>
              <a:graphicFrameLocks noChangeAspect="1"/>
            </wp:cNvGraphicFramePr>
            <a:graphic>
              <a:graphicData uri="http://schemas.openxmlformats.org/drawingml/2006/picture">
                <pic:pic>
                  <pic:nvPicPr>
                    <pic:cNvPr id="0" name="request-sequence.png"/>
                    <pic:cNvPicPr/>
                  </pic:nvPicPr>
                  <pic:blipFill>
                    <a:blip r:embed="rId16"/>
                    <a:stretch>
                      <a:fillRect/>
                    </a:stretch>
                  </pic:blipFill>
                  <pic:spPr>
                    <a:xfrm>
                      <a:off x="0" y="0"/>
                      <a:ext cx="6263640" cy="347980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Heading2"/>
        <w:keepNext/>
      </w:pPr>
      <w:r>
        <w:rPr/>
        <w:t>Transition to Chapter 5</w:t>
      </w:r>
    </w:p>
    <w:p>
      <w:pPr/>
      <w:r>
        <w:rPr/>
        <w:t>The planes are visible; Chapter 5 turns their responsibilities into APIs, records, event envelopes, and trust boundaries.</w:t>
      </w:r>
    </w:p>
    <w:p>
      <w:pPr>
        <w:pStyle w:val="Heading1"/>
        <w:keepNext/>
        <w:pageBreakBefore/>
      </w:pPr>
      <w:r>
        <w:rPr/>
        <w:t>05 — Platform Boundaries, APIs, and Data Models</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M.</w:t>
      </w:r>
    </w:p>
    <w:p>
      <w:pPr>
        <w:pStyle w:val="Heading2"/>
        <w:keepNext/>
      </w:pPr>
      <w:r>
        <w:rPr/>
        <w:t>Implementation reference</w:t>
      </w:r>
    </w:p>
    <w:p>
      <w:pPr>
        <w:pStyle w:val="Heading3"/>
        <w:keepNext/>
      </w:pPr>
      <w:r>
        <w:rPr/>
        <w:t>Core platform data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6</w:t>
      </w:r>
    </w:p>
    <w:p>
      <w:pPr/>
      <w:r>
        <w:rPr/>
        <w:t>The reference architecture is now concrete enough to productize; Chapter 6 defines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tc>
      </w:tr>
    </w:tbl>
    <w:p>
      <w:r>
        <w:br w:type="page"/>
      </w:r>
    </w:p>
    <w:p>
      <w:pPr>
        <w:pStyle w:val="Heading1"/>
        <w:keepNext/>
        <w:pageBreakBefore w:val="0"/>
      </w:pPr>
      <w:r>
        <w:rPr/>
        <w:t>06 — Agentic Developer Platform and SDK</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3479800"/>
            <wp:docPr id="5" name="Picture 5"/>
            <wp:cNvGraphicFramePr>
              <a:graphicFrameLocks noChangeAspect="1"/>
            </wp:cNvGraphicFramePr>
            <a:graphic>
              <a:graphicData uri="http://schemas.openxmlformats.org/drawingml/2006/picture">
                <pic:pic>
                  <pic:nvPicPr>
                    <pic:cNvPr id="0" name="developer-platform.png"/>
                    <pic:cNvPicPr/>
                  </pic:nvPicPr>
                  <pic:blipFill>
                    <a:blip r:embed="rId17"/>
                    <a:stretch>
                      <a:fillRect/>
                    </a:stretch>
                  </pic:blipFill>
                  <pic:spPr>
                    <a:xfrm>
                      <a:off x="0" y="0"/>
                      <a:ext cx="6263640" cy="3479800"/>
                    </a:xfrm>
                    <a:prstGeom prst="rect"/>
                  </pic:spPr>
                </pic:pic>
              </a:graphicData>
            </a:graphic>
          </wp:inline>
        </w:drawing>
      </w:r>
    </w:p>
    <w:p>
      <w:pPr>
        <w:pStyle w:val="Caption"/>
        <w:jc w:val="center"/>
      </w:pPr>
      <w:r>
        <w:rPr/>
        <w:t>Figure 6-1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3479800"/>
            <wp:docPr id="6" name="Picture 6"/>
            <wp:cNvGraphicFramePr>
              <a:graphicFrameLocks noChangeAspect="1"/>
            </wp:cNvGraphicFramePr>
            <a:graphic>
              <a:graphicData uri="http://schemas.openxmlformats.org/drawingml/2006/picture">
                <pic:pic>
                  <pic:nvPicPr>
                    <pic:cNvPr id="0" name="portability.png"/>
                    <pic:cNvPicPr/>
                  </pic:nvPicPr>
                  <pic:blipFill>
                    <a:blip r:embed="rId18"/>
                    <a:stretch>
                      <a:fillRect/>
                    </a:stretch>
                  </pic:blipFill>
                  <pic:spPr>
                    <a:xfrm>
                      <a:off x="0" y="0"/>
                      <a:ext cx="6263640" cy="3479800"/>
                    </a:xfrm>
                    <a:prstGeom prst="rect"/>
                  </pic:spPr>
                </pic:pic>
              </a:graphicData>
            </a:graphic>
          </wp:inline>
        </w:drawing>
      </w:r>
    </w:p>
    <w:p>
      <w:pPr>
        <w:pStyle w:val="Caption"/>
        <w:jc w:val="center"/>
      </w:pPr>
      <w:r>
        <w:rPr/>
        <w:t>Figure 6-2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3479800"/>
            <wp:docPr id="7" name="Picture 7"/>
            <wp:cNvGraphicFramePr>
              <a:graphicFrameLocks noChangeAspect="1"/>
            </wp:cNvGraphicFramePr>
            <a:graphic>
              <a:graphicData uri="http://schemas.openxmlformats.org/drawingml/2006/picture">
                <pic:pic>
                  <pic:nvPicPr>
                    <pic:cNvPr id="0" name="developer-lifecycle.png"/>
                    <pic:cNvPicPr/>
                  </pic:nvPicPr>
                  <pic:blipFill>
                    <a:blip r:embed="rId19"/>
                    <a:stretch>
                      <a:fillRect/>
                    </a:stretch>
                  </pic:blipFill>
                  <pic:spPr>
                    <a:xfrm>
                      <a:off x="0" y="0"/>
                      <a:ext cx="6263640" cy="3479800"/>
                    </a:xfrm>
                    <a:prstGeom prst="rect"/>
                  </pic:spPr>
                </pic:pic>
              </a:graphicData>
            </a:graphic>
          </wp:inline>
        </w:drawing>
      </w:r>
    </w:p>
    <w:p>
      <w:pPr>
        <w:pStyle w:val="Caption"/>
        <w:jc w:val="center"/>
      </w:pPr>
      <w:r>
        <w:rPr/>
        <w:t>Figure 6-3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Transition to Chapter 7</w:t>
      </w:r>
    </w:p>
    <w:p>
      <w:pPr/>
      <w:r>
        <w:rPr/>
        <w:t>With platform responsibilities separated from application logic, Chapter 7 specifies the developer workflow that makes the paved road usable.</w:t>
      </w:r>
    </w:p>
    <w:p>
      <w:pPr>
        <w:pStyle w:val="Heading1"/>
        <w:keepNext/>
        <w:pageBreakBefore/>
      </w:pPr>
      <w:r>
        <w:rPr/>
        <w:t>07 — Developer Experience, Testing, and Delivery Lifecycle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3479800"/>
            <wp:docPr id="8" name="Picture 8"/>
            <wp:cNvGraphicFramePr>
              <a:graphicFrameLocks noChangeAspect="1"/>
            </wp:cNvGraphicFramePr>
            <a:graphic>
              <a:graphicData uri="http://schemas.openxmlformats.org/drawingml/2006/picture">
                <pic:pic>
                  <pic:nvPicPr>
                    <pic:cNvPr id="0" name="dx-golden-path.png"/>
                    <pic:cNvPicPr/>
                  </pic:nvPicPr>
                  <pic:blipFill>
                    <a:blip r:embed="rId20"/>
                    <a:stretch>
                      <a:fillRect/>
                    </a:stretch>
                  </pic:blipFill>
                  <pic:spPr>
                    <a:xfrm>
                      <a:off x="0" y="0"/>
                      <a:ext cx="6263640" cy="3479800"/>
                    </a:xfrm>
                    <a:prstGeom prst="rect"/>
                  </pic:spPr>
                </pic:pic>
              </a:graphicData>
            </a:graphic>
          </wp:inline>
        </w:drawing>
      </w:r>
    </w:p>
    <w:p>
      <w:pPr>
        <w:pStyle w:val="Caption"/>
        <w:jc w:val="center"/>
      </w:pPr>
      <w:r>
        <w:rPr/>
        <w:t>Figure 7-1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3479800"/>
            <wp:docPr id="9" name="Picture 9"/>
            <wp:cNvGraphicFramePr>
              <a:graphicFrameLocks noChangeAspect="1"/>
            </wp:cNvGraphicFramePr>
            <a:graphic>
              <a:graphicData uri="http://schemas.openxmlformats.org/drawingml/2006/picture">
                <pic:pic>
                  <pic:nvPicPr>
                    <pic:cNvPr id="0" name="test-pyramid.png"/>
                    <pic:cNvPicPr/>
                  </pic:nvPicPr>
                  <pic:blipFill>
                    <a:blip r:embed="rId21"/>
                    <a:stretch>
                      <a:fillRect/>
                    </a:stretch>
                  </pic:blipFill>
                  <pic:spPr>
                    <a:xfrm>
                      <a:off x="0" y="0"/>
                      <a:ext cx="6263640" cy="3479800"/>
                    </a:xfrm>
                    <a:prstGeom prst="rect"/>
                  </pic:spPr>
                </pic:pic>
              </a:graphicData>
            </a:graphic>
          </wp:inline>
        </w:drawing>
      </w:r>
    </w:p>
    <w:p>
      <w:pPr>
        <w:pStyle w:val="Caption"/>
        <w:jc w:val="center"/>
      </w:pPr>
      <w:r>
        <w:rPr/>
        <w:t>Figure 7-2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8</w:t>
      </w:r>
    </w:p>
    <w:p>
      <w:pPr/>
      <w:r>
        <w:rPr/>
        <w:t>The delivery path is established; Chapter 8 packages repeatable behavior as versioned Skills with explicit contracts and lifecycle controls.</w:t>
      </w:r>
    </w:p>
    <w:p>
      <w:pPr>
        <w:pStyle w:val="Heading1"/>
        <w:keepNext/>
        <w:pageBreakBefore/>
      </w:pPr>
      <w:r>
        <w:rPr/>
        <w:t>08 — Skills as Versioned Capabilities</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M.</w:t>
      </w:r>
    </w:p>
    <w:p>
      <w:pPr>
        <w:pStyle w:val="Heading2"/>
        <w:keepNext/>
      </w:pPr>
      <w:r>
        <w:rPr/>
        <w:t>Implementation reference</w:t>
      </w:r>
    </w:p>
    <w:p>
      <w:pPr>
        <w:pStyle w:val="Heading3"/>
        <w:keepNext/>
      </w:pPr>
      <w:r>
        <w:rPr/>
        <w:t>Skill manifest and resolver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_SEMVER</w:t>
            </w:r>
            <w:r>
              <w:rPr>
                <w:rFonts w:ascii="Courier New" w:hAnsi="Courier New"/>
                <w:color w:val="19324D"/>
                <w:sz w:val="14"/>
              </w:rPr>
              <w:t xml:space="preserve"> =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compile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r>
            <w:r>
              <w:rPr>
                <w:rFonts w:ascii="Courier New" w:hAnsi="Courier New"/>
                <w:color w:val="118A84"/>
                <w:sz w:val="14"/>
              </w:rPr>
              <w:t>"^(0|[1-9]\d*)\.(0|[1-9]\d*)\.(0|[1-9]\d*)"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r>
            <w:r>
              <w:rPr>
                <w:rFonts w:ascii="Courier New" w:hAnsi="Courier New"/>
                <w:color w:val="118A84"/>
                <w:sz w:val="14"/>
              </w:rPr>
              <w:t>"(?:-([0-9A-Za-z-]+(?:\.[0-9A-Za-z-]+)*))?"</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r>
            <w:r>
              <w:rPr>
                <w:rFonts w:ascii="Courier New" w:hAnsi="Courier New"/>
                <w:color w:val="118A84"/>
                <w:sz w:val="14"/>
              </w:rPr>
              <w:t>"(?:\+[0-9A-Za-z-]+(?:\.[0-9A-Za-z-]+)*)?$"</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 SemVer 2.0 precedence key; build metadata has no precedence."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match</w:t>
            </w:r>
            <w:r>
              <w:rPr>
                <w:rFonts w:ascii="Courier New" w:hAnsi="Courier New"/>
                <w:color w:val="19324D"/>
                <w:sz w:val="14"/>
              </w:rPr>
              <w:t xml:space="preserve"> = </w:t>
            </w:r>
            <w:r>
              <w:rPr>
                <w:rFonts w:ascii="Courier New" w:hAnsi="Courier New"/>
                <w:color w:val="19324D"/>
                <w:sz w:val="14"/>
              </w:rPr>
              <w:t>_SEMVER</w:t>
            </w:r>
            <w:r>
              <w:rPr>
                <w:rFonts w:ascii="Courier New" w:hAnsi="Courier New"/>
                <w:color w:val="19324D"/>
                <w:sz w:val="14"/>
              </w:rPr>
              <w:t>.</w:t>
            </w:r>
            <w:r>
              <w:rPr>
                <w:rFonts w:ascii="Courier New" w:hAnsi="Courier New"/>
                <w:color w:val="19324D"/>
                <w:sz w:val="14"/>
              </w:rPr>
              <w:t>fullmatch</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match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semantic version: {version}"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major</w:t>
            </w:r>
            <w:r>
              <w:rPr>
                <w:rFonts w:ascii="Courier New" w:hAnsi="Courier New"/>
                <w:color w:val="19324D"/>
                <w:sz w:val="14"/>
              </w:rPr>
              <w:t xml:space="preserve">, </w:t>
            </w:r>
            <w:r>
              <w:rPr>
                <w:rFonts w:ascii="Courier New" w:hAnsi="Courier New"/>
                <w:color w:val="19324D"/>
                <w:sz w:val="14"/>
              </w:rPr>
              <w:t>minor</w:t>
            </w:r>
            <w:r>
              <w:rPr>
                <w:rFonts w:ascii="Courier New" w:hAnsi="Courier New"/>
                <w:color w:val="19324D"/>
                <w:sz w:val="14"/>
              </w:rPr>
              <w:t xml:space="preserve">, </w:t>
            </w:r>
            <w:r>
              <w:rPr>
                <w:rFonts w:ascii="Courier New" w:hAnsi="Courier New"/>
                <w:color w:val="19324D"/>
                <w:sz w:val="14"/>
              </w:rPr>
              <w:t>patch</w:t>
            </w:r>
            <w:r>
              <w:rPr>
                <w:rFonts w:ascii="Courier New" w:hAnsi="Courier New"/>
                <w:color w:val="19324D"/>
                <w:sz w:val="14"/>
              </w:rPr>
              <w:t xml:space="preserve"> = (</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match</w:t>
            </w:r>
            <w:r>
              <w:rPr>
                <w:rFonts w:ascii="Courier New" w:hAnsi="Courier New"/>
                <w:color w:val="19324D"/>
                <w:sz w:val="14"/>
              </w:rPr>
              <w:t>.</w:t>
            </w:r>
            <w:r>
              <w:rPr>
                <w:rFonts w:ascii="Courier New" w:hAnsi="Courier New"/>
                <w:color w:val="19324D"/>
                <w:sz w:val="14"/>
              </w:rPr>
              <w:t>group</w:t>
            </w:r>
            <w:r>
              <w:rPr>
                <w:rFonts w:ascii="Courier New" w:hAnsi="Courier New"/>
                <w:color w:val="19324D"/>
                <w:sz w:val="14"/>
              </w:rPr>
              <w:t>(</w:t>
            </w:r>
            <w:r>
              <w:rPr>
                <w:rFonts w:ascii="Courier New" w:hAnsi="Courier New"/>
                <w:color w:val="19324D"/>
                <w:sz w:val="14"/>
              </w:rPr>
              <w:t>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prerelease</w:t>
            </w:r>
            <w:r>
              <w:rPr>
                <w:rFonts w:ascii="Courier New" w:hAnsi="Courier New"/>
                <w:color w:val="19324D"/>
                <w:sz w:val="14"/>
              </w:rPr>
              <w:t xml:space="preserve"> = </w:t>
            </w:r>
            <w:r>
              <w:rPr>
                <w:rFonts w:ascii="Courier New" w:hAnsi="Courier New"/>
                <w:b/>
                <w:color w:val="1769D2"/>
                <w:sz w:val="14"/>
              </w:rPr>
              <w:t>match</w:t>
            </w:r>
            <w:r>
              <w:rPr>
                <w:rFonts w:ascii="Courier New" w:hAnsi="Courier New"/>
                <w:color w:val="19324D"/>
                <w:sz w:val="14"/>
              </w:rPr>
              <w:t>.</w:t>
            </w:r>
            <w:r>
              <w:rPr>
                <w:rFonts w:ascii="Courier New" w:hAnsi="Courier New"/>
                <w:color w:val="19324D"/>
                <w:sz w:val="14"/>
              </w:rPr>
              <w:t>group</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prerelease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major</w:t>
            </w:r>
            <w:r>
              <w:rPr>
                <w:rFonts w:ascii="Courier New" w:hAnsi="Courier New"/>
                <w:color w:val="19324D"/>
                <w:sz w:val="14"/>
              </w:rPr>
              <w:t xml:space="preserve">, </w:t>
            </w:r>
            <w:r>
              <w:rPr>
                <w:rFonts w:ascii="Courier New" w:hAnsi="Courier New"/>
                <w:color w:val="19324D"/>
                <w:sz w:val="14"/>
              </w:rPr>
              <w:t>minor</w:t>
            </w:r>
            <w:r>
              <w:rPr>
                <w:rFonts w:ascii="Courier New" w:hAnsi="Courier New"/>
                <w:color w:val="19324D"/>
                <w:sz w:val="14"/>
              </w:rPr>
              <w:t xml:space="preserve">, </w:t>
            </w:r>
            <w:r>
              <w:rPr>
                <w:rFonts w:ascii="Courier New" w:hAnsi="Courier New"/>
                <w:color w:val="19324D"/>
                <w:sz w:val="14"/>
              </w:rPr>
              <w:t>patch</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prerelease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w:t>
            </w:r>
            <w:r>
              <w:rPr>
                <w:rFonts w:ascii="Courier New" w:hAnsi="Courier New"/>
                <w:color w:val="19324D"/>
                <w:sz w:val="14"/>
              </w:rPr>
              <w:t>isdigit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identifier</w:t>
            </w:r>
            <w:r>
              <w:rPr>
                <w:rFonts w:ascii="Courier New" w:hAnsi="Courier New"/>
                <w:color w:val="19324D"/>
                <w:sz w:val="14"/>
              </w:rPr>
              <w:t xml:space="preserve">) &gt; </w:t>
            </w:r>
            <w:r>
              <w:rPr>
                <w:rFonts w:ascii="Courier New" w:hAnsi="Courier New"/>
                <w:color w:val="19324D"/>
                <w:sz w:val="14"/>
              </w:rPr>
              <w:t>1</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"numeric prerelease identifiers cannot have leading zeroes"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identifier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major</w:t>
            </w:r>
            <w:r>
              <w:rPr>
                <w:rFonts w:ascii="Courier New" w:hAnsi="Courier New"/>
                <w:color w:val="19324D"/>
                <w:sz w:val="14"/>
              </w:rPr>
              <w:t xml:space="preserve">, </w:t>
            </w:r>
            <w:r>
              <w:rPr>
                <w:rFonts w:ascii="Courier New" w:hAnsi="Courier New"/>
                <w:color w:val="19324D"/>
                <w:sz w:val="14"/>
              </w:rPr>
              <w:t>minor</w:t>
            </w:r>
            <w:r>
              <w:rPr>
                <w:rFonts w:ascii="Courier New" w:hAnsi="Courier New"/>
                <w:color w:val="19324D"/>
                <w:sz w:val="14"/>
              </w:rPr>
              <w:t xml:space="preserve">, </w:t>
            </w:r>
            <w:r>
              <w:rPr>
                <w:rFonts w:ascii="Courier New" w:hAnsi="Courier New"/>
                <w:color w:val="19324D"/>
                <w:sz w:val="14"/>
              </w:rPr>
              <w:t>patch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identifiers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knowledge_refs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validate_digest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 xml:space="preserve">, </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expected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"skill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__setattr__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9</w:t>
      </w:r>
    </w:p>
    <w:p>
      <w:pPr/>
      <w:r>
        <w:rPr/>
        <w:t>Individual Skills are governable; Chapter 9 composes them into domain packs without dissolving ownership or compatibility boundaries.</w:t>
      </w:r>
    </w:p>
    <w:p>
      <w:pPr>
        <w:pStyle w:val="Heading1"/>
        <w:keepNext/>
        <w:pageBreakBefore/>
      </w:pPr>
      <w:r>
        <w:rPr/>
        <w:t>09 — Skill Packs and Domain Platforms</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M.</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10</w:t>
      </w:r>
    </w:p>
    <w:p>
      <w:pPr/>
      <w:r>
        <w:rPr/>
        <w:t>The platform and capability model are complete; Chapter 10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w:t>
            </w:r>
          </w:p>
          <w:p>
            <w:pPr>
              <w:spacing w:before="360"/>
              <w:jc w:val="center"/>
            </w:pPr>
            <w:r>
              <w:rPr>
                <w:rFonts w:ascii="Arial" w:hAnsi="Arial"/>
                <w:color w:val="D8E8F5"/>
                <w:sz w:val="22"/>
              </w:rPr>
              <w:t>This Part selects the smallest topology that resolves the uncertainty at hand. The chapters progress from bounded reason–act loops through routing, planning, evaluation, human control, durable execution, and a cross-category decision catalog.</w:t>
            </w:r>
          </w:p>
        </w:tc>
      </w:tr>
    </w:tbl>
    <w:p>
      <w:r>
        <w:br w:type="page"/>
      </w:r>
    </w:p>
    <w:p>
      <w:pPr>
        <w:pStyle w:val="Heading1"/>
        <w:keepNext/>
        <w:pageBreakBefore w:val="0"/>
      </w:pPr>
      <w:r>
        <w:rPr/>
        <w:t>10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M.</w:t>
      </w: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pStyle w:val="Heading3"/>
        <w:keepNext/>
      </w:pPr>
      <w:r>
        <w:rPr/>
        <w:t>Bounded ReAct controller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4</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maximum_identical_observations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__post_init__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&lt;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"all ReAct limits must be positive"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11</w:t>
      </w:r>
    </w:p>
    <w:p>
      <w:pPr/>
      <w:r>
        <w:rPr/>
        <w:t>A bounded reason–act loop handles local uncertainty; Chapter 11 adds routing and handoff when known paths or specialists should own the work.</w:t>
      </w:r>
    </w:p>
    <w:p>
      <w:pPr>
        <w:pStyle w:val="Heading1"/>
        <w:keepNext/>
        <w:pageBreakBefore/>
      </w:pPr>
      <w:r>
        <w:rPr/>
        <w:t>11 — Routing, Triage, and Handoffs</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M.</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12</w:t>
      </w:r>
    </w:p>
    <w:p>
      <w:pPr/>
      <w:r>
        <w:rPr/>
        <w:t>Routing selects among known capabilities; Chapter 12 addresses tasks whose decomposition must itself be proposed and validated.</w:t>
      </w:r>
    </w:p>
    <w:p>
      <w:pPr>
        <w:pStyle w:val="Heading1"/>
        <w:keepNext/>
        <w:pageBreakBefore/>
      </w:pPr>
      <w:r>
        <w:rPr/>
        <w:t>12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M.</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_SHA256</w:t>
            </w:r>
            <w:r>
              <w:rPr>
                <w:rFonts w:ascii="Courier New" w:hAnsi="Courier New"/>
                <w:color w:val="19324D"/>
                <w:sz w:val="14"/>
              </w:rPr>
              <w:t xml:space="preserve"> =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compile</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"^sha256:[0-9a-f]{64}$"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"Deterministic limits used to compile one candidate plan."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maximum_nodes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100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4</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__post_init__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&lt;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"maximum_cost_usd must be finite and non-negative"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 xml:space="preserve"> &lt;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"maximum_nodes must be positive"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"maximum_risk must be between 0 and 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fullmatch</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"policy_digest must be a canonical sha256 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canonical</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13</w:t>
      </w:r>
    </w:p>
    <w:p>
      <w:pPr/>
      <w:r>
        <w:rPr/>
        <w:t>Planning creates an executable structure; Chapter 13 adds independent evaluation and bounded revision without self-certification.</w:t>
      </w:r>
    </w:p>
    <w:p>
      <w:pPr>
        <w:pStyle w:val="Heading1"/>
        <w:keepNext/>
        <w:pageBreakBefore/>
      </w:pPr>
      <w:r>
        <w:rPr/>
        <w:t>13 — Reflection and Evaluator–Optimizer</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M.</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14</w:t>
      </w:r>
    </w:p>
    <w:p>
      <w:pPr/>
      <w:r>
        <w:rPr/>
        <w:t>Automated evaluation can improve candidates; Chapter 14 identifies decisions that require explicit human authority, correction, or recourse.</w:t>
      </w:r>
    </w:p>
    <w:p>
      <w:pPr>
        <w:pStyle w:val="Heading1"/>
        <w:keepNext/>
        <w:pageBreakBefore/>
      </w:pPr>
      <w:r>
        <w:rPr/>
        <w:t>14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M.</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field_name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tzinfo</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utcoffset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"{field_name} must be timezone-aware"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"Exact action reviewed by an approver; immutable after presentation."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expiry_is_aware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15</w:t>
      </w:r>
    </w:p>
    <w:p>
      <w:pPr/>
      <w:r>
        <w:rPr/>
        <w:t>Human control introduces waits and resumptions; Chapter 15 makes those waits durable and gives long-running work explicit state and recovery.</w:t>
      </w:r>
    </w:p>
    <w:p>
      <w:pPr>
        <w:pStyle w:val="Heading1"/>
        <w:keepNext/>
        <w:pageBreakBefore/>
      </w:pPr>
      <w:r>
        <w:rPr/>
        <w:t>15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M.</w:t>
      </w: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RunStatus</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TERMINAL</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RunStatus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kind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16</w:t>
      </w:r>
    </w:p>
    <w:p>
      <w:pPr/>
      <w:r>
        <w:rPr/>
        <w:t>The core patterns are now defined; Chapter 16 compares them across uncertainty, authority, latency, evidence, and operating cost.</w:t>
      </w:r>
    </w:p>
    <w:p>
      <w:pPr>
        <w:pStyle w:val="Heading1"/>
        <w:keepNext/>
        <w:pageBreakBefore/>
      </w:pPr>
      <w:r>
        <w:rPr/>
        <w:t>16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3479800"/>
            <wp:docPr id="10" name="Picture 10"/>
            <wp:cNvGraphicFramePr>
              <a:graphicFrameLocks noChangeAspect="1"/>
            </wp:cNvGraphicFramePr>
            <a:graphic>
              <a:graphicData uri="http://schemas.openxmlformats.org/drawingml/2006/picture">
                <pic:pic>
                  <pic:nvPicPr>
                    <pic:cNvPr id="0" name="pattern-decision-tree.png"/>
                    <pic:cNvPicPr/>
                  </pic:nvPicPr>
                  <pic:blipFill>
                    <a:blip r:embed="rId22"/>
                    <a:stretch>
                      <a:fillRect/>
                    </a:stretch>
                  </pic:blipFill>
                  <pic:spPr>
                    <a:xfrm>
                      <a:off x="0" y="0"/>
                      <a:ext cx="6263640" cy="3479800"/>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17</w:t>
      </w:r>
    </w:p>
    <w:p>
      <w:pPr/>
      <w:r>
        <w:rPr/>
        <w:t>Pattern selection is easier when failure shapes are visible; Chapter 17 recasts recurring anti-patterns as measurable replacement decisions.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ANTI-PATTERNS</w:t>
            </w:r>
          </w:p>
          <w:p>
            <w:pPr>
              <w:spacing w:before="360"/>
              <w:jc w:val="center"/>
            </w:pPr>
            <w:r>
              <w:rPr>
                <w:rFonts w:ascii="Arial" w:hAnsi="Arial"/>
                <w:color w:val="D8E8F5"/>
                <w:sz w:val="22"/>
              </w:rPr>
              <w:t>This Part reverses the lens. It exposes recurring architecture shapes that hide authority, state, effects, security, reliability, or operating cost, and pairs each failure with a measurable replacement pattern.</w:t>
            </w:r>
          </w:p>
        </w:tc>
      </w:tr>
    </w:tbl>
    <w:p>
      <w:r>
        <w:br w:type="page"/>
      </w:r>
    </w:p>
    <w:p>
      <w:pPr>
        <w:pStyle w:val="Heading1"/>
        <w:keepNext/>
        <w:pageBreakBefore w:val="0"/>
      </w:pPr>
      <w:r>
        <w:rPr/>
        <w:t>17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3479800"/>
            <wp:docPr id="11" name="Picture 11"/>
            <wp:cNvGraphicFramePr>
              <a:graphicFrameLocks noChangeAspect="1"/>
            </wp:cNvGraphicFramePr>
            <a:graphic>
              <a:graphicData uri="http://schemas.openxmlformats.org/drawingml/2006/picture">
                <pic:pic>
                  <pic:nvPicPr>
                    <pic:cNvPr id="0" name="anti-before-after.png"/>
                    <pic:cNvPicPr/>
                  </pic:nvPicPr>
                  <pic:blipFill>
                    <a:blip r:embed="rId23"/>
                    <a:stretch>
                      <a:fillRect/>
                    </a:stretch>
                  </pic:blipFill>
                  <pic:spPr>
                    <a:xfrm>
                      <a:off x="0" y="0"/>
                      <a:ext cx="6263640" cy="3479800"/>
                    </a:xfrm>
                    <a:prstGeom prst="rect"/>
                  </pic:spPr>
                </pic:pic>
              </a:graphicData>
            </a:graphic>
          </wp:inline>
        </w:drawing>
      </w:r>
    </w:p>
    <w:p>
      <w:pPr>
        <w:pStyle w:val="Caption"/>
        <w:jc w:val="center"/>
      </w:pPr>
      <w:r>
        <w:rPr/>
        <w:t>Figure 17-1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18</w:t>
      </w:r>
    </w:p>
    <w:p>
      <w:pPr/>
      <w:r>
        <w:rPr/>
        <w:t>After removing unsafe local architectures, Chapter 18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MULTI-AGENT &amp; PLATFORM INTEGRATION</w:t>
            </w:r>
          </w:p>
          <w:p>
            <w:pPr>
              <w:spacing w:before="360"/>
              <w:jc w:val="center"/>
            </w:pPr>
            <w:r>
              <w:rPr>
                <w:rFonts w:ascii="Arial" w:hAnsi="Arial"/>
                <w:color w:val="D8E8F5"/>
                <w:sz w:val="22"/>
              </w:rPr>
              <w:t>This Part expands beyond one runtime. It shows when specialized agents are justified and how MCP, A2A, APIs, events, and shared services can cross platform boundaries without transferring hidden authority or trust.</w:t>
            </w:r>
          </w:p>
        </w:tc>
      </w:tr>
    </w:tbl>
    <w:p>
      <w:r>
        <w:br w:type="page"/>
      </w:r>
    </w:p>
    <w:p>
      <w:pPr>
        <w:pStyle w:val="Heading1"/>
        <w:keepNext/>
        <w:pageBreakBefore w:val="0"/>
      </w:pPr>
      <w:r>
        <w:rPr/>
        <w:t>18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M.</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19</w:t>
      </w:r>
    </w:p>
    <w:p>
      <w:pPr/>
      <w:r>
        <w:rPr/>
        <w:t>Multi-agent collaboration inside one platform is only part of the problem; Chapter 19 governs cross-platform tools, agents, APIs, and events.</w:t>
      </w:r>
    </w:p>
    <w:p>
      <w:pPr>
        <w:pStyle w:val="Heading1"/>
        <w:keepNext/>
        <w:pageBreakBefore/>
      </w:pPr>
      <w:r>
        <w:rPr/>
        <w:t>19 — MCP, A2A, and External Integration</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M.</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20</w:t>
      </w:r>
    </w:p>
    <w:p>
      <w:pPr/>
      <w:r>
        <w:rPr/>
        <w:t>External integrations are bounded; Chapter 20 isolates model-provider access and policy in the LLM Gateway control plane.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LLM GATEWAY</w:t>
            </w:r>
          </w:p>
          <w:p>
            <w:pPr>
              <w:spacing w:before="360"/>
              <w:jc w:val="center"/>
            </w:pPr>
            <w:r>
              <w:rPr>
                <w:rFonts w:ascii="Arial" w:hAnsi="Arial"/>
                <w:color w:val="D8E8F5"/>
                <w:sz w:val="22"/>
              </w:rPr>
              <w:t>This Part isolates model-provider concerns behind a control plane for routing, authorization, policy, privacy, budgets, resilience, telemetry, and evaluation hooks. It also distinguishes the LLM Gateway from API, agent, MCP, and workflow layers.</w:t>
            </w:r>
          </w:p>
        </w:tc>
      </w:tr>
    </w:tbl>
    <w:p>
      <w:r>
        <w:br w:type="page"/>
      </w:r>
    </w:p>
    <w:p>
      <w:pPr>
        <w:pStyle w:val="Heading1"/>
        <w:keepNext/>
        <w:pageBreakBefore w:val="0"/>
      </w:pPr>
      <w:r>
        <w:rPr/>
        <w:t>20 — LLM Gateway and Model Control Plane</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3479800"/>
            <wp:docPr id="12" name="Picture 12"/>
            <wp:cNvGraphicFramePr>
              <a:graphicFrameLocks noChangeAspect="1"/>
            </wp:cNvGraphicFramePr>
            <a:graphic>
              <a:graphicData uri="http://schemas.openxmlformats.org/drawingml/2006/picture">
                <pic:pic>
                  <pic:nvPicPr>
                    <pic:cNvPr id="0" name="gateway-position.png"/>
                    <pic:cNvPicPr/>
                  </pic:nvPicPr>
                  <pic:blipFill>
                    <a:blip r:embed="rId24"/>
                    <a:stretch>
                      <a:fillRect/>
                    </a:stretch>
                  </pic:blipFill>
                  <pic:spPr>
                    <a:xfrm>
                      <a:off x="0" y="0"/>
                      <a:ext cx="6263640" cy="3479800"/>
                    </a:xfrm>
                    <a:prstGeom prst="rect"/>
                  </pic:spPr>
                </pic:pic>
              </a:graphicData>
            </a:graphic>
          </wp:inline>
        </w:drawing>
      </w:r>
    </w:p>
    <w:p>
      <w:pPr>
        <w:pStyle w:val="Caption"/>
        <w:jc w:val="center"/>
      </w:pPr>
      <w:r>
        <w:rPr/>
        <w:t>Figure 20-1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3479800"/>
            <wp:docPr id="13" name="Picture 13"/>
            <wp:cNvGraphicFramePr>
              <a:graphicFrameLocks noChangeAspect="1"/>
            </wp:cNvGraphicFramePr>
            <a:graphic>
              <a:graphicData uri="http://schemas.openxmlformats.org/drawingml/2006/picture">
                <pic:pic>
                  <pic:nvPicPr>
                    <pic:cNvPr id="0" name="model-routing.png"/>
                    <pic:cNvPicPr/>
                  </pic:nvPicPr>
                  <pic:blipFill>
                    <a:blip r:embed="rId25"/>
                    <a:stretch>
                      <a:fillRect/>
                    </a:stretch>
                  </pic:blipFill>
                  <pic:spPr>
                    <a:xfrm>
                      <a:off x="0" y="0"/>
                      <a:ext cx="6263640" cy="3479800"/>
                    </a:xfrm>
                    <a:prstGeom prst="rect"/>
                  </pic:spPr>
                </pic:pic>
              </a:graphicData>
            </a:graphic>
          </wp:inline>
        </w:drawing>
      </w:r>
    </w:p>
    <w:p>
      <w:pPr>
        <w:pStyle w:val="Caption"/>
        <w:jc w:val="center"/>
      </w:pPr>
      <w:r>
        <w:rPr/>
        <w:t>Figure 20-2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Transition to Chapter 21</w:t>
      </w:r>
    </w:p>
    <w:p>
      <w:pPr/>
      <w:r>
        <w:rPr/>
        <w:t>The gateway controls model access, but not the entire attack surface; Chapter 21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SECURITY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tc>
      </w:tr>
    </w:tbl>
    <w:p>
      <w:r>
        <w:br w:type="page"/>
      </w:r>
    </w:p>
    <w:p>
      <w:pPr>
        <w:pStyle w:val="Heading1"/>
        <w:keepNext/>
        <w:pageBreakBefore w:val="0"/>
      </w:pPr>
      <w:r>
        <w:rPr/>
        <w:t>21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3479800"/>
            <wp:docPr id="14" name="Picture 14"/>
            <wp:cNvGraphicFramePr>
              <a:graphicFrameLocks noChangeAspect="1"/>
            </wp:cNvGraphicFramePr>
            <a:graphic>
              <a:graphicData uri="http://schemas.openxmlformats.org/drawingml/2006/picture">
                <pic:pic>
                  <pic:nvPicPr>
                    <pic:cNvPr id="0" name="security-depth.png"/>
                    <pic:cNvPicPr/>
                  </pic:nvPicPr>
                  <pic:blipFill>
                    <a:blip r:embed="rId26"/>
                    <a:stretch>
                      <a:fillRect/>
                    </a:stretch>
                  </pic:blipFill>
                  <pic:spPr>
                    <a:xfrm>
                      <a:off x="0" y="0"/>
                      <a:ext cx="6263640" cy="3479800"/>
                    </a:xfrm>
                    <a:prstGeom prst="rect"/>
                  </pic:spPr>
                </pic:pic>
              </a:graphicData>
            </a:graphic>
          </wp:inline>
        </w:drawing>
      </w:r>
    </w:p>
    <w:p>
      <w:pPr>
        <w:pStyle w:val="Caption"/>
        <w:jc w:val="center"/>
      </w:pPr>
      <w:r>
        <w:rPr/>
        <w:t>Figure 21-1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3479800"/>
            <wp:docPr id="15" name="Picture 15"/>
            <wp:cNvGraphicFramePr>
              <a:graphicFrameLocks noChangeAspect="1"/>
            </wp:cNvGraphicFramePr>
            <a:graphic>
              <a:graphicData uri="http://schemas.openxmlformats.org/drawingml/2006/picture">
                <pic:pic>
                  <pic:nvPicPr>
                    <pic:cNvPr id="0" name="security-boundaries.png"/>
                    <pic:cNvPicPr/>
                  </pic:nvPicPr>
                  <pic:blipFill>
                    <a:blip r:embed="rId27"/>
                    <a:stretch>
                      <a:fillRect/>
                    </a:stretch>
                  </pic:blipFill>
                  <pic:spPr>
                    <a:xfrm>
                      <a:off x="0" y="0"/>
                      <a:ext cx="6263640" cy="3479800"/>
                    </a:xfrm>
                    <a:prstGeom prst="rect"/>
                  </pic:spPr>
                </pic:pic>
              </a:graphicData>
            </a:graphic>
          </wp:inline>
        </w:drawing>
      </w:r>
    </w:p>
    <w:p>
      <w:pPr>
        <w:pStyle w:val="Caption"/>
        <w:jc w:val="center"/>
      </w:pPr>
      <w:r>
        <w:rPr/>
        <w:t>Figure 21-2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3479800"/>
            <wp:docPr id="16" name="Picture 16"/>
            <wp:cNvGraphicFramePr>
              <a:graphicFrameLocks noChangeAspect="1"/>
            </wp:cNvGraphicFramePr>
            <a:graphic>
              <a:graphicData uri="http://schemas.openxmlformats.org/drawingml/2006/picture">
                <pic:pic>
                  <pic:nvPicPr>
                    <pic:cNvPr id="0" name="guardrail-sequence.png"/>
                    <pic:cNvPicPr/>
                  </pic:nvPicPr>
                  <pic:blipFill>
                    <a:blip r:embed="rId28"/>
                    <a:stretch>
                      <a:fillRect/>
                    </a:stretch>
                  </pic:blipFill>
                  <pic:spPr>
                    <a:xfrm>
                      <a:off x="0" y="0"/>
                      <a:ext cx="6263640" cy="3479800"/>
                    </a:xfrm>
                    <a:prstGeom prst="rect"/>
                  </pic:spPr>
                </pic:pic>
              </a:graphicData>
            </a:graphic>
          </wp:inline>
        </w:drawing>
      </w:r>
    </w:p>
    <w:p>
      <w:pPr>
        <w:pStyle w:val="Caption"/>
        <w:jc w:val="center"/>
      </w:pPr>
      <w:r>
        <w:rPr/>
        <w:t>Figure 21-3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22</w:t>
      </w:r>
    </w:p>
    <w:p>
      <w:pPr/>
      <w:r>
        <w:rPr/>
        <w:t>The threat model is established; Chapter 22 applies it to context, retrieval, memory, and state—the data surfaces most likely to carry hidden instructions.</w:t>
      </w:r>
    </w:p>
    <w:p>
      <w:pPr>
        <w:pStyle w:val="Heading1"/>
        <w:keepNext/>
        <w:pageBreakBefore/>
      </w:pPr>
      <w:r>
        <w:rPr/>
        <w:t>22 — Context Engineering, RAG, Memory, and State</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M.</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23</w:t>
      </w:r>
    </w:p>
    <w:p>
      <w:pPr/>
      <w:r>
        <w:rPr/>
        <w:t>Context and state are bounded; Chapter 23 determines whose authority may flow through the system and how that authority narrows across hops.</w:t>
      </w:r>
    </w:p>
    <w:p>
      <w:pPr>
        <w:pStyle w:val="Heading1"/>
        <w:keepNext/>
        <w:pageBreakBefore/>
      </w:pPr>
      <w:r>
        <w:rPr/>
        <w:t>23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M.</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24</w:t>
      </w:r>
    </w:p>
    <w:p>
      <w:pPr/>
      <w:r>
        <w:rPr/>
        <w:t>Identity and delegated authority answer who may ask; Chapter 24 proves whether a specific tool effect may execute, commit, retry, or recover.</w:t>
      </w:r>
    </w:p>
    <w:p>
      <w:pPr>
        <w:pStyle w:val="Heading1"/>
        <w:keepNext/>
        <w:pageBreakBefore/>
      </w:pPr>
      <w:r>
        <w:rPr/>
        <w:t>24 — Tool Security, Effects, Idempotency, and Approval</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M.</w:t>
      </w:r>
    </w:p>
    <w:p>
      <w:pPr>
        <w:pStyle w:val="Heading2"/>
        <w:keepNext/>
      </w:pPr>
      <w:r>
        <w:rPr/>
        <w:t>Implementation reference</w:t>
      </w: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25</w:t>
      </w:r>
    </w:p>
    <w:p>
      <w:pPr/>
      <w:r>
        <w:rPr/>
        <w:t>Protected effects are governed; Chapter 25 contains the remaining execution, egress, data, privacy, and supply-chain blast radius.</w:t>
      </w:r>
    </w:p>
    <w:p>
      <w:pPr>
        <w:pStyle w:val="Heading1"/>
        <w:keepNext/>
        <w:pageBreakBefore/>
      </w:pPr>
      <w:r>
        <w:rPr/>
        <w:t>25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M.</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26</w:t>
      </w:r>
    </w:p>
    <w:p>
      <w:pPr/>
      <w:r>
        <w:rPr/>
        <w:t>Security controls now produce events and evidence; Chapter 26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IX</w:t>
            </w:r>
          </w:p>
          <w:p>
            <w:pPr>
              <w:pStyle w:val="BookPart"/>
              <w:jc w:val="center"/>
            </w:pPr>
            <w:r>
              <w:t>OBSERVABILITY &amp; EVALUATION</w:t>
            </w:r>
          </w:p>
          <w:p>
            <w:pPr>
              <w:spacing w:before="360"/>
              <w:jc w:val="center"/>
            </w:pPr>
            <w:r>
              <w:rPr>
                <w:rFonts w:ascii="Arial" w:hAnsi="Arial"/>
                <w:color w:val="D8E8F5"/>
                <w:sz w:val="22"/>
              </w:rPr>
              <w:t>This Part establishes the evidence plane. Traces reconstruct trajectories and effects; evaluations measure outcomes, safety, reliability, latency, cost, and human burden; debugging turns those signals into actionable diagnoses.</w:t>
            </w:r>
          </w:p>
        </w:tc>
      </w:tr>
    </w:tbl>
    <w:p>
      <w:r>
        <w:br w:type="page"/>
      </w:r>
    </w:p>
    <w:p>
      <w:pPr>
        <w:pStyle w:val="Heading1"/>
        <w:keepNext/>
        <w:pageBreakBefore w:val="0"/>
      </w:pPr>
      <w:r>
        <w:rPr/>
        <w:t>26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M.</w:t>
      </w:r>
    </w:p>
    <w:p>
      <w:pPr>
        <w:pStyle w:val="Heading2"/>
        <w:keepNext/>
      </w:pPr>
      <w:r>
        <w:rPr/>
        <w:t>Implementation reference</w:t>
      </w:r>
    </w:p>
    <w:p>
      <w:pPr>
        <w:pStyle w:val="Heading3"/>
        <w:keepNext/>
      </w:pPr>
      <w:r>
        <w:rPr/>
        <w:t>MLflow tracing integration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"http://localhost:5000"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add</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around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27</w:t>
      </w:r>
    </w:p>
    <w:p>
      <w:pPr/>
      <w:r>
        <w:rPr/>
        <w:t>Tracing explains what happened; Chapter 27 determines whether the trajectory and outcome were acceptable and whether a change is safe to ship.</w:t>
      </w:r>
    </w:p>
    <w:p>
      <w:pPr>
        <w:pStyle w:val="Heading1"/>
        <w:keepNext/>
        <w:pageBreakBefore/>
      </w:pPr>
      <w:r>
        <w:rPr/>
        <w:t>27 — Evaluation, Testing, and Debugging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M.</w:t>
      </w:r>
    </w:p>
    <w:p>
      <w:pPr>
        <w:pStyle w:val="Heading2"/>
        <w:keepNext/>
      </w:pPr>
      <w:r>
        <w:rPr/>
        <w:t>Implementation reference</w:t>
      </w: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28</w:t>
      </w:r>
    </w:p>
    <w:p>
      <w:pPr/>
      <w:r>
        <w:rPr/>
        <w:t>Evaluation supplies comparable evidence; Chapter 28 turns that evidence into a governed learning and improvement lifecycle.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X</w:t>
            </w:r>
          </w:p>
          <w:p>
            <w:pPr>
              <w:pStyle w:val="BookPart"/>
              <w:jc w:val="center"/>
            </w:pPr>
            <w:r>
              <w:t>CONTINUOUS LEARNING</w:t>
            </w:r>
          </w:p>
          <w:p>
            <w:pPr>
              <w:spacing w:before="360"/>
              <w:jc w:val="center"/>
            </w:pPr>
            <w:r>
              <w:rPr>
                <w:rFonts w:ascii="Arial" w:hAnsi="Arial"/>
                <w:color w:val="D8E8F5"/>
                <w:sz w:val="22"/>
              </w:rPr>
              <w:t>This Part closes the evidence-to-change loop. It separates bounded runtime adaptation from governed offline improvement and defines who may recommend, validate, approve, deploy, monitor, and reverse changes to prompts, models, tools, memory, routing, workflows, and architecture.</w:t>
            </w:r>
          </w:p>
        </w:tc>
      </w:tr>
    </w:tbl>
    <w:p>
      <w:r>
        <w:br w:type="page"/>
      </w:r>
    </w:p>
    <w:p>
      <w:pPr>
        <w:pStyle w:val="Heading1"/>
        <w:keepNext/>
        <w:pageBreakBefore w:val="0"/>
      </w:pPr>
      <w:r>
        <w:rPr/>
        <w:t>28 — Continuous Learning and Improvement Architecture</w:t>
      </w: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3479800"/>
            <wp:docPr id="17" name="Picture 17"/>
            <wp:cNvGraphicFramePr>
              <a:graphicFrameLocks noChangeAspect="1"/>
            </wp:cNvGraphicFramePr>
            <a:graphic>
              <a:graphicData uri="http://schemas.openxmlformats.org/drawingml/2006/picture">
                <pic:pic>
                  <pic:nvPicPr>
                    <pic:cNvPr id="0" name="learning-loop.png"/>
                    <pic:cNvPicPr/>
                  </pic:nvPicPr>
                  <pic:blipFill>
                    <a:blip r:embed="rId29"/>
                    <a:stretch>
                      <a:fillRect/>
                    </a:stretch>
                  </pic:blipFill>
                  <pic:spPr>
                    <a:xfrm>
                      <a:off x="0" y="0"/>
                      <a:ext cx="6263640" cy="3479800"/>
                    </a:xfrm>
                    <a:prstGeom prst="rect"/>
                  </pic:spPr>
                </pic:pic>
              </a:graphicData>
            </a:graphic>
          </wp:inline>
        </w:drawing>
      </w:r>
    </w:p>
    <w:p>
      <w:pPr>
        <w:pStyle w:val="Caption"/>
        <w:jc w:val="center"/>
      </w:pPr>
      <w:r>
        <w:rPr/>
        <w:t>Figure 28-1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3479800"/>
            <wp:docPr id="18" name="Picture 18"/>
            <wp:cNvGraphicFramePr>
              <a:graphicFrameLocks noChangeAspect="1"/>
            </wp:cNvGraphicFramePr>
            <a:graphic>
              <a:graphicData uri="http://schemas.openxmlformats.org/drawingml/2006/picture">
                <pic:pic>
                  <pic:nvPicPr>
                    <pic:cNvPr id="0" name="runtime-offline.png"/>
                    <pic:cNvPicPr/>
                  </pic:nvPicPr>
                  <pic:blipFill>
                    <a:blip r:embed="rId30"/>
                    <a:stretch>
                      <a:fillRect/>
                    </a:stretch>
                  </pic:blipFill>
                  <pic:spPr>
                    <a:xfrm>
                      <a:off x="0" y="0"/>
                      <a:ext cx="6263640" cy="3479800"/>
                    </a:xfrm>
                    <a:prstGeom prst="rect"/>
                  </pic:spPr>
                </pic:pic>
              </a:graphicData>
            </a:graphic>
          </wp:inline>
        </w:drawing>
      </w:r>
    </w:p>
    <w:p>
      <w:pPr>
        <w:pStyle w:val="Caption"/>
        <w:jc w:val="center"/>
      </w:pPr>
      <w:r>
        <w:rPr/>
        <w:t>Figure 28-2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Transition to Chapter 29</w:t>
      </w:r>
    </w:p>
    <w:p>
      <w:pPr/>
      <w:r>
        <w:rPr/>
        <w:t>The improvement loop proposes and validates change; Chapter 29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XI</w:t>
            </w:r>
          </w:p>
          <w:p>
            <w:pPr>
              <w:pStyle w:val="BookPart"/>
              <w:jc w:val="center"/>
            </w:pPr>
            <w:r>
              <w:t>GOVERNANCE</w:t>
            </w:r>
          </w:p>
          <w:p>
            <w:pPr>
              <w:spacing w:before="360"/>
              <w:jc w:val="center"/>
            </w:pPr>
            <w:r>
              <w:rPr>
                <w:rFonts w:ascii="Arial" w:hAnsi="Arial"/>
                <w:color w:val="D8E8F5"/>
                <w:sz w:val="22"/>
              </w:rPr>
              <w:t>This Part defines decision rights, risk tiers, evidence requirements, exceptions, accountability, and lifecycle oversight. It connects technical release controls to an operating model rather than treating governance as a review gate at the end.</w:t>
            </w:r>
          </w:p>
        </w:tc>
      </w:tr>
    </w:tbl>
    <w:p>
      <w:r>
        <w:br w:type="page"/>
      </w:r>
    </w:p>
    <w:p>
      <w:pPr>
        <w:pStyle w:val="Heading1"/>
        <w:keepNext/>
        <w:pageBreakBefore w:val="0"/>
      </w:pPr>
      <w:r>
        <w:rPr/>
        <w:t>29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3479800"/>
            <wp:docPr id="19" name="Picture 19"/>
            <wp:cNvGraphicFramePr>
              <a:graphicFrameLocks noChangeAspect="1"/>
            </wp:cNvGraphicFramePr>
            <a:graphic>
              <a:graphicData uri="http://schemas.openxmlformats.org/drawingml/2006/picture">
                <pic:pic>
                  <pic:nvPicPr>
                    <pic:cNvPr id="0" name="governance-model.png"/>
                    <pic:cNvPicPr/>
                  </pic:nvPicPr>
                  <pic:blipFill>
                    <a:blip r:embed="rId31"/>
                    <a:stretch>
                      <a:fillRect/>
                    </a:stretch>
                  </pic:blipFill>
                  <pic:spPr>
                    <a:xfrm>
                      <a:off x="0" y="0"/>
                      <a:ext cx="6263640" cy="3479800"/>
                    </a:xfrm>
                    <a:prstGeom prst="rect"/>
                  </pic:spPr>
                </pic:pic>
              </a:graphicData>
            </a:graphic>
          </wp:inline>
        </w:drawing>
      </w:r>
    </w:p>
    <w:p>
      <w:pPr>
        <w:pStyle w:val="Caption"/>
        <w:jc w:val="center"/>
      </w:pPr>
      <w:r>
        <w:rPr/>
        <w:t>Figure 29-1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30</w:t>
      </w:r>
    </w:p>
    <w:p>
      <w:pPr/>
      <w:r>
        <w:rPr/>
        <w:t>Governance defines who may release change; Chapter 30 makes releases immutable, promotable, observable, reversible, and recoverable.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XII</w:t>
            </w:r>
          </w:p>
          <w:p>
            <w:pPr>
              <w:pStyle w:val="BookPart"/>
              <w:jc w:val="center"/>
            </w:pPr>
            <w:r>
              <w:t>DEPLOYMENT &amp; PRODUCTION OPERATIONS</w:t>
            </w:r>
          </w:p>
          <w:p>
            <w:pPr>
              <w:spacing w:before="360"/>
              <w:jc w:val="center"/>
            </w:pPr>
            <w:r>
              <w:rPr>
                <w:rFonts w:ascii="Arial" w:hAnsi="Arial"/>
                <w:color w:val="D8E8F5"/>
                <w:sz w:val="22"/>
              </w:rPr>
              <w:t>This Part operationalizes the complete architecture. It covers immutable releases, promotion, rollback, disaster recovery, capacity, queueing, cost, latency, reliability, and the economics of verified—not merely generated—outcomes.</w:t>
            </w:r>
          </w:p>
        </w:tc>
      </w:tr>
    </w:tbl>
    <w:p>
      <w:r>
        <w:br w:type="page"/>
      </w:r>
    </w:p>
    <w:p>
      <w:pPr>
        <w:pStyle w:val="Heading1"/>
        <w:keepNext/>
        <w:pageBreakBefore w:val="0"/>
      </w:pPr>
      <w:r>
        <w:rPr/>
        <w:t>30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M.</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31</w:t>
      </w:r>
    </w:p>
    <w:p>
      <w:pPr/>
      <w:r>
        <w:rPr/>
        <w:t>The release lifecycle is controlled; Chapter 31 sizes the system and optimizes cost, latency, capacity, and reliability around verified outcomes.</w:t>
      </w:r>
    </w:p>
    <w:p>
      <w:pPr>
        <w:pStyle w:val="Heading1"/>
        <w:keepNext/>
        <w:pageBreakBefore/>
      </w:pPr>
      <w:r>
        <w:rPr/>
        <w:t>31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102A4C"/>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M.</w:t>
      </w: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Decision aids, runbooks, contracts, framework landscape, assurance evidence, and release acceptance.</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 AN AGENT SDK IS NOT AUTOMATICALLY A DURABLE W</w:t>
            </w:r>
            <w:r>
              <w:rPr/>
              <w:t xml:space="preserve">  Frameworks solve different layers.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w:t>
      </w:r>
    </w:p>
    <w:p>
      <w:pPr>
        <w:pStyle w:val="Heading1"/>
        <w:keepNext/>
        <w:pageBreakBefore/>
      </w:pPr>
      <w:r>
        <w:rPr/>
        <w:t>Northstar Agentic Reference Implementation</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32">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33">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34">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35">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36">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37">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38">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39">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40">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41">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42">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43">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44">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45">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46">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47">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48">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49">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50">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51">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52">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53">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54">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55">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56">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57">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58">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59">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60">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61">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62">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63">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64">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65">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66">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67">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68">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69">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70">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71">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72">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73">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Heading1"/>
        <w:keepNext/>
        <w:pageBreakBefore/>
      </w:pPr>
      <w:r>
        <w:rPr/>
        <w:t>Appendix L — Release history and editorial closure</w:t>
      </w:r>
    </w:p>
    <w:p>
      <w:pPr>
        <w:pStyle w:val="Heading2"/>
        <w:keepNext/>
      </w:pPr>
      <w:r>
        <w:rPr/>
        <w:t>Book v1.0.0 publication release</w:t>
      </w:r>
    </w:p>
    <w:p>
      <w:pPr>
        <w:pStyle w:val="ListBullet"/>
        <w:keepLines/>
      </w:pPr>
      <w:r>
        <w:rPr/>
        <w:t>Established semantic version 1.0.0 as the canonical publication and future-development baseline.</w:t>
      </w:r>
    </w:p>
    <w:p>
      <w:pPr>
        <w:pStyle w:val="ListBullet"/>
        <w:keepLines/>
      </w:pPr>
      <w:r>
        <w:rPr/>
        <w:t>Reviewed all 31 chapters and 15 appendices as one dependency-ordered narrative; added specific Part orientations and chapter-to-chapter transitions.</w:t>
      </w:r>
    </w:p>
    <w:p>
      <w:pPr>
        <w:pStyle w:val="ListBullet"/>
        <w:keepLines/>
      </w:pPr>
      <w:r>
        <w:rPr/>
        <w:t>Removed repeated package boilerplate and consolidated maintenance instructions in the development package.</w:t>
      </w:r>
    </w:p>
    <w:p>
      <w:pPr>
        <w:pStyle w:val="ListBullet"/>
        <w:keepLines/>
      </w:pPr>
      <w:r>
        <w:rPr/>
        <w:t>Replaced duplicate source lists with a numbered References section and a claim-to-source traceability matrix.</w:t>
      </w:r>
    </w:p>
    <w:p>
      <w:pPr>
        <w:pStyle w:val="ListBullet"/>
        <w:keepLines/>
      </w:pPr>
      <w:r>
        <w:rPr/>
        <w:t>Added scoped evidence notes for protocols, frameworks, standards, research, security guidance, governance, accessibility, incident response, and queueing claims.</w:t>
      </w:r>
    </w:p>
    <w:p>
      <w:pPr>
        <w:pStyle w:val="ListBullet"/>
        <w:keepLines/>
      </w:pPr>
      <w:r>
        <w:rPr/>
        <w:t>Encoded the visual and structural system in machine-readable configuration, reusable build/validation scripts, templates, and agent Skills.</w:t>
      </w:r>
    </w:p>
    <w:p>
      <w:pPr/>
      <w:r>
        <w:rPr/>
        <w:t>This closure log records the review findings resolved in the final edition. Version assumptions, validation boundaries, and architectural recommendations remain explicit so future upgrades can be assessed without reopening settled design gaps.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Severity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Finding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Final implementation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Critical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baseline was stale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Resolved: the obsolete 2025-06-18 baseline was removed. The final edition uses MCP 2026-07-28 with a stateless core, per-request capability negotiation, server/discover, cacheable list results, explicit application handles, and optional Tasks/Skills extensions.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A2A examples mixed local and normative APIs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 A2A 1.0.1; name normative operations separately from Northstar bridge endpoints; treat cancellation as best effort and task visibility as an authorization obligation.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approval sample was not executable as shown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the protected tool, return RunResult instead of throwing serialized state, preserve the SDK interruption, and verify the enterprise proposal hash and resource version at the gateway.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was represented as a Boolean in companion code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ActionProposal and ApprovalGrant contracts bound to tenant, run, tool, arguments, logical effect, policy digest, expiry, and expected resource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Adapter validation scope was overstated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explicitly that deterministic modules are executed in CI while OpenAI/MLflow adapters are syntax-checked here and require pinned dependency and endpoint integration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Delegated authority omitted purpose and spend in code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Make purpose and cost monotonic in CapabilityEnvelope and add boundary tests, including URI prefix ambiguity.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Ambiguous connector failures could remain 'executing'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every post-dispatch ambiguous exception to unknown; reconcile against the authoritative downstream record before retry or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 terminology could imply a standard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Label Skill and Skill Pack as book-defined platform packaging patterns. Distinguish them from A2A AgentSkill discovery metadata and the optional Skills-over-MCP extension.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maturity was underqualified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Keep OTLP and the trace model, but label GenAI semantic conventions Development and isolate them behind a mapping layer.</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version status needed stronger caveats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Retain the 3.15.2 reproducibility baseline without claiming it is latest; re-verify experimental features and distinguish synchronous evaluation orchestration from an async predict function.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references were presented too uniformly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voluntary NIST guidance, certifiable ISO management-system requirements, community OWASP guidance, and binding law. Add jurisdiction and legal-review caveats.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assurance was thin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dependency locks, SBOM, signed provenance, trusted builders/signers, immutable Skill artifacts, and release attestations; distinguish SBOM contents from SLSA build provenance.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Operational resilience lacked explicit objectives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 kill-switch scopes, degraded safe mode, RTO/RPO, region-failover evidence, restoration tests, and recovery of approvals/effects.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Privacy lifecycle needed a rights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minimization, purpose limitation, retention, deletion propagation, legal hold, data residency, subject-rights handling, and model-provider data-use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factors were not a first-class safety layer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 accessible approval UX, automation-bias controls, rationale/evidence separation, preview fidelity, fatigue metrics, and recourse/appeal.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interoperability lacked a concrete 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CloudEvents 1.0-compatible event metadata, source-plus-ID deduplication, outbox ownership, schema versioning, and large-payload indirection.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Medium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Capacity guidance needed an executable 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 arrival-rate, fan-out, retry-amplification, service-time, utilization, queue, token, and cost equations plus load-test calibration.</w:t>
            </w:r>
          </w:p>
        </w:tc>
      </w:tr>
    </w:tbl>
    <w:p>
      <w:pPr>
        <w:spacing w:after="20"/>
      </w:pPr>
    </w:p>
    <w:p>
      <w:pPr>
        <w:pStyle w:val="Heading2"/>
        <w:keepNext/>
      </w:pPr>
      <w:r>
        <w:rPr/>
        <w:t>Final implementations with implementation impact</w:t>
      </w:r>
    </w:p>
    <w:p>
      <w:pPr/>
      <w:r>
        <w:rPr>
          <w:b/>
        </w:rPr>
        <w:t>✓</w:t>
      </w:r>
      <w:r>
        <w:rPr/>
        <w:t xml:space="preserve"> The OpenAI protected tool is registered; pause/resume returns RunResult; state is not thrown as exception text; approval metadata reaches the gateway.</w:t>
      </w:r>
    </w:p>
    <w:p>
      <w:pPr/>
      <w:r>
        <w:rPr>
          <w:b/>
        </w:rPr>
        <w:t>✓</w:t>
      </w:r>
      <w:r>
        <w:rPr/>
        <w:t xml:space="preserve"> The MLflow evaluation wrapper is synchronous while still accepting async prediction functions.</w:t>
      </w:r>
    </w:p>
    <w:p>
      <w:pPr/>
      <w:r>
        <w:rPr>
          <w:b/>
        </w:rPr>
        <w:t>✓</w:t>
      </w:r>
      <w:r>
        <w:rPr/>
        <w:t xml:space="preserve"> Capability delegation narrows purpose and cost and rejects ambiguous URI-prefix matches.</w:t>
      </w:r>
    </w:p>
    <w:p>
      <w:pPr/>
      <w:r>
        <w:rPr>
          <w:b/>
        </w:rPr>
        <w:t>✓</w:t>
      </w:r>
      <w:r>
        <w:rPr/>
        <w:t xml:space="preserve"> Mutating tools declare idempotency and ambiguous post-dispatch exceptions become unknown.</w:t>
      </w:r>
    </w:p>
    <w:p>
      <w:pPr/>
      <w:r>
        <w:rPr>
          <w:b/>
        </w:rPr>
        <w:t>✓</w:t>
      </w:r>
      <w:r>
        <w:rPr/>
        <w:t xml:space="preserve"> Added approval, event/outbox, artifact-policy, supply-chain, kill-switch, and recovery-objective modules with deterministic tests.</w:t>
      </w:r>
    </w:p>
    <w:p>
      <w:pPr/>
      <w:r>
        <w:rPr>
          <w:b/>
        </w:rPr>
        <w:t>✓</w:t>
      </w:r>
      <w:r>
        <w:rPr/>
        <w:t xml:space="preserve"> MCP guidance now targets 2026-07-28; A2A guidance targets 1.0.1; local bridge APIs are not presented as protocol operations.</w:t>
      </w:r>
    </w:p>
    <w:p>
      <w:pPr>
        <w:pStyle w:val="Heading2"/>
        <w:keepNext/>
      </w:pPr>
      <w:r>
        <w:rPr/>
        <w:t>v1.0.0 publication architecture and developer-platform foundation</w:t>
      </w:r>
    </w:p>
    <w:p>
      <w:pPr/>
      <w:r>
        <w:rPr/>
        <w:t>✓ Chapter 17 now contains sixteen category-organized pattern-replacement cards with consistent architecture, example, metric, and trade-off fields.</w:t>
      </w:r>
    </w:p>
    <w:p>
      <w:pPr/>
      <w:r>
        <w:rPr/>
        <w:t>✓ Chapter 28 now defines the ten-stage continuous-learning architecture, runtime/offline boundary, optimization matrix, automation policy, and regression lifecycle.</w:t>
      </w:r>
    </w:p>
    <w:p>
      <w:pPr>
        <w:pStyle w:val="Heading1"/>
        <w:keepNext/>
        <w:pageBreakBefore/>
      </w:pPr>
      <w:r>
        <w:rPr/>
        <w:t>Appendix M — Citation and 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bl>
    <w:p>
      <w:pPr>
        <w:spacing w:after="20"/>
      </w:pPr>
    </w:p>
    <w:p>
      <w:pPr>
        <w:pStyle w:val="Heading1"/>
        <w:keepNext/>
        <w:pageBreakBefore/>
      </w:pPr>
      <w:r>
        <w:rPr/>
        <w:t>Appendix N — Integrated assurance coverage</w:t>
      </w:r>
    </w:p>
    <w:p>
      <w:pPr/>
      <w:r>
        <w:rPr/>
        <w:t>The controls below are part of the final architecture and acceptance model. They are no longer review gaps; each has an owning boundary, required evidence, and a deployment validation path.</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Assurance area</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control/evidence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and epistemics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class, source revision, evidence hash, uncertainty, unsupported-claim rejection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1, 14, 19</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quality and freshness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source, freshness SLO, duplicate/entity resolution, schema drift, correction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1, 14, 20</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and records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Minimization, purpose, residency, retention, deletion, legal hold, DSAR, provider use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14, 17, 21</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Multimodal and binary input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 sniffing, malware scan, OCR provenance, decompression limits, sandbox, active-content stripping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2, 13, 17</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factors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Accessible preview, evidence/rationale split, anti-automation-bias prompts, fatigue and override metrics, appeal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8, 17, 18</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catalog, residency/retention, schema conformance, drift evals, fallback equivalence, exit plan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3, 19, 21</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continuity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RTO/RPO, degraded safe mode, region evacuation, backup restore, pending-approval and unknown-effect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9, 16, 21</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Lockfile, SBOM, SLSA provenance, signature, trusted builder, vulnerability policy, revocation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10, 11, 21</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negotiation, conformance tests, dual-read/write where safe, bridge ownership, deprecation deadline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13, 21</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Quantitative capacity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Arrival rate, fan-out, retry multiplier, p95 service time, utilization target, permits, queue SLO,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20, 22</w:t>
            </w:r>
          </w:p>
        </w:tc>
      </w:tr>
    </w:tbl>
    <w:p>
      <w:pPr>
        <w:spacing w:after="20"/>
      </w:pPr>
    </w:p>
    <w:p>
      <w:pPr>
        <w:pStyle w:val="Heading2"/>
        <w:keepNext/>
      </w:pPr>
      <w:r>
        <w:rPr/>
        <w:t>Data quality, freshness, and correction</w:t>
      </w:r>
    </w:p>
    <w:p>
      <w:pPr/>
      <w:r>
        <w:rPr/>
        <w:t>Grounding fails when an authorized source is stale, duplicated, incorrectly resolved, or semantically incompatible. Define a data contract with source authority, revision semantics, freshness SLO, schema owner, quality checks, conflict precedence, and a correction path. Entity resolution must preserve uncertainty rather than silently merging records. A retrieval score is not evidence of freshness or truth.</w:t>
      </w:r>
    </w:p>
    <w:p>
      <w:pPr>
        <w:pStyle w:val="Heading2"/>
        <w:keepNext/>
      </w:pPr>
      <w:r>
        <w:rPr/>
        <w:t>Privacy, records, and derived-data deletion</w:t>
      </w:r>
    </w:p>
    <w:p>
      <w:pPr/>
      <w:r>
        <w:rPr/>
        <w:t>Inventory every copy: source object, search index, cache, prompt snapshot, trace, artifact, evaluation dataset, backup, and model-provider retention surface. A deletion workflow must either delete, cryptographically render inaccessible, or record a documented legal-hold exception for each copy. Test propagation. Do not promise that deleting a memory row removes information from a model that was trained or fine-tuned on it; prevent that data use unless the governance basis explicitly allows it.</w:t>
      </w:r>
    </w:p>
    <w:p>
      <w:pPr>
        <w:pStyle w:val="Heading2"/>
        <w:keepNext/>
      </w:pPr>
      <w:r>
        <w:rPr/>
        <w:t>Multimodal and binary-content boundary</w:t>
      </w:r>
    </w:p>
    <w:p>
      <w:pPr/>
      <w:r>
        <w:rPr/>
        <w:t>Treat PDFs, images, office files, archives, audio, and video as hostile containers. Verify media type independently of extension; cap size, expansion ratio, pages, duration, and nested depth; scan malware; strip active content; isolate OCR and parsers; retain the original hash; record OCR/model versions; and label extracted text as untrusted. A screenshot of instructions is still prompt-injection content.</w:t>
      </w:r>
    </w:p>
    <w:p>
      <w:pPr>
        <w:pStyle w:val="Heading2"/>
        <w:keepNext/>
      </w:pPr>
      <w:r>
        <w:rPr/>
        <w:t>Human factors, accessibility, and recourse</w:t>
      </w:r>
    </w:p>
    <w:p>
      <w:pPr/>
      <w:r>
        <w:rPr/>
        <w:t>Approval safety depends on the interface. Present the exact action, target, before/after diff, evidence, uncertainty, reversibility, expiration, and resource version. Separate model rationale from authoritative evidence. Support keyboard and screen-reader navigation, color-independent risk cues, plain language, localization, and adequate review time. Measure approval latency, rejection, override, rubber-stamping, and post-approval incidents. Provide an appeal or correction path for consequential decisions.</w:t>
      </w:r>
    </w:p>
    <w:p>
      <w:pPr>
        <w:pStyle w:val="Heading2"/>
        <w:keepNext/>
      </w:pPr>
      <w:r>
        <w:rPr/>
        <w:t>Model and provider change management</w:t>
      </w:r>
    </w:p>
    <w:p>
      <w:pPr/>
      <w:r>
        <w:rPr/>
        <w:t>Maintain an approved model catalog with owner, intended use, data residency, retention/training terms, model card, context limit, structured-output behavior, tool support, deprecation date, and fallback. A model swap is a release change. Run schema, trajectory, safety, latency, cost, and degraded-mode evaluations on the exact release graph. Prove that a fallback has equivalent authorization and effect boundaries; output similarity alone is insufficient.</w:t>
      </w:r>
    </w:p>
    <w:p>
      <w:pPr>
        <w:pStyle w:val="Heading2"/>
        <w:keepNext/>
      </w:pPr>
      <w:r>
        <w:rPr/>
        <w:t>Incident response and business continuity</w:t>
      </w:r>
    </w:p>
    <w:p>
      <w:pPr/>
      <w:r>
        <w:rPr/>
        <w:t>Predefine severity, on-call ownership, evidence preservation, tenant notification, regulatory escalation, and post-incident evaluation updates. Kill switches should stop admission or a scoped capability without destroying workflow history. During region loss, restore workflow state, authorization references, pending approvals, timers, effect records, and audit evidence consistently. Test RTO/RPO and a safe degraded mode in which users can inspect status and resolve unknown effects while new high-risk mutations remain blocked.</w:t>
      </w:r>
    </w:p>
    <w:p>
      <w:pPr>
        <w:pStyle w:val="Heading2"/>
        <w:keepNext/>
      </w:pPr>
      <w:r>
        <w:rPr/>
        <w:t>Software, model, and Skill supply chain</w:t>
      </w:r>
    </w:p>
    <w:p>
      <w:pPr/>
      <w:r>
        <w:rPr/>
        <w:t>Pin and hash dependencies; generate an SBOM; produce signed build provenance; isolate builders; scan source, binaries, models, prompts, Skill packages, and MCP configuration; verify publishers; and enforce revocation. An SBOM lists components, while SLSA provenance supports trust in how an artifact was produced. Neither proves that the application is safe; evaluation, policy, and runtime controls remain necessary.</w:t>
      </w:r>
    </w:p>
    <w:p>
      <w:pPr>
        <w:pStyle w:val="Heading2"/>
        <w:keepNext/>
      </w:pPr>
      <w:r>
        <w:rPr/>
        <w:t>Quantitative capacity and economics</w:t>
      </w:r>
    </w:p>
    <w:p>
      <w:pPr/>
      <w:r>
        <w:rPr/>
        <w:t>Use measured distributions rather than average-only estimates. Segment by tenant, risk class, model route, tool dependency, and approval path. Model fan-out and retries explicitly, reserve headroom for correlated failures, and enforce admission before downstream saturation. Optimize cost per verified accepted outcome, not tokens per request; a cheap run that fails acceptance or creates reconciliation work is expensive.</w:t>
      </w:r>
    </w:p>
    <w:p>
      <w:pPr>
        <w:pStyle w:val="Heading2"/>
        <w:keepNext/>
      </w:pPr>
      <w:r>
        <w:rPr/>
        <w:t>Governance and legal applicability</w:t>
      </w:r>
    </w:p>
    <w:p>
      <w:pPr/>
      <w:r>
        <w:rPr/>
        <w:t>Create a control-to-obligation matrix per use case, role, geography, sector, and deployment date. NIST AI RMF is voluntary guidance; ISO/IEC 42001 specifies an organizational AI management system; OWASP provides community security guidance; and the EU AI Act imposes phased legal obligations. These references overlap but are not interchangeable. Obtain qualified legal and privacy review for the actual system and jurisdiction.</w:t>
      </w:r>
    </w:p>
    <w:p>
      <w:pPr>
        <w:pStyle w:val="Heading1"/>
        <w:keepNext/>
        <w:pageBreakBefore/>
      </w:pPr>
      <w:r>
        <w:rPr/>
        <w:t>Appendix O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v1.0.0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AGENTIC AI ARCHITECTURE &amp; DEVELOPER PLATFORM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arxiv.org/abs/2210.03629" TargetMode="External"/><Relationship Id="rId33" Type="http://schemas.openxmlformats.org/officeDocument/2006/relationships/hyperlink" Target="https://doi.org/10.1287/opre.9.3.383" TargetMode="External"/><Relationship Id="rId34" Type="http://schemas.openxmlformats.org/officeDocument/2006/relationships/hyperlink" Target="https://github.com/cloudevents/spec/blob/main/cloudevents/spec.md" TargetMode="External"/><Relationship Id="rId35" Type="http://schemas.openxmlformats.org/officeDocument/2006/relationships/hyperlink" Target="https://modelcontextprotocol.io/specification/2026-07-28" TargetMode="External"/><Relationship Id="rId36" Type="http://schemas.openxmlformats.org/officeDocument/2006/relationships/hyperlink" Target="https://modelcontextprotocol.io/specification/2026-07-28/basic/authorization" TargetMode="External"/><Relationship Id="rId37" Type="http://schemas.openxmlformats.org/officeDocument/2006/relationships/hyperlink" Target="https://a2a-protocol.org/v1.0.1/specification" TargetMode="External"/><Relationship Id="rId38" Type="http://schemas.openxmlformats.org/officeDocument/2006/relationships/hyperlink" Target="https://datatracker.ietf.org/doc/html/rfc8693" TargetMode="External"/><Relationship Id="rId39" Type="http://schemas.openxmlformats.org/officeDocument/2006/relationships/hyperlink" Target="https://datatracker.ietf.org/doc/html/rfc8707" TargetMode="External"/><Relationship Id="rId40" Type="http://schemas.openxmlformats.org/officeDocument/2006/relationships/hyperlink" Target="https://datatracker.ietf.org/doc/html/rfc9728" TargetMode="External"/><Relationship Id="rId41" Type="http://schemas.openxmlformats.org/officeDocument/2006/relationships/hyperlink" Target="https://www.iso.org/standard/42001" TargetMode="External"/><Relationship Id="rId42" Type="http://schemas.openxmlformats.org/officeDocument/2006/relationships/hyperlink" Target="https://github.com/open-telemetry/semantic-conventions-genai" TargetMode="External"/><Relationship Id="rId43" Type="http://schemas.openxmlformats.org/officeDocument/2006/relationships/hyperlink" Target="https://www.w3.org/TR/WCAG22/" TargetMode="External"/><Relationship Id="rId44" Type="http://schemas.openxmlformats.org/officeDocument/2006/relationships/hyperlink" Target="https://csrc.nist.gov/pubs/sp/800/207/final" TargetMode="External"/><Relationship Id="rId45" Type="http://schemas.openxmlformats.org/officeDocument/2006/relationships/hyperlink" Target="https://www.nist.gov/itl/ai-risk-management-framework" TargetMode="External"/><Relationship Id="rId46" Type="http://schemas.openxmlformats.org/officeDocument/2006/relationships/hyperlink" Target="https://doi.org/10.6028/NIST.AI.600-1" TargetMode="External"/><Relationship Id="rId47" Type="http://schemas.openxmlformats.org/officeDocument/2006/relationships/hyperlink" Target="https://genai.owasp.org/resource/owasp-top-10-for-agentic-applications-for-2026/" TargetMode="External"/><Relationship Id="rId48" Type="http://schemas.openxmlformats.org/officeDocument/2006/relationships/hyperlink" Target="https://cheatsheetseries.owasp.org/cheatsheets/AI_Agent_Security_Cheat_Sheet.html" TargetMode="External"/><Relationship Id="rId49" Type="http://schemas.openxmlformats.org/officeDocument/2006/relationships/hyperlink" Target="https://slsa.dev/spec/v1.2" TargetMode="External"/><Relationship Id="rId50" Type="http://schemas.openxmlformats.org/officeDocument/2006/relationships/hyperlink" Target="https://www.cisa.gov/sbom" TargetMode="External"/><Relationship Id="rId51" Type="http://schemas.openxmlformats.org/officeDocument/2006/relationships/hyperlink" Target="https://eur-lex.europa.eu/eli/reg/2016/679/oj" TargetMode="External"/><Relationship Id="rId52" Type="http://schemas.openxmlformats.org/officeDocument/2006/relationships/hyperlink" Target="https://digital-strategy.ec.europa.eu/en/policies/regulatory-framework-ai" TargetMode="External"/><Relationship Id="rId53" Type="http://schemas.openxmlformats.org/officeDocument/2006/relationships/hyperlink" Target="https://csrc.nist.gov/pubs/sp/800/61/r3/final" TargetMode="External"/><Relationship Id="rId54" Type="http://schemas.openxmlformats.org/officeDocument/2006/relationships/hyperlink" Target="https://temporal.io/blog/what-is-durable-execution" TargetMode="External"/><Relationship Id="rId55" Type="http://schemas.openxmlformats.org/officeDocument/2006/relationships/hyperlink" Target="https://docs.aws.amazon.com/prescriptive-guidance/latest/cloud-design-patterns/transactional-outbox.html" TargetMode="External"/><Relationship Id="rId56" Type="http://schemas.openxmlformats.org/officeDocument/2006/relationships/hyperlink" Target="https://mlflow.org/docs/latest/genai/eval-monitor/" TargetMode="External"/><Relationship Id="rId57" Type="http://schemas.openxmlformats.org/officeDocument/2006/relationships/hyperlink" Target="https://mlflow.org/releases/3.15.2" TargetMode="External"/><Relationship Id="rId58" Type="http://schemas.openxmlformats.org/officeDocument/2006/relationships/hyperlink" Target="https://deepeval.com/docs/metrics-introduction" TargetMode="External"/><Relationship Id="rId59" Type="http://schemas.openxmlformats.org/officeDocument/2006/relationships/hyperlink" Target="https://arize.com/docs/phoenix" TargetMode="External"/><Relationship Id="rId60" Type="http://schemas.openxmlformats.org/officeDocument/2006/relationships/hyperlink" Target="https://docs.ragas.io/en/latest/concepts/metrics/available_metrics/agents" TargetMode="External"/><Relationship Id="rId61" Type="http://schemas.openxmlformats.org/officeDocument/2006/relationships/hyperlink" Target="https://docs.langchain.com/langsmith/evaluation" TargetMode="External"/><Relationship Id="rId62" Type="http://schemas.openxmlformats.org/officeDocument/2006/relationships/hyperlink" Target="https://developers.openai.com/api/docs/guides/agent-evals" TargetMode="External"/><Relationship Id="rId63" Type="http://schemas.openxmlformats.org/officeDocument/2006/relationships/hyperlink" Target="https://www.anthropic.com/engineering/building-effective-agents" TargetMode="External"/><Relationship Id="rId64" Type="http://schemas.openxmlformats.org/officeDocument/2006/relationships/hyperlink" Target="https://www.anthropic.com/engineering/multi-agent-research-system" TargetMode="External"/><Relationship Id="rId65" Type="http://schemas.openxmlformats.org/officeDocument/2006/relationships/hyperlink" Target="https://openai.github.io/openai-agents-python" TargetMode="External"/><Relationship Id="rId66" Type="http://schemas.openxmlformats.org/officeDocument/2006/relationships/hyperlink" Target="https://github.com/openai/openai-agents-python/releases/tag/v0.22.2" TargetMode="External"/><Relationship Id="rId67" Type="http://schemas.openxmlformats.org/officeDocument/2006/relationships/hyperlink" Target="https://learn.microsoft.com/en-us/agent-framework/overview" TargetMode="External"/><Relationship Id="rId68" Type="http://schemas.openxmlformats.org/officeDocument/2006/relationships/hyperlink" Target="https://adk.dev/agents" TargetMode="External"/><Relationship Id="rId69" Type="http://schemas.openxmlformats.org/officeDocument/2006/relationships/hyperlink" Target="https://docs.aws.amazon.com/bedrock/latest/userguide/agents-multi-agent-collaboration.html" TargetMode="External"/><Relationship Id="rId70" Type="http://schemas.openxmlformats.org/officeDocument/2006/relationships/hyperlink" Target="https://docs.langchain.com/oss/python/langgraph/persistence" TargetMode="External"/><Relationship Id="rId71" Type="http://schemas.openxmlformats.org/officeDocument/2006/relationships/hyperlink" Target="https://docs.llamaindex.ai/en/stable/module_guides/workflow/" TargetMode="External"/><Relationship Id="rId72" Type="http://schemas.openxmlformats.org/officeDocument/2006/relationships/hyperlink" Target="https://pydantic.dev/docs/ai/capabilities/durable_execution/overview" TargetMode="External"/><Relationship Id="rId73" Type="http://schemas.openxmlformats.org/officeDocument/2006/relationships/hyperlink" Target="https://docs.dapr.io/developing-ai/dapr-agents" TargetMode="External"/><Relationship Id="rId74" Type="http://schemas.openxmlformats.org/officeDocument/2006/relationships/hyperlink" Target="https://docs.dbos.dev/ai/ai-quickst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Agentic AI Architecture &amp; Developer Platform Guide — Book v1.0.0</dc:title>
  <dc:subject>Enterprise Agentic AI architecture and developer platform</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