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Style Template</w:t>
      </w:r>
    </w:p>
    <w:p>
      <w:pPr>
        <w:pStyle w:val="Heading1"/>
      </w:pPr>
      <w:r>
        <w:t>Heading 1 sample</w:t>
      </w:r>
    </w:p>
    <w:p>
      <w:pPr>
        <w:pStyle w:val="Heading2"/>
      </w:pPr>
      <w:r>
        <w:t>Heading 2 sample</w:t>
      </w:r>
    </w:p>
    <w:p>
      <w:pPr>
        <w:pStyle w:val="Heading3"/>
      </w:pPr>
      <w:r>
        <w:t>Heading 3 sample</w:t>
      </w:r>
    </w:p>
    <w:p>
      <w:pPr>
        <w:pStyle w:val="Heading4"/>
      </w:pPr>
      <w:r>
        <w:t>Heading 4 sample</w:t>
      </w:r>
    </w:p>
    <w:p>
      <w:pPr/>
      <w:r>
        <w:rPr/>
        <w:t xml:space="preserve">Normal paragraph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rFonts w:ascii="Courier New" w:hAnsi="Courier New"/>
          <w:color w:val="405A75"/>
          <w:sz w:val="17"/>
        </w:rPr>
        <w:t>inline code</w:t>
      </w:r>
      <w:r>
        <w:rPr/>
        <w:t xml:space="preserve">, </w:t>
      </w:r>
      <w:r>
        <w:rPr>
          <w:b/>
          <w:color w:val="1769D2"/>
        </w:rPr>
        <w:t>[R01]</w:t>
      </w:r>
      <w:r>
        <w:rPr/>
        <w:t xml:space="preserve">, and a </w:t>
      </w:r>
      <w:hyperlink r:id="rId13">
        <w:r>
          <w:rPr>
            <w:color w:val="1769D2"/>
            <w:u w:val="single"/>
          </w:rPr>
          <w:t>link</w:t>
        </w:r>
      </w:hyperlink>
      <w:r>
        <w:rPr/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102A4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Column A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  <w:shd w:fill="102A4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Column B</w:t>
            </w:r>
          </w:p>
        </w:tc>
      </w:tr>
      <w:tr>
        <w:trPr>
          <w:cantSplit/>
        </w:trPr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5083"/>
            <w:tcMar>
              <w:top w:w="65" w:type="dxa"/>
              <w:start w:w="80" w:type="dxa"/>
              <w:bottom w:w="65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Value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9245"/>
      </w:tblGrid>
      <w:tr>
        <w:tc>
          <w:tcPr>
            <w:tcW w:type="dxa" w:w="10166"/>
            <w:gridSpan w:val="2"/>
            <w:shd w:fill="102A4C"/>
            <w:tcMar>
              <w:top w:w="45" w:type="dxa"/>
              <w:start w:w="90" w:type="dxa"/>
              <w:bottom w:w="45" w:type="dxa"/>
              <w:end w:w="90" w:type="dxa"/>
            </w:tcMar>
          </w:tcPr>
          <w:p>
            <w:pPr>
              <w:pStyle w:val="BookCodeLabel"/>
            </w:pPr>
            <w:r>
              <w:t>PYTHON</w:t>
            </w:r>
          </w:p>
        </w:tc>
      </w:tr>
      <w:tr>
        <w:trPr>
          <w:cantSplit/>
        </w:trPr>
        <w:tc>
          <w:tcPr>
            <w:tcW w:type="dxa" w:w="605"/>
            <w:shd w:fill="E5ECF3"/>
            <w:tcMar>
              <w:top w:w="15" w:type="dxa"/>
              <w:start w:w="55" w:type="dxa"/>
              <w:bottom w:w="1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6A7E92"/>
                <w:sz w:val="14"/>
              </w:rPr>
              <w:t>1</w:t>
            </w:r>
          </w:p>
        </w:tc>
        <w:tc>
          <w:tcPr>
            <w:tcW w:type="dxa" w:w="9245"/>
            <w:shd w:fill="F7F9FC"/>
            <w:tcMar>
              <w:top w:w="15" w:type="dxa"/>
              <w:start w:w="80" w:type="dxa"/>
              <w:bottom w:w="1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19324D"/>
                <w:sz w:val="14"/>
              </w:rPr>
            </w:r>
            <w:r>
              <w:rPr>
                <w:rFonts w:ascii="Courier New" w:hAnsi="Courier New"/>
                <w:b/>
                <w:color w:val="1769D2"/>
                <w:sz w:val="14"/>
              </w:rPr>
              <w:t>def</w:t>
            </w:r>
            <w:r>
              <w:rPr>
                <w:rFonts w:ascii="Courier New" w:hAnsi="Courier New"/>
                <w:color w:val="19324D"/>
                <w:sz w:val="14"/>
              </w:rPr>
              <w:t xml:space="preserve"> </w:t>
            </w:r>
            <w:r>
              <w:rPr>
                <w:rFonts w:ascii="Courier New" w:hAnsi="Courier New"/>
                <w:color w:val="19324D"/>
                <w:sz w:val="14"/>
              </w:rPr>
              <w:t>example</w:t>
            </w:r>
            <w:r>
              <w:rPr>
                <w:rFonts w:ascii="Courier New" w:hAnsi="Courier New"/>
                <w:color w:val="19324D"/>
                <w:sz w:val="14"/>
              </w:rPr>
              <w:t>():</w:t>
            </w:r>
          </w:p>
        </w:tc>
      </w:tr>
      <w:tr>
        <w:trPr>
          <w:cantSplit/>
        </w:trPr>
        <w:tc>
          <w:tcPr>
            <w:tcW w:type="dxa" w:w="605"/>
            <w:shd w:fill="E5ECF3"/>
            <w:tcMar>
              <w:top w:w="15" w:type="dxa"/>
              <w:start w:w="55" w:type="dxa"/>
              <w:bottom w:w="1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6A7E92"/>
                <w:sz w:val="14"/>
              </w:rPr>
              <w:t>2</w:t>
            </w:r>
          </w:p>
        </w:tc>
        <w:tc>
          <w:tcPr>
            <w:tcW w:type="dxa" w:w="9245"/>
            <w:shd w:fill="F7F9FC"/>
            <w:tcMar>
              <w:top w:w="15" w:type="dxa"/>
              <w:start w:w="80" w:type="dxa"/>
              <w:bottom w:w="1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19324D"/>
                <w:sz w:val="14"/>
              </w:rPr>
              <w:t xml:space="preserve">    </w:t>
            </w:r>
            <w:r>
              <w:rPr>
                <w:rFonts w:ascii="Courier New" w:hAnsi="Courier New"/>
                <w:b/>
                <w:color w:val="1769D2"/>
                <w:sz w:val="14"/>
              </w:rPr>
              <w:t>return</w:t>
            </w:r>
            <w:r>
              <w:rPr>
                <w:rFonts w:ascii="Courier New" w:hAnsi="Courier New"/>
                <w:color w:val="19324D"/>
                <w:sz w:val="14"/>
              </w:rPr>
              <w:t xml:space="preserve"> </w:t>
            </w:r>
            <w:r>
              <w:rPr>
                <w:rFonts w:ascii="Courier New" w:hAnsi="Courier New"/>
                <w:b/>
                <w:color w:val="1769D2"/>
                <w:sz w:val="14"/>
              </w:rPr>
              <w:t>True</w:t>
            </w:r>
            <w:r>
              <w:rPr>
                <w:rFonts w:ascii="Courier New" w:hAnsi="Courier New"/>
                <w:color w:val="19324D"/>
                <w:sz w:val="14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79" w:right="1037" w:bottom="936" w:left="1037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6078"/>
        <w:sz w:val="15"/>
      </w:rPr>
      <w:t xml:space="preserve">BOOK v2.0.0    |  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A6078"/>
        <w:sz w:val="14"/>
      </w:rPr>
      <w:t>ENTERPRISE AGENTIC AI ARCHITECTURE &amp; DEVELOPER PLATFORM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1223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2A4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69D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18A8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102A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b w:val="0"/>
      <w:i/>
      <w:iCs/>
      <w:color w:val="118A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Arial" w:hAnsi="Arial"/>
      <w:b/>
      <w:bCs/>
      <w:i/>
      <w:color w:val="4A60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Callout">
    <w:name w:val="Book Callout"/>
    <w:basedOn w:val="Normal"/>
    <w:rPr>
      <w:rFonts w:ascii="Arial" w:hAnsi="Arial"/>
    </w:rPr>
  </w:style>
  <w:style w:type="paragraph" w:customStyle="1" w:styleId="BookEvidence">
    <w:name w:val="Book Evidence"/>
    <w:basedOn w:val="Normal"/>
    <w:rPr>
      <w:rFonts w:ascii="Arial" w:hAnsi="Arial"/>
      <w:i/>
      <w:color w:val="173E68"/>
    </w:rPr>
  </w:style>
  <w:style w:type="paragraph" w:customStyle="1" w:styleId="BookReference">
    <w:name w:val="Book Reference"/>
    <w:basedOn w:val="Normal"/>
    <w:pPr>
      <w:ind w:left="259" w:hanging="259"/>
    </w:pPr>
    <w:rPr>
      <w:rFonts w:ascii="Arial" w:hAnsi="Arial"/>
      <w:sz w:val="17"/>
    </w:rPr>
  </w:style>
  <w:style w:type="paragraph" w:customStyle="1" w:styleId="BookCodeLabel">
    <w:name w:val="Book Code Label"/>
    <w:basedOn w:val="Normal"/>
    <w:rPr>
      <w:rFonts w:ascii="Courier New" w:hAnsi="Courier New"/>
      <w:b/>
      <w:color w:val="FFFFFF"/>
      <w:sz w:val="15"/>
    </w:rPr>
  </w:style>
  <w:style w:type="paragraph" w:customStyle="1" w:styleId="BookPart">
    <w:name w:val="Book Part"/>
    <w:basedOn w:val="Title"/>
    <w:rPr>
      <w:rFonts w:ascii="Arial" w:hAnsi="Arial"/>
      <w:b/>
      <w:color w:val="FFFFFF"/>
      <w:sz w:val="5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Agentic AI Architecture &amp; Developer Platform Guide — Book v2.0.0</dc:title>
  <dc:subject>Enterprise Agentic AI architecture and developer platform</dc:subject>
  <dc:creator>Reza Rahimi, PhD</dc:creator>
  <cp:keywords>agentic AI, enterprise architecture, developer platform, AI agents, LLM gateway, security, evaluation</cp:keywords>
  <dc:description>Generated deterministically from book/manuscript.md; do not hand-edit the release DOCX.</dc:description>
  <cp:lastModifiedBy>Reza Rahimi, PhD</cp:lastModifiedBy>
  <cp:revision>1</cp:revision>
  <dcterms:created xsi:type="dcterms:W3CDTF">2026-09-13T12:00:00Z</dcterms:created>
  <dcterms:modified xsi:type="dcterms:W3CDTF">2026-09-13T12:00:00Z</dcterms:modified>
  <cp:category/>
</cp:coreProperties>
</file>