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3055877"/>
            <wp:docPr id="4" name="Picture 4"/>
            <wp:cNvGraphicFramePr>
              <a:graphicFrameLocks noChangeAspect="1"/>
            </wp:cNvGraphicFramePr>
            <a:graphic>
              <a:graphicData uri="http://schemas.openxmlformats.org/drawingml/2006/picture">
                <pic:pic>
                  <pic:nvPicPr>
                    <pic:cNvPr id="0" name="system-overview.png"/>
                    <pic:cNvPicPr/>
                  </pic:nvPicPr>
                  <pic:blipFill>
                    <a:blip r:embed="rId16"/>
                    <a:stretch>
                      <a:fillRect/>
                    </a:stretch>
                  </pic:blipFill>
                  <pic:spPr>
                    <a:xfrm>
                      <a:off x="0" y="0"/>
                      <a:ext cx="6263640" cy="3055877"/>
                    </a:xfrm>
                    <a:prstGeom prst="rect"/>
                  </pic:spPr>
                </pic:pic>
              </a:graphicData>
            </a:graphic>
          </wp:inline>
        </w:drawing>
      </w:r>
    </w:p>
    <w:p>
      <w:pPr>
        <w:pStyle w:val="Caption"/>
        <w:jc w:val="center"/>
      </w:pPr>
      <w:r>
        <w:rPr/>
        <w:t>Figure 1-2 — The whole system at a thousand feet: the bands, the descent from proposal to committed effect, and the two concerns that cross them all</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which is what the labelled descent records: the agent proposes, the platform authorizes, and only the bottom bands commit anything. And security is not a band you pass through once — it spans every one of them, which is why the figure draws it as a spine beside the stack rather than a layer within it, and why it gets a Part of its own. The platform that builds, releases and runs the system is drawn the same way and for the same reason.</w:t>
      </w:r>
    </w:p>
    <w:p>
      <w:pPr/>
      <w:r>
        <w:rPr/>
        <w:t>Figure 4-1 is this same picture at higher resolution: every band there opens into the components it owns. The notation carries over — a solid path is the request, dashed is control, dotted is evidence — so nothing new has to be learned to read it.</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5" name="Picture 5"/>
            <wp:cNvGraphicFramePr>
              <a:graphicFrameLocks noChangeAspect="1"/>
            </wp:cNvGraphicFramePr>
            <a:graphic>
              <a:graphicData uri="http://schemas.openxmlformats.org/drawingml/2006/picture">
                <pic:pic>
                  <pic:nvPicPr>
                    <pic:cNvPr id="0" name="gateway-roles.png"/>
                    <pic:cNvPicPr/>
                  </pic:nvPicPr>
                  <pic:blipFill>
                    <a:blip r:embed="rId17"/>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w:t>
            </w:r>
            <w:r>
              <w:rPr/>
              <w:t xml:space="preserv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6" name="Picture 6"/>
                  <wp:cNvGraphicFramePr>
                    <a:graphicFrameLocks noChangeAspect="1"/>
                  </wp:cNvGraphicFramePr>
                  <a:graphic>
                    <a:graphicData uri="http://schemas.openxmlformats.org/drawingml/2006/picture">
                      <pic:pic>
                        <pic:nvPicPr>
                          <pic:cNvPr id="0" name="part-ii.png"/>
                          <pic:cNvPicPr/>
                        </pic:nvPicPr>
                        <pic:blipFill>
                          <a:blip r:embed="rId1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7" name="Picture 7"/>
            <wp:cNvGraphicFramePr>
              <a:graphicFrameLocks noChangeAspect="1"/>
            </wp:cNvGraphicFramePr>
            <a:graphic>
              <a:graphicData uri="http://schemas.openxmlformats.org/drawingml/2006/picture">
                <pic:pic>
                  <pic:nvPicPr>
                    <pic:cNvPr id="0" name="reference-architecture.png"/>
                    <pic:cNvPicPr/>
                  </pic:nvPicPr>
                  <pic:blipFill>
                    <a:blip r:embed="rId19"/>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8" name="Picture 8"/>
            <wp:cNvGraphicFramePr>
              <a:graphicFrameLocks noChangeAspect="1"/>
            </wp:cNvGraphicFramePr>
            <a:graphic>
              <a:graphicData uri="http://schemas.openxmlformats.org/drawingml/2006/picture">
                <pic:pic>
                  <pic:nvPicPr>
                    <pic:cNvPr id="0" name="request-sequence.png"/>
                    <pic:cNvPicPr/>
                  </pic:nvPicPr>
                  <pic:blipFill>
                    <a:blip r:embed="rId20"/>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names a knowledge plane but does not say what fills it; Chapter 5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9" name="Picture 9"/>
            <wp:cNvGraphicFramePr>
              <a:graphicFrameLocks noChangeAspect="1"/>
            </wp:cNvGraphicFramePr>
            <a:graphic>
              <a:graphicData uri="http://schemas.openxmlformats.org/drawingml/2006/picture">
                <pic:pic>
                  <pic:nvPicPr>
                    <pic:cNvPr id="0" name="knowledge-fabric.png"/>
                    <pic:cNvPicPr/>
                  </pic:nvPicPr>
                  <pic:blipFill>
                    <a:blip r:embed="rId21"/>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0" name="Picture 10"/>
            <wp:cNvGraphicFramePr>
              <a:graphicFrameLocks noChangeAspect="1"/>
            </wp:cNvGraphicFramePr>
            <a:graphic>
              <a:graphicData uri="http://schemas.openxmlformats.org/drawingml/2006/picture">
                <pic:pic>
                  <pic:nvPicPr>
                    <pic:cNvPr id="0" name="policy-to-guardrail.png"/>
                    <pic:cNvPicPr/>
                  </pic:nvPicPr>
                  <pic:blipFill>
                    <a:blip r:embed="rId22"/>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7</w:t>
      </w:r>
    </w:p>
    <w:p>
      <w:pPr/>
      <w:r>
        <w:rPr/>
        <w:t>Context assembly completes the knowledge Part. Chapter 7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1" name="Picture 11"/>
                  <wp:cNvGraphicFramePr>
                    <a:graphicFrameLocks noChangeAspect="1"/>
                  </wp:cNvGraphicFramePr>
                  <a:graphic>
                    <a:graphicData uri="http://schemas.openxmlformats.org/drawingml/2006/picture">
                      <pic:pic>
                        <pic:nvPicPr>
                          <pic:cNvPr id="0" name="part-iii.png"/>
                          <pic:cNvPicPr/>
                        </pic:nvPicPr>
                        <pic:blipFill>
                          <a:blip r:embed="rId2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What this chapter delivers</w:t>
      </w:r>
    </w:p>
    <w:p>
      <w:pPr/>
      <w:r>
        <w:rPr/>
        <w:t>Define the reusable paved road — contracts, adapters, and a delivery lifecycle — that lets teams ship differentiated agents without rebuilding identity, policy, tool safety, tracing, evaluation, durable execution, and release infrastructure.</w:t>
      </w:r>
    </w:p>
    <w:p>
      <w:pPr>
        <w:pStyle w:val="Heading2"/>
        <w:keepNext/>
      </w:pPr>
      <w:r>
        <w:rPr/>
        <w:t>Solution blueprint</w:t>
      </w:r>
    </w:p>
    <w:p>
      <w:pPr/>
      <w:r>
        <w:rPr/>
        <w:t>Figure 23. Agentic Developer Platform, SDK, and Delivery Lifecycle.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services own contracts and evidence; applications own domain behaviour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application code to platform-owned control planes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template · adapter · release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application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AgentSpec · RunContext · ToolSpec · ReleaseManifest</w:t>
            </w:r>
          </w:p>
        </w:tc>
      </w:tr>
    </w:tbl>
    <w:p>
      <w:pPr>
        <w:spacing w:after="20"/>
      </w:pP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2" name="Picture 12"/>
            <wp:cNvGraphicFramePr>
              <a:graphicFrameLocks noChangeAspect="1"/>
            </wp:cNvGraphicFramePr>
            <a:graphic>
              <a:graphicData uri="http://schemas.openxmlformats.org/drawingml/2006/picture">
                <pic:pic>
                  <pic:nvPicPr>
                    <pic:cNvPr id="0" name="developer-platform.png"/>
                    <pic:cNvPicPr/>
                  </pic:nvPicPr>
                  <pic:blipFill>
                    <a:blip r:embed="rId24"/>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3" name="Picture 13"/>
            <wp:cNvGraphicFramePr>
              <a:graphicFrameLocks noChangeAspect="1"/>
            </wp:cNvGraphicFramePr>
            <a:graphic>
              <a:graphicData uri="http://schemas.openxmlformats.org/drawingml/2006/picture">
                <pic:pic>
                  <pic:nvPicPr>
                    <pic:cNvPr id="0" name="portability.png"/>
                    <pic:cNvPicPr/>
                  </pic:nvPicPr>
                  <pic:blipFill>
                    <a:blip r:embed="rId25"/>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4" name="Picture 14"/>
            <wp:cNvGraphicFramePr>
              <a:graphicFrameLocks noChangeAspect="1"/>
            </wp:cNvGraphicFramePr>
            <a:graphic>
              <a:graphicData uri="http://schemas.openxmlformats.org/drawingml/2006/picture">
                <pic:pic>
                  <pic:nvPicPr>
                    <pic:cNvPr id="0" name="developer-lifecycle.png"/>
                    <pic:cNvPicPr/>
                  </pic:nvPicPr>
                  <pic:blipFill>
                    <a:blip r:embed="rId26"/>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5" name="Picture 15"/>
            <wp:cNvGraphicFramePr>
              <a:graphicFrameLocks noChangeAspect="1"/>
            </wp:cNvGraphicFramePr>
            <a:graphic>
              <a:graphicData uri="http://schemas.openxmlformats.org/drawingml/2006/picture">
                <pic:pic>
                  <pic:nvPicPr>
                    <pic:cNvPr id="0" name="dx-golden-path.png"/>
                    <pic:cNvPicPr/>
                  </pic:nvPicPr>
                  <pic:blipFill>
                    <a:blip r:embed="rId27"/>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6" name="Picture 16"/>
            <wp:cNvGraphicFramePr>
              <a:graphicFrameLocks noChangeAspect="1"/>
            </wp:cNvGraphicFramePr>
            <a:graphic>
              <a:graphicData uri="http://schemas.openxmlformats.org/drawingml/2006/picture">
                <pic:pic>
                  <pic:nvPicPr>
                    <pic:cNvPr id="0" name="test-pyramid.png"/>
                    <pic:cNvPicPr/>
                  </pic:nvPicPr>
                  <pic:blipFill>
                    <a:blip r:embed="rId28"/>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portability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agent SDKs differ in cancellation, streaming, tool, approval, and error semantics. A shared contract does not make them interchangeable; only adapter conformance tests demonstrate parity, and any gap must be recorded as a known limitation rather than assumed away.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 R31; R32</w:t>
            </w:r>
          </w:p>
        </w:tc>
      </w:tr>
    </w:tbl>
    <w:p>
      <w:pPr>
        <w:spacing w:after="20"/>
      </w:pPr>
    </w:p>
    <w:p>
      <w:pPr/>
      <w:r>
        <w:rPr/>
        <w:t>Evidence anchors: R29; R31; R32. Full URLs, authority, version, and scope appear in Appendix K.</w:t>
      </w:r>
    </w:p>
    <w:p>
      <w:pPr>
        <w:pStyle w:val="Heading2"/>
        <w:keepNext/>
      </w:pPr>
      <w:r>
        <w:rPr/>
        <w:t>Debugging playbook</w:t>
      </w:r>
    </w:p>
    <w:p>
      <w:pPr>
        <w:pStyle w:val="ListNumber"/>
        <w:keepLines/>
      </w:pPr>
      <w:r>
        <w:rPr/>
        <w:t>Start from the accepted business outcome and walk backward through the causal run graph.</w:t>
      </w:r>
    </w:p>
    <w:p>
      <w:pPr>
        <w:pStyle w:val="ListNumber"/>
        <w:keepLines/>
      </w:pPr>
      <w:r>
        <w:rPr/>
        <w:t>Find the first divergent span: input classification, source or freshness, prompt, route, model, tool, arguments, policy, effect, approval, or acceptance.</w:t>
      </w:r>
    </w:p>
    <w:p>
      <w:pPr>
        <w:pStyle w:val="ListNumber"/>
        <w:keepLines/>
      </w:pPr>
      <w:r>
        <w:rPr/>
        <w:t>Diff the failing run against the nearest accepted run — prompt, context manifest, and every pinned version — before changing anything.</w:t>
      </w:r>
    </w:p>
    <w:p>
      <w:pPr>
        <w:pStyle w:val="ListNumber"/>
        <w:keepLines/>
      </w:pPr>
      <w:r>
        <w:rPr/>
        <w:t>Do not edit the prompt until the evidence locates the failing responsibility. A prompt change that hides a policy or contract defect removes the signal without removing the fault.</w:t>
      </w:r>
    </w:p>
    <w:p>
      <w:pPr>
        <w:pStyle w:val="Heading2"/>
        <w:keepNext/>
      </w:pPr>
      <w:r>
        <w:rPr/>
        <w:t>Production checklist</w:t>
      </w:r>
    </w:p>
    <w:p>
      <w:pPr/>
      <w:r>
        <w:rPr>
          <w:b/>
        </w:rPr>
        <w:t>✓</w:t>
      </w:r>
      <w:r>
        <w:rPr/>
        <w:t xml:space="preserve"> One immutable artifact crosses every environment; endpoints, identities, secrets, sources, quotas, regions, and review queues bind at deployment.</w:t>
      </w:r>
    </w:p>
    <w:p>
      <w:pPr/>
      <w:r>
        <w:rPr>
          <w:b/>
        </w:rPr>
        <w:t>✓</w:t>
      </w:r>
      <w:r>
        <w:rPr/>
        <w:t xml:space="preserve"> SDKs, adapters, model aliases, tool schemas, Skills, MCP servers, policy bundles, evaluators, and knowledge snapshots are pinned in the release manifest.</w:t>
      </w:r>
    </w:p>
    <w:p>
      <w:pPr/>
      <w:r>
        <w:rPr>
          <w:b/>
        </w:rPr>
        <w:t>✓</w:t>
      </w:r>
      <w:r>
        <w:rPr/>
        <w:t xml:space="preserve"> A model or provider swap ships as a behaviour change with evaluation, canary, and rollback — never as configuration.</w:t>
      </w:r>
    </w:p>
    <w:p>
      <w:pPr/>
      <w:r>
        <w:rPr>
          <w:b/>
        </w:rPr>
        <w:t>✓</w:t>
      </w:r>
      <w:r>
        <w:rPr/>
        <w:t xml:space="preserve"> Adapter conformance suites cover cancellation, tools, streaming, approvals, errors, telemetry, usage, and version behaviour.</w:t>
      </w:r>
    </w:p>
    <w:p>
      <w:pPr/>
      <w:r>
        <w:rPr>
          <w:b/>
        </w:rPr>
        <w:t>✓</w:t>
      </w:r>
      <w:r>
        <w:rPr/>
        <w:t xml:space="preserve"> Every golden-path stage emits its evidence artifact; a stage that produces no evidence is not complete.</w:t>
      </w:r>
    </w:p>
    <w:p>
      <w:pPr>
        <w:pStyle w:val="Heading2"/>
        <w:keepNext/>
      </w:pPr>
      <w:r>
        <w:rPr/>
        <w:t>Exercises</w:t>
      </w:r>
    </w:p>
    <w:p>
      <w:pPr>
        <w:pStyle w:val="ListNumber"/>
        <w:keepLines/>
      </w:pPr>
      <w:r>
        <w:rPr/>
        <w:t>Take one existing agent and list which of the sixteen platform capabilities it reimplements locally. Estimate the cost of removing each.</w:t>
      </w:r>
    </w:p>
    <w:p>
      <w:pPr>
        <w:pStyle w:val="ListNumber"/>
        <w:keepLines/>
      </w:pPr>
      <w:r>
        <w:rPr/>
        <w:t>Write an adapter conformance test that fails when a framework silently drops cancellation mid-run.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should platform contracts, not framework objects, be the stable interface?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Vendor message objects change between releases and differ in semantics. Contracts such as AgentSpec, ToolSpec, and ReleaseManifest keep applications, evidence, and audits stable while adapters absorb the change.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paved road adopted rather than mandated?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removes work the team would otherwise do — identity, policy, tracing, durable execution, release — while leaving domain behaviour, topology, and acceptance to the team. A road that constrains domain decisions gets bypassed.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a model or provider swap not configuration?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cost, latency, and failure modes all change without application code changing, so it requires the same evaluation, canary, and rollback evidence as a code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the golden path make visible that a convenient SDK hides?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versions, risk, evidence, and cost. An SDK that hides them does not remove the complexity; it relocates it to production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framework portability proven?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when adapter conformance tests pass across cancellation, tools, streaming, approvals, errors, telemetry, usage, and version behaviour. Parity is never inferred from documentation.</w:t>
            </w:r>
          </w:p>
        </w:tc>
      </w:tr>
    </w:tbl>
    <w:p>
      <w:pPr>
        <w:spacing w:after="20"/>
      </w:pP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7" name="Picture 17"/>
                  <wp:cNvGraphicFramePr>
                    <a:graphicFrameLocks noChangeAspect="1"/>
                  </wp:cNvGraphicFramePr>
                  <a:graphic>
                    <a:graphicData uri="http://schemas.openxmlformats.org/drawingml/2006/picture">
                      <pic:pic>
                        <pic:nvPicPr>
                          <pic:cNvPr id="0" name="part-iv.png"/>
                          <pic:cNvPicPr/>
                        </pic:nvPicPr>
                        <pic:blipFill>
                          <a:blip r:embed="rId2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18" name="Picture 18"/>
            <wp:cNvGraphicFramePr>
              <a:graphicFrameLocks noChangeAspect="1"/>
            </wp:cNvGraphicFramePr>
            <a:graphic>
              <a:graphicData uri="http://schemas.openxmlformats.org/drawingml/2006/picture">
                <pic:pic>
                  <pic:nvPicPr>
                    <pic:cNvPr id="0" name="pattern-decision-tree.png"/>
                    <pic:cNvPicPr/>
                  </pic:nvPicPr>
                  <pic:blipFill>
                    <a:blip r:embed="rId30"/>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4622208"/>
            <wp:docPr id="19" name="Picture 19"/>
            <wp:cNvGraphicFramePr>
              <a:graphicFrameLocks noChangeAspect="1"/>
            </wp:cNvGraphicFramePr>
            <a:graphic>
              <a:graphicData uri="http://schemas.openxmlformats.org/drawingml/2006/picture">
                <pic:pic>
                  <pic:nvPicPr>
                    <pic:cNvPr id="0" name="anti-before-after.png"/>
                    <pic:cNvPicPr/>
                  </pic:nvPicPr>
                  <pic:blipFill>
                    <a:blip r:embed="rId31"/>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0" name="Picture 20"/>
                  <wp:cNvGraphicFramePr>
                    <a:graphicFrameLocks noChangeAspect="1"/>
                  </wp:cNvGraphicFramePr>
                  <a:graphic>
                    <a:graphicData uri="http://schemas.openxmlformats.org/drawingml/2006/picture">
                      <pic:pic>
                        <pic:nvPicPr>
                          <pic:cNvPr id="0" name="part-v.png"/>
                          <pic:cNvPicPr/>
                        </pic:nvPicPr>
                        <pic:blipFill>
                          <a:blip r:embed="rId3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1" name="Picture 21"/>
            <wp:cNvGraphicFramePr>
              <a:graphicFrameLocks noChangeAspect="1"/>
            </wp:cNvGraphicFramePr>
            <a:graphic>
              <a:graphicData uri="http://schemas.openxmlformats.org/drawingml/2006/picture">
                <pic:pic>
                  <pic:nvPicPr>
                    <pic:cNvPr id="0" name="gateway-position.png"/>
                    <pic:cNvPicPr/>
                  </pic:nvPicPr>
                  <pic:blipFill>
                    <a:blip r:embed="rId33"/>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2" name="Picture 22"/>
            <wp:cNvGraphicFramePr>
              <a:graphicFrameLocks noChangeAspect="1"/>
            </wp:cNvGraphicFramePr>
            <a:graphic>
              <a:graphicData uri="http://schemas.openxmlformats.org/drawingml/2006/picture">
                <pic:pic>
                  <pic:nvPicPr>
                    <pic:cNvPr id="0" name="model-routing.png"/>
                    <pic:cNvPicPr/>
                  </pic:nvPicPr>
                  <pic:blipFill>
                    <a:blip r:embed="rId34"/>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3" name="Picture 23"/>
                  <wp:cNvGraphicFramePr>
                    <a:graphicFrameLocks noChangeAspect="1"/>
                  </wp:cNvGraphicFramePr>
                  <a:graphic>
                    <a:graphicData uri="http://schemas.openxmlformats.org/drawingml/2006/picture">
                      <pic:pic>
                        <pic:nvPicPr>
                          <pic:cNvPr id="0" name="part-vi.png"/>
                          <pic:cNvPicPr/>
                        </pic:nvPicPr>
                        <pic:blipFill>
                          <a:blip r:embed="rId3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What this chapter delivers</w:t>
      </w:r>
    </w:p>
    <w:p>
      <w:pPr/>
      <w:r>
        <w:rPr/>
        <w:t>Place guardrails at every boundary an agentic system crosses, and prove each one with a decision record rather than an instruction in a prompt.</w:t>
      </w:r>
    </w:p>
    <w:p>
      <w:pPr>
        <w:pStyle w:val="Heading2"/>
        <w:keepNext/>
      </w:pPr>
      <w:r>
        <w:rPr/>
        <w:t>Solution blueprint</w:t>
      </w:r>
    </w:p>
    <w:p>
      <w:pPr/>
      <w:r>
        <w:rPr/>
        <w:t>Figure 24. Agentic AI Security and Guardrails Architecture.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guardrail, and gateway services own decisions; the effect boundary owns commitment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language and content to privileged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session · tool class · sandbox</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one tool, one 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PolicyDecision · ContextManifest · ApprovalGrant · EffectRecord</w:t>
            </w:r>
          </w:p>
        </w:tc>
      </w:tr>
    </w:tbl>
    <w:p>
      <w:pPr>
        <w:spacing w:after="20"/>
      </w:pP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4" name="Picture 24"/>
            <wp:cNvGraphicFramePr>
              <a:graphicFrameLocks noChangeAspect="1"/>
            </wp:cNvGraphicFramePr>
            <a:graphic>
              <a:graphicData uri="http://schemas.openxmlformats.org/drawingml/2006/picture">
                <pic:pic>
                  <pic:nvPicPr>
                    <pic:cNvPr id="0" name="security-depth.png"/>
                    <pic:cNvPicPr/>
                  </pic:nvPicPr>
                  <pic:blipFill>
                    <a:blip r:embed="rId36"/>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25" name="Picture 25"/>
            <wp:cNvGraphicFramePr>
              <a:graphicFrameLocks noChangeAspect="1"/>
            </wp:cNvGraphicFramePr>
            <a:graphic>
              <a:graphicData uri="http://schemas.openxmlformats.org/drawingml/2006/picture">
                <pic:pic>
                  <pic:nvPicPr>
                    <pic:cNvPr id="0" name="security-boundaries.png"/>
                    <pic:cNvPicPr/>
                  </pic:nvPicPr>
                  <pic:blipFill>
                    <a:blip r:embed="rId37"/>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26" name="Picture 26"/>
            <wp:cNvGraphicFramePr>
              <a:graphicFrameLocks noChangeAspect="1"/>
            </wp:cNvGraphicFramePr>
            <a:graphic>
              <a:graphicData uri="http://schemas.openxmlformats.org/drawingml/2006/picture">
                <pic:pic>
                  <pic:nvPicPr>
                    <pic:cNvPr id="0" name="guardrail-sequence.png"/>
                    <pic:cNvPicPr/>
                  </pic:nvPicPr>
                  <pic:blipFill>
                    <a:blip r:embed="rId38"/>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coverage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is cross-checked against OWASP agentic-security guidance and zero-trust boundary principles. It enumerates known classes, not all classes: each new tool, protocol, and autonomy surface introduces threats the list does not yet name. The durable control is the boundary architecture, not the completeness of the enumeration.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 R15; R16</w:t>
            </w:r>
          </w:p>
        </w:tc>
      </w:tr>
    </w:tbl>
    <w:p>
      <w:pPr>
        <w:spacing w:after="20"/>
      </w:pPr>
    </w:p>
    <w:p>
      <w:pPr/>
      <w:r>
        <w:rPr/>
        <w:t>Evidence anchors: R11; R15; R16. Full URLs, authority, version, and scope appear in Appendix K.</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Debugging playbook</w:t>
      </w:r>
    </w:p>
    <w:p>
      <w:pPr>
        <w:pStyle w:val="ListNumber"/>
        <w:keepLines/>
      </w:pPr>
      <w:r>
        <w:rPr/>
        <w:t>Name the boundary the failure crossed — input, context or memory, model or output, agent or workflow, identity or policy, tool or effect, execution or egress, supply chain — before forming any hypothesis.</w:t>
      </w:r>
    </w:p>
    <w:p>
      <w:pPr>
        <w:pStyle w:val="ListNumber"/>
        <w:keepLines/>
      </w:pPr>
      <w:r>
        <w:rPr/>
        <w:t>Pull that boundary's decision record: classifier and version, PolicyDecision, ContextManifest, ApprovalGrant, or egress decision.</w:t>
      </w:r>
    </w:p>
    <w:p>
      <w:pPr>
        <w:pStyle w:val="ListNumber"/>
        <w:keepLines/>
      </w:pPr>
      <w:r>
        <w:rPr/>
        <w:t>Separate a detection failure from an enforcement failure. A guard that fired and was ignored is a different defect from a guard that never fired, and they have different fixes.</w:t>
      </w:r>
    </w:p>
    <w:p>
      <w:pPr>
        <w:pStyle w:val="ListNumber"/>
        <w:keepLines/>
      </w:pPr>
      <w:r>
        <w:rPr/>
        <w:t>Reconcile effects against the ledger. Never conclude from the model's final message that nothing committed.</w:t>
      </w:r>
    </w:p>
    <w:p>
      <w:pPr>
        <w:pStyle w:val="ListNumber"/>
        <w:keepLines/>
      </w:pPr>
      <w:r>
        <w:rPr/>
        <w:t>Convert the incident into a privacy-reviewed regression case pinned to the exact versions that failed.</w:t>
      </w:r>
    </w:p>
    <w:p>
      <w:pPr>
        <w:pStyle w:val="Heading2"/>
        <w:keepNext/>
      </w:pPr>
      <w:r>
        <w:rPr/>
        <w:t>Production checklist</w:t>
      </w:r>
    </w:p>
    <w:p>
      <w:pPr/>
      <w:r>
        <w:rPr>
          <w:b/>
        </w:rPr>
        <w:t>✓</w:t>
      </w:r>
      <w:r>
        <w:rPr/>
        <w:t xml:space="preserve"> Every trust-boundary crossing revalidates identity, authority, content, and data policy; nothing is inherited through a chain.</w:t>
      </w:r>
    </w:p>
    <w:p>
      <w:pPr/>
      <w:r>
        <w:rPr>
          <w:b/>
        </w:rPr>
        <w:t>✓</w:t>
      </w:r>
      <w:r>
        <w:rPr/>
        <w:t xml:space="preserve"> Retrieved text, tool results, and fetched pages are treated as data at every layer, never as instruction.</w:t>
      </w:r>
    </w:p>
    <w:p>
      <w:pPr/>
      <w:r>
        <w:rPr>
          <w:b/>
        </w:rPr>
        <w:t>✓</w:t>
      </w:r>
      <w:r>
        <w:rPr/>
        <w:t xml:space="preserve"> Tool eligibility is decided by policy and identity, never by content the model has just read.</w:t>
      </w:r>
    </w:p>
    <w:p>
      <w:pPr/>
      <w:r>
        <w:rPr>
          <w:b/>
        </w:rPr>
        <w:t>✓</w:t>
      </w:r>
      <w:r>
        <w:rPr/>
        <w:t xml:space="preserve"> Protected effects require a proposal-bound approval and leave an EffectRecord that reconciliation can verify independently.</w:t>
      </w:r>
    </w:p>
    <w:p>
      <w:pPr/>
      <w:r>
        <w:rPr>
          <w:b/>
        </w:rPr>
        <w:t>✓</w:t>
      </w:r>
      <w:r>
        <w:rPr/>
        <w:t xml:space="preserve"> Containment can pause a tool, MCP server, model route, Skill, memory namespace, tenant, or agent without stopping the platform.</w:t>
      </w:r>
    </w:p>
    <w:p>
      <w:pPr/>
      <w:r>
        <w:rPr>
          <w:b/>
        </w:rPr>
        <w:t>✓</w:t>
      </w:r>
      <w:r>
        <w:rPr/>
        <w:t xml:space="preserve"> Incident response follows Detect → Contain → Revoke → Reconcile → Eradicate → Recover → Learn, with owners named before the incident.</w:t>
      </w:r>
    </w:p>
    <w:p>
      <w:pPr>
        <w:pStyle w:val="Heading2"/>
        <w:keepNext/>
      </w:pPr>
      <w:r>
        <w:rPr/>
        <w:t>Exercises</w:t>
      </w:r>
    </w:p>
    <w:p>
      <w:pPr>
        <w:pStyle w:val="ListNumber"/>
        <w:keepLines/>
      </w:pPr>
      <w:r>
        <w:rPr/>
        <w:t>Take one threat card and trace it across the nine defence layers: which layer detects it, which contains it, and which would leave no evidence at all.</w:t>
      </w:r>
    </w:p>
    <w:p>
      <w:pPr>
        <w:pStyle w:val="ListNumber"/>
        <w:keepLines/>
      </w:pPr>
      <w:r>
        <w:rPr/>
        <w:t>Plant instructions in an authorized retrieval source and verify that tool eligibility does not change. If it does, the guardrail is reading content rather than policy.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security not be a single guardrail?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system combines untrusted language, privileged tools, dynamic context, durable memory, third-party protocols, and autonomous timing. Each is a distinct boundary with its own evidence; one classifier covers none of them completely.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operationally distinguishes direct from indirect injection?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Direct injection arrives in the user's own turn and is visible at the channel boundary. Indirect injection arrives inside authorized content, so it passes every input guard and must be contained at the effect boundary instead.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discovery not authorization?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catalog entry states that a tool exists. Eligibility is a policy decision about this subject, purpose, tenant, and risk at this moment, and must be evaluated independently of what the model can see.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evidence proves an effect did or did not 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effect ledger and the downstream receipt, reconciled. A successful HTTP response proves transport, and the model's final message proves nothing.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does the threat catalog not replace the boundary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enumerates known classes and will always lag new surfaces. Boundaries that revalidate identity, authority, content, and data policy contain threats that were never enumerated.</w:t>
            </w:r>
          </w:p>
        </w:tc>
      </w:tr>
    </w:tbl>
    <w:p>
      <w:pPr>
        <w:spacing w:after="20"/>
      </w:pPr>
    </w:p>
    <w:p>
      <w:pPr>
        <w:pStyle w:val="Heading2"/>
        <w:keepNext/>
      </w:pPr>
      <w:r>
        <w:rPr/>
        <w:t>Transition to Chapter 21</w:t>
      </w:r>
    </w:p>
    <w:p>
      <w:pPr/>
      <w:r>
        <w:rPr/>
        <w:t>The guardrail architecture establishes defence in depth; Chapter 21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7" name="Picture 27"/>
                  <wp:cNvGraphicFramePr>
                    <a:graphicFrameLocks noChangeAspect="1"/>
                  </wp:cNvGraphicFramePr>
                  <a:graphic>
                    <a:graphicData uri="http://schemas.openxmlformats.org/drawingml/2006/picture">
                      <pic:pic>
                        <pic:nvPicPr>
                          <pic:cNvPr id="0" name="part-vii.png"/>
                          <pic:cNvPicPr/>
                        </pic:nvPicPr>
                        <pic:blipFill>
                          <a:blip r:embed="rId3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28" name="Picture 28"/>
            <wp:cNvGraphicFramePr>
              <a:graphicFrameLocks noChangeAspect="1"/>
            </wp:cNvGraphicFramePr>
            <a:graphic>
              <a:graphicData uri="http://schemas.openxmlformats.org/drawingml/2006/picture">
                <pic:pic>
                  <pic:nvPicPr>
                    <pic:cNvPr id="0" name="learning-loop.png"/>
                    <pic:cNvPicPr/>
                  </pic:nvPicPr>
                  <pic:blipFill>
                    <a:blip r:embed="rId40"/>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29" name="Picture 29"/>
            <wp:cNvGraphicFramePr>
              <a:graphicFrameLocks noChangeAspect="1"/>
            </wp:cNvGraphicFramePr>
            <a:graphic>
              <a:graphicData uri="http://schemas.openxmlformats.org/drawingml/2006/picture">
                <pic:pic>
                  <pic:nvPicPr>
                    <pic:cNvPr id="0" name="runtime-offline.png"/>
                    <pic:cNvPicPr/>
                  </pic:nvPicPr>
                  <pic:blipFill>
                    <a:blip r:embed="rId41"/>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0" name="Picture 30"/>
                  <wp:cNvGraphicFramePr>
                    <a:graphicFrameLocks noChangeAspect="1"/>
                  </wp:cNvGraphicFramePr>
                  <a:graphic>
                    <a:graphicData uri="http://schemas.openxmlformats.org/drawingml/2006/picture">
                      <pic:pic>
                        <pic:nvPicPr>
                          <pic:cNvPr id="0" name="part-viii.png"/>
                          <pic:cNvPicPr/>
                        </pic:nvPicPr>
                        <pic:blipFill>
                          <a:blip r:embed="rId4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What this chapter delivers</w:t>
      </w:r>
    </w:p>
    <w:p>
      <w:pPr/>
      <w:r>
        <w:rPr/>
        <w:t>Make governance decisions explicit, proportional, owned, and reversible, so that risk control accelerates delivery instead of queueing it behind a committee.</w:t>
      </w:r>
    </w:p>
    <w:p>
      <w:pPr>
        <w:pStyle w:val="Heading2"/>
        <w:keepNext/>
      </w:pPr>
      <w:r>
        <w:rPr/>
        <w:t>Solution blueprint</w:t>
      </w:r>
    </w:p>
    <w:p>
      <w:pPr/>
      <w:r>
        <w:rPr/>
        <w:t>Figure 25. Governance, Risk, and Operating Model.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 named accountable owner per decision class; a named risk authority owns exceptions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delegated domain autonomy to enterprise risk appetite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tier · domain ·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one exception, one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classification · PolicyDecision · ValidationReport · exception record</w:t>
            </w:r>
          </w:p>
        </w:tc>
      </w:tr>
    </w:tbl>
    <w:p>
      <w:pPr>
        <w:spacing w:after="20"/>
      </w:pP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1" name="Picture 31"/>
            <wp:cNvGraphicFramePr>
              <a:graphicFrameLocks noChangeAspect="1"/>
            </wp:cNvGraphicFramePr>
            <a:graphic>
              <a:graphicData uri="http://schemas.openxmlformats.org/drawingml/2006/picture">
                <pic:pic>
                  <pic:nvPicPr>
                    <pic:cNvPr id="0" name="governance-model.png"/>
                    <pic:cNvPicPr/>
                  </pic:nvPicPr>
                  <pic:blipFill>
                    <a:blip r:embed="rId43"/>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Regulatory applicability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and its Generative AI Profile are voluntary guidance; ISO/IEC 42001 specifies a management system; the EU AI Act creates binding obligations that vary by risk category and by whether the enterprise acts as provider or deployer. Mapping a control in this book to a clause is engineering evidence, not legal advice, and qualified jurisdiction-specific review remains 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R12; R13; R14; R40</w:t>
            </w:r>
          </w:p>
        </w:tc>
      </w:tr>
    </w:tbl>
    <w:p>
      <w:pPr>
        <w:spacing w:after="20"/>
      </w:pPr>
    </w:p>
    <w:p>
      <w:pPr/>
      <w:r>
        <w:rPr/>
        <w:t>Evidence anchors: R12; R13; R14; R40. Full URLs, authority, version, and scope appear in Appendix K.</w:t>
      </w:r>
    </w:p>
    <w:p>
      <w:pPr>
        <w:pStyle w:val="Heading2"/>
        <w:keepNext/>
      </w:pPr>
      <w:r>
        <w:rPr/>
        <w:t>Debugging playbook</w:t>
      </w:r>
    </w:p>
    <w:p>
      <w:pPr/>
      <w:r>
        <w:rPr/>
        <w:t>Governance fails as queues and exceptions rather than as stack traces. Diagnose it the same way.</w:t>
      </w:r>
    </w:p>
    <w:p>
      <w:pPr>
        <w:pStyle w:val="ListNumber"/>
        <w:keepLines/>
      </w:pPr>
      <w:r>
        <w:rPr/>
        <w:t>When a release is blocked, find which single decision lacks a named owner instead of escalating the whole release.</w:t>
      </w:r>
    </w:p>
    <w:p>
      <w:pPr>
        <w:pStyle w:val="ListNumber"/>
        <w:keepLines/>
      </w:pPr>
      <w:r>
        <w:rPr/>
        <w:t>When the same exception recurs, treat it as a missing standard rather than a repeated approval.</w:t>
      </w:r>
    </w:p>
    <w:p>
      <w:pPr>
        <w:pStyle w:val="ListNumber"/>
        <w:keepLines/>
      </w:pPr>
      <w:r>
        <w:rPr/>
        <w:t>When risk tier and control effort disagree, re-score impact, reversibility, and human detectability before changing the tier.</w:t>
      </w:r>
    </w:p>
    <w:p>
      <w:pPr>
        <w:pStyle w:val="ListNumber"/>
        <w:keepLines/>
      </w:pPr>
      <w:r>
        <w:rPr/>
        <w:t>When review takes longer than delivery, check whether evidence is produced by the pipeline or assembled by hand. Hand-assembled evidence is the usual cause.</w:t>
      </w:r>
    </w:p>
    <w:p>
      <w:pPr>
        <w:pStyle w:val="Heading2"/>
        <w:keepNext/>
      </w:pPr>
      <w:r>
        <w:rPr/>
        <w:t>Production checklist</w:t>
      </w:r>
    </w:p>
    <w:p>
      <w:pPr/>
      <w:r>
        <w:rPr>
          <w:b/>
        </w:rPr>
        <w:t>✓</w:t>
      </w:r>
      <w:r>
        <w:rPr/>
        <w:t xml:space="preserve"> Every decision class in the accountability table has one named owner and one required evidence artifact.</w:t>
      </w:r>
    </w:p>
    <w:p>
      <w:pPr/>
      <w:r>
        <w:rPr>
          <w:b/>
        </w:rPr>
        <w:t>✓</w:t>
      </w:r>
      <w:r>
        <w:rPr/>
        <w:t xml:space="preserve"> Risk tier is derived from impact, protected effects, autonomy, exposure, scale, reversibility, and human detectability — not from the model name.</w:t>
      </w:r>
    </w:p>
    <w:p>
      <w:pPr/>
      <w:r>
        <w:rPr>
          <w:b/>
        </w:rPr>
        <w:t>✓</w:t>
      </w:r>
      <w:r>
        <w:rPr/>
        <w:t xml:space="preserve"> Exceptions are scoped, compensated, monitored, owned, and expiring. An exception without an expiry is a silent policy change.</w:t>
      </w:r>
    </w:p>
    <w:p>
      <w:pPr/>
      <w:r>
        <w:rPr>
          <w:b/>
        </w:rPr>
        <w:t>✓</w:t>
      </w:r>
      <w:r>
        <w:rPr/>
        <w:t xml:space="preserve"> Policy-as-code decides eligible models, data, tools, actions, budgets, and approvals; application configuration only selects within that envelope.</w:t>
      </w:r>
    </w:p>
    <w:p>
      <w:pPr/>
      <w:r>
        <w:rPr>
          <w:b/>
        </w:rPr>
        <w:t>✓</w:t>
      </w:r>
      <w:r>
        <w:rPr/>
        <w:t xml:space="preserve"> Each cadence — per run, daily or weekly, per release, quarterly, annually — has a named owner and a defined input.</w:t>
      </w:r>
    </w:p>
    <w:p>
      <w:pPr>
        <w:pStyle w:val="Heading2"/>
        <w:keepNext/>
      </w:pPr>
      <w:r>
        <w:rPr/>
        <w:t>Exercises</w:t>
      </w:r>
    </w:p>
    <w:p>
      <w:pPr>
        <w:pStyle w:val="ListNumber"/>
        <w:keepLines/>
      </w:pPr>
      <w:r>
        <w:rPr/>
        <w:t>Classify three current use cases into risk tiers and list the minimum governance each one triggers. Where two people disagree, the tier definition is the defect.</w:t>
      </w:r>
    </w:p>
    <w:p>
      <w:pPr>
        <w:pStyle w:val="ListNumber"/>
        <w:keepLines/>
      </w:pPr>
      <w:r>
        <w:rPr/>
        <w:t>Take one standing exception and write either its expiry date or the standard that would retire it permanently.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federate governance rather than centralize 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review of every prompt edit becomes the bottleneck and is abandoned. Centralize reusable control services, risk tiers, policy, and evidence; federate domain acceptance, tools, knowledge, and SLOs to accountable owners.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risk tier defensible?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is derived from consequence and reversibility — incorrect-outcome impact, sensitive data, protected effects, autonomy, exposure, scale, and human detectability — rather than from the model or framework in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must every exception expire?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exception that never expires is an undocumented policy change with no owner and no review. Expiry forces either the standard to change or the compensating control to be retired deliberately.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separates principles, standards, policy-as-code, and configuration?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Principles state non-negotiable outcomes; standards define reusable contracts; policy-as-code decides what is eligible at runtime; configuration selects within that envelope. Only the first two are argued; the last two are executed.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know governance is accelerating 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 from evidence-complete to approved is falling, exceptions are trending down as standards absorb them, and the same evidence serves engineering review, risk review, and audit without rework.</w:t>
            </w:r>
          </w:p>
        </w:tc>
      </w:tr>
    </w:tbl>
    <w:p>
      <w:pPr>
        <w:spacing w:after="20"/>
      </w:pP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w:t>
            </w:r>
            <w:r>
              <w:rPr/>
              <w:t xml:space="preserve">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4">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5">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6">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7">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8">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9">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0">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1">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2">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3">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4">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5">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56">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57">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58">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59">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0">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1">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2">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3">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4">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65">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66">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67">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8">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9">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0">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1">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2">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3">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77">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8">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9">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0">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2">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1">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hyperlink" Target="https://arxiv.org/abs/2210.03629" TargetMode="External"/><Relationship Id="rId45" Type="http://schemas.openxmlformats.org/officeDocument/2006/relationships/hyperlink" Target="https://doi.org/10.1287/opre.9.3.383" TargetMode="External"/><Relationship Id="rId46" Type="http://schemas.openxmlformats.org/officeDocument/2006/relationships/hyperlink" Target="https://github.com/cloudevents/spec/blob/main/cloudevents/spec.md" TargetMode="External"/><Relationship Id="rId47" Type="http://schemas.openxmlformats.org/officeDocument/2006/relationships/hyperlink" Target="https://modelcontextprotocol.io/specification/2026-07-28" TargetMode="External"/><Relationship Id="rId48" Type="http://schemas.openxmlformats.org/officeDocument/2006/relationships/hyperlink" Target="https://modelcontextprotocol.io/specification/2026-07-28/basic/authorization" TargetMode="External"/><Relationship Id="rId49" Type="http://schemas.openxmlformats.org/officeDocument/2006/relationships/hyperlink" Target="https://a2a-protocol.org/v1.0.1/specification" TargetMode="External"/><Relationship Id="rId50" Type="http://schemas.openxmlformats.org/officeDocument/2006/relationships/hyperlink" Target="https://datatracker.ietf.org/doc/html/rfc8693" TargetMode="External"/><Relationship Id="rId51" Type="http://schemas.openxmlformats.org/officeDocument/2006/relationships/hyperlink" Target="https://datatracker.ietf.org/doc/html/rfc8707" TargetMode="External"/><Relationship Id="rId52" Type="http://schemas.openxmlformats.org/officeDocument/2006/relationships/hyperlink" Target="https://datatracker.ietf.org/doc/html/rfc9728" TargetMode="External"/><Relationship Id="rId53" Type="http://schemas.openxmlformats.org/officeDocument/2006/relationships/hyperlink" Target="https://www.iso.org/standard/42001" TargetMode="External"/><Relationship Id="rId54" Type="http://schemas.openxmlformats.org/officeDocument/2006/relationships/hyperlink" Target="https://github.com/open-telemetry/semantic-conventions-genai" TargetMode="External"/><Relationship Id="rId55" Type="http://schemas.openxmlformats.org/officeDocument/2006/relationships/hyperlink" Target="https://www.w3.org/TR/WCAG22/" TargetMode="External"/><Relationship Id="rId56" Type="http://schemas.openxmlformats.org/officeDocument/2006/relationships/hyperlink" Target="https://www.omg.org/spec/BPMN/2.0.2" TargetMode="External"/><Relationship Id="rId57" Type="http://schemas.openxmlformats.org/officeDocument/2006/relationships/hyperlink" Target="https://www.omg.org/spec/DMN/1.5" TargetMode="External"/><Relationship Id="rId58" Type="http://schemas.openxmlformats.org/officeDocument/2006/relationships/hyperlink" Target="https://www.omg.org/spec/CMMN/1.1" TargetMode="External"/><Relationship Id="rId59" Type="http://schemas.openxmlformats.org/officeDocument/2006/relationships/hyperlink" Target="https://www.omg.org/spec/SBVR/1.5" TargetMode="External"/><Relationship Id="rId60" Type="http://schemas.openxmlformats.org/officeDocument/2006/relationships/hyperlink" Target="https://csrc.nist.gov/pubs/sp/800/207/final" TargetMode="External"/><Relationship Id="rId61" Type="http://schemas.openxmlformats.org/officeDocument/2006/relationships/hyperlink" Target="https://www.nist.gov/itl/ai-risk-management-framework" TargetMode="External"/><Relationship Id="rId62" Type="http://schemas.openxmlformats.org/officeDocument/2006/relationships/hyperlink" Target="https://doi.org/10.6028/NIST.AI.600-1" TargetMode="External"/><Relationship Id="rId63" Type="http://schemas.openxmlformats.org/officeDocument/2006/relationships/hyperlink" Target="https://genai.owasp.org/resource/owasp-top-10-for-agentic-applications-for-2026/" TargetMode="External"/><Relationship Id="rId64" Type="http://schemas.openxmlformats.org/officeDocument/2006/relationships/hyperlink" Target="https://cheatsheetseries.owasp.org/cheatsheets/AI_Agent_Security_Cheat_Sheet.html" TargetMode="External"/><Relationship Id="rId65" Type="http://schemas.openxmlformats.org/officeDocument/2006/relationships/hyperlink" Target="https://slsa.dev/spec/v1.2" TargetMode="External"/><Relationship Id="rId66" Type="http://schemas.openxmlformats.org/officeDocument/2006/relationships/hyperlink" Target="https://www.cisa.gov/sbom" TargetMode="External"/><Relationship Id="rId67" Type="http://schemas.openxmlformats.org/officeDocument/2006/relationships/hyperlink" Target="https://eur-lex.europa.eu/eli/reg/2016/679/oj" TargetMode="External"/><Relationship Id="rId68" Type="http://schemas.openxmlformats.org/officeDocument/2006/relationships/hyperlink" Target="https://digital-strategy.ec.europa.eu/en/policies/regulatory-framework-ai" TargetMode="External"/><Relationship Id="rId69" Type="http://schemas.openxmlformats.org/officeDocument/2006/relationships/hyperlink" Target="https://csrc.nist.gov/pubs/sp/800/61/r3/final" TargetMode="External"/><Relationship Id="rId70" Type="http://schemas.openxmlformats.org/officeDocument/2006/relationships/hyperlink" Target="https://temporal.io/blog/what-is-durable-execution" TargetMode="External"/><Relationship Id="rId71" Type="http://schemas.openxmlformats.org/officeDocument/2006/relationships/hyperlink" Target="https://docs.aws.amazon.com/prescriptive-guidance/latest/cloud-design-patterns/transactional-outbox.html" TargetMode="External"/><Relationship Id="rId72" Type="http://schemas.openxmlformats.org/officeDocument/2006/relationships/hyperlink" Target="https://mlflow.org/docs/latest/genai/eval-monitor/" TargetMode="External"/><Relationship Id="rId73" Type="http://schemas.openxmlformats.org/officeDocument/2006/relationships/hyperlink" Target="https://mlflow.org/releases/3.15.2" TargetMode="External"/><Relationship Id="rId74" Type="http://schemas.openxmlformats.org/officeDocument/2006/relationships/hyperlink" Target="https://deepeval.com/docs/metrics-introduction" TargetMode="External"/><Relationship Id="rId75" Type="http://schemas.openxmlformats.org/officeDocument/2006/relationships/hyperlink" Target="https://arize.com/docs/phoenix" TargetMode="External"/><Relationship Id="rId76" Type="http://schemas.openxmlformats.org/officeDocument/2006/relationships/hyperlink" Target="https://docs.ragas.io/en/latest/concepts/metrics/available_metrics/agents" TargetMode="External"/><Relationship Id="rId77" Type="http://schemas.openxmlformats.org/officeDocument/2006/relationships/hyperlink" Target="https://docs.langchain.com/langsmith/evaluation" TargetMode="External"/><Relationship Id="rId78" Type="http://schemas.openxmlformats.org/officeDocument/2006/relationships/hyperlink" Target="https://developers.openai.com/api/docs/guides/agent-evals" TargetMode="External"/><Relationship Id="rId79" Type="http://schemas.openxmlformats.org/officeDocument/2006/relationships/hyperlink" Target="https://www.anthropic.com/engineering/building-effective-agents" TargetMode="External"/><Relationship Id="rId80" Type="http://schemas.openxmlformats.org/officeDocument/2006/relationships/hyperlink" Target="https://www.anthropic.com/engineering/multi-agent-research-system" TargetMode="External"/><Relationship Id="rId81" Type="http://schemas.openxmlformats.org/officeDocument/2006/relationships/hyperlink" Target="https://openai.github.io/openai-agents-python" TargetMode="External"/><Relationship Id="rId82" Type="http://schemas.openxmlformats.org/officeDocument/2006/relationships/hyperlink" Target="https://github.com/openai/openai-agents-python/releases/tag/v0.22.2" TargetMode="External"/><Relationship Id="rId83" Type="http://schemas.openxmlformats.org/officeDocument/2006/relationships/hyperlink" Target="https://learn.microsoft.com/en-us/agent-framework/overview" TargetMode="External"/><Relationship Id="rId84" Type="http://schemas.openxmlformats.org/officeDocument/2006/relationships/hyperlink" Target="https://adk.dev/agents" TargetMode="External"/><Relationship Id="rId85" Type="http://schemas.openxmlformats.org/officeDocument/2006/relationships/hyperlink" Target="https://docs.aws.amazon.com/bedrock/latest/userguide/agents-multi-agent-collaboration.html" TargetMode="External"/><Relationship Id="rId86" Type="http://schemas.openxmlformats.org/officeDocument/2006/relationships/hyperlink" Target="https://docs.langchain.com/oss/python/langgraph/persistence" TargetMode="External"/><Relationship Id="rId87" Type="http://schemas.openxmlformats.org/officeDocument/2006/relationships/hyperlink" Target="https://docs.llamaindex.ai/en/stable/module_guides/workflow/" TargetMode="External"/><Relationship Id="rId88" Type="http://schemas.openxmlformats.org/officeDocument/2006/relationships/hyperlink" Target="https://pydantic.dev/docs/ai/capabilities/durable_execution/overview" TargetMode="External"/><Relationship Id="rId89" Type="http://schemas.openxmlformats.org/officeDocument/2006/relationships/hyperlink" Target="https://docs.dapr.io/developing-ai/dapr-agents" TargetMode="External"/><Relationship Id="rId90" Type="http://schemas.openxmlformats.org/officeDocument/2006/relationships/hyperlink" Target="https://docs.dbos.dev/ai/ai-quickstart" TargetMode="External"/><Relationship Id="rId91"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