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val="0"/>
        <w:spacing w:before="440" w:after="120" w:line="240" w:lineRule="auto"/>
        <w:jc w:val="center"/>
      </w:pPr>
      <w:r>
        <w:rPr>
          <w:rFonts w:ascii="Arial" w:hAnsi="Arial"/>
          <w:b/>
          <w:i w:val="0"/>
          <w:color w:val="0F172A"/>
          <w:sz w:val="48"/>
        </w:rPr>
        <w:t>The High Cost of Repeated AI Reasoning</w:t>
      </w:r>
    </w:p>
    <w:p>
      <w:pPr>
        <w:keepNext w:val="0"/>
        <w:keepLines w:val="0"/>
        <w:spacing w:before="0" w:after="160" w:line="276" w:lineRule="auto"/>
        <w:jc w:val="center"/>
      </w:pPr>
      <w:r>
        <w:rPr>
          <w:rFonts w:ascii="Arial" w:hAnsi="Arial"/>
          <w:b w:val="0"/>
          <w:i/>
          <w:color w:val="475569"/>
          <w:sz w:val="25"/>
        </w:rPr>
        <w:t>How guarded agentic compaction turns recurring read-only agent work into verified deterministic programs</w:t>
      </w:r>
    </w:p>
    <w:p>
      <w:pPr>
        <w:keepNext w:val="0"/>
        <w:keepLines w:val="0"/>
        <w:spacing w:before="0" w:after="240" w:line="240" w:lineRule="auto"/>
        <w:jc w:val="center"/>
      </w:pPr>
      <w:r>
        <w:rPr>
          <w:rFonts w:ascii="Arial" w:hAnsi="Arial"/>
          <w:b w:val="0"/>
          <w:i w:val="0"/>
          <w:color w:val="64748B"/>
          <w:sz w:val="21"/>
        </w:rPr>
        <w:t>A LinkedIn-ready technical article based on the paper by Reza Rahimi</w:t>
      </w:r>
    </w:p>
    <w:p>
      <w:pPr>
        <w:keepNext w:val="0"/>
        <w:keepLines w:val="0"/>
        <w:spacing w:before="0" w:after="160" w:line="240" w:lineRule="auto"/>
        <w:jc w:val="center"/>
      </w:pPr>
      <w:r>
        <w:drawing>
          <wp:inline xmlns:a="http://schemas.openxmlformats.org/drawingml/2006/main" xmlns:pic="http://schemas.openxmlformats.org/drawingml/2006/picture">
            <wp:extent cx="6355080" cy="3581474"/>
            <wp:docPr id="1" name="Picture 1"/>
            <wp:cNvGraphicFramePr>
              <a:graphicFrameLocks noChangeAspect="1"/>
            </wp:cNvGraphicFramePr>
            <a:graphic>
              <a:graphicData uri="http://schemas.openxmlformats.org/drawingml/2006/picture">
                <pic:pic>
                  <pic:nvPicPr>
                    <pic:cNvPr id="0" name="hero_banner.png"/>
                    <pic:cNvPicPr/>
                  </pic:nvPicPr>
                  <pic:blipFill>
                    <a:blip r:embed="rId9"/>
                    <a:stretch>
                      <a:fillRect/>
                    </a:stretch>
                  </pic:blipFill>
                  <pic:spPr>
                    <a:xfrm>
                      <a:off x="0" y="0"/>
                      <a:ext cx="6355080" cy="3581474"/>
                    </a:xfrm>
                    <a:prstGeom prst="rect"/>
                  </pic:spPr>
                </pic:pic>
              </a:graphicData>
            </a:graphic>
          </wp:inline>
        </w:drawing>
      </w:r>
    </w:p>
    <w:p>
      <w:pPr>
        <w:keepNext w:val="0"/>
        <w:keepLines w:val="0"/>
        <w:spacing w:before="80" w:after="320" w:line="276" w:lineRule="auto"/>
        <w:jc w:val="center"/>
      </w:pPr>
      <w:r>
        <w:rPr>
          <w:rFonts w:ascii="Arial" w:hAnsi="Arial"/>
          <w:b/>
          <w:i w:val="0"/>
          <w:color w:val="0F172A"/>
          <w:sz w:val="23"/>
        </w:rPr>
        <w:t>Core message: optimize only the parts of the workflow that evidence can license.</w:t>
      </w:r>
    </w:p>
    <w:p>
      <w:r>
        <w:br w:type="page"/>
      </w:r>
    </w:p>
    <w:p>
      <w:pPr>
        <w:pStyle w:val="Heading1"/>
        <w:keepNext/>
        <w:keepLines w:val="0"/>
        <w:spacing w:before="200" w:after="80" w:line="264" w:lineRule="auto"/>
      </w:pPr>
      <w:r>
        <w:rPr>
          <w:rFonts w:ascii="Arial" w:hAnsi="Arial"/>
          <w:b/>
          <w:i w:val="0"/>
          <w:color w:val="0F172A"/>
          <w:sz w:val="30"/>
        </w:rPr>
        <w:t>Why repeated agent loops get expensive</w:t>
      </w:r>
    </w:p>
    <w:p>
      <w:pPr>
        <w:keepNext w:val="0"/>
        <w:keepLines w:val="0"/>
        <w:spacing w:before="0" w:after="160" w:line="283" w:lineRule="auto"/>
      </w:pPr>
      <w:r>
        <w:rPr>
          <w:rFonts w:ascii="Arial" w:hAnsi="Arial"/>
          <w:b w:val="0"/>
          <w:i w:val="0"/>
          <w:color w:val="1F2937"/>
          <w:sz w:val="22"/>
        </w:rPr>
        <w:t>Tool-using agents are strong at solving new problems, but many production workflows become repetitive. The same read-only evidence gathering steps show up again and again: fetch a record, inspect a label, read comments, classify an item, and then ask the model for another decision. Every repeated model turn adds latency, token usage, and cost.</w:t>
      </w:r>
    </w:p>
    <w:p>
      <w:pPr>
        <w:keepNext w:val="0"/>
        <w:keepLines w:val="0"/>
        <w:spacing w:before="0" w:after="160" w:line="283" w:lineRule="auto"/>
      </w:pPr>
      <w:r>
        <w:rPr>
          <w:rFonts w:ascii="Arial" w:hAnsi="Arial"/>
          <w:b w:val="0"/>
          <w:i w:val="0"/>
          <w:color w:val="1F2937"/>
          <w:sz w:val="22"/>
        </w:rPr>
        <w:t>That sounds like caching, but it is not. A later tool argument may depend on a previous observation, a nominally read-only step may still have a hidden side effect, and a workflow that looks safe in one trace can fail under a different permission, freshness, or contract constraint. In other words, speed is only useful when the faster path is still the right path.</w:t>
      </w:r>
    </w:p>
    <w:tbl>
      <w:tblPr>
        <w:tblW w:type="auto" w:w="0"/>
        <w:tblLayout w:type="autofit"/>
        <w:tblLook w:firstColumn="1" w:firstRow="1" w:lastColumn="0" w:lastRow="0" w:noHBand="0" w:noVBand="1" w:val="04A0"/>
        <w:tblBorders>
          <w:top w:val="single" w:sz="12" w:space="0" w:color="BFDBFE"/>
          <w:left w:val="single" w:sz="12" w:space="0" w:color="BFDBFE"/>
          <w:bottom w:val="single" w:sz="12" w:space="0" w:color="BFDBFE"/>
          <w:right w:val="single" w:sz="12" w:space="0" w:color="BFDBFE"/>
          <w:insideH w:val="single" w:sz="12" w:space="0" w:color="BFDBFE"/>
          <w:insideV w:val="single" w:sz="12" w:space="0" w:color="BFDBFE"/>
        </w:tblBorders>
      </w:tblPr>
      <w:tblGrid>
        <w:gridCol w:w="9648"/>
      </w:tblGrid>
      <w:tr>
        <w:tc>
          <w:tcPr>
            <w:tcW w:type="dxa" w:w="9648"/>
            <w:shd w:fill="EFF6FF"/>
            <w:tcMar>
              <w:top w:w="130" w:type="dxa"/>
              <w:start w:w="160" w:type="dxa"/>
              <w:bottom w:w="130" w:type="dxa"/>
              <w:end w:w="160" w:type="dxa"/>
            </w:tcMar>
          </w:tcPr>
          <w:p>
            <w:pPr>
              <w:keepNext w:val="0"/>
              <w:keepLines w:val="0"/>
              <w:spacing w:before="80" w:after="80" w:line="288" w:lineRule="auto"/>
              <w:jc w:val="center"/>
            </w:pPr>
            <w:r>
              <w:rPr>
                <w:rFonts w:ascii="Arial" w:hAnsi="Arial"/>
                <w:b/>
                <w:i/>
                <w:color w:val="0F172A"/>
                <w:sz w:val="25"/>
              </w:rPr>
              <w:t>"Traces establish recurrence, not admissibility."</w:t>
            </w:r>
          </w:p>
        </w:tc>
      </w:tr>
    </w:tbl>
    <w:p>
      <w:pPr>
        <w:pStyle w:val="Heading1"/>
        <w:keepNext/>
        <w:keepLines w:val="0"/>
        <w:spacing w:before="200" w:after="80" w:line="264" w:lineRule="auto"/>
      </w:pPr>
      <w:r>
        <w:rPr>
          <w:rFonts w:ascii="Arial" w:hAnsi="Arial"/>
          <w:b/>
          <w:i w:val="0"/>
          <w:color w:val="0F172A"/>
          <w:sz w:val="30"/>
        </w:rPr>
        <w:t>What Guarded Agentic Compaction does</w:t>
      </w:r>
    </w:p>
    <w:p>
      <w:pPr>
        <w:keepNext w:val="0"/>
        <w:keepLines w:val="0"/>
        <w:spacing w:before="0" w:after="160" w:line="283" w:lineRule="auto"/>
      </w:pPr>
      <w:r>
        <w:rPr>
          <w:rFonts w:ascii="Arial" w:hAnsi="Arial"/>
          <w:b w:val="0"/>
          <w:i w:val="0"/>
          <w:color w:val="1F2937"/>
          <w:sz w:val="22"/>
        </w:rPr>
        <w:t>The paper introduces guarded agentic compaction (GAC), a trace-to-program compiler that looks for recurrent read-only prefixes and converts only the supported part into deterministic code. Everything that the evidence does not determine stays with the model.</w:t>
      </w:r>
    </w:p>
    <w:p>
      <w:pPr>
        <w:keepNext w:val="0"/>
        <w:keepLines w:val="0"/>
        <w:spacing w:before="0" w:after="160" w:line="283" w:lineRule="auto"/>
      </w:pPr>
      <w:r>
        <w:rPr>
          <w:rFonts w:ascii="Arial" w:hAnsi="Arial"/>
          <w:b w:val="0"/>
          <w:i w:val="0"/>
          <w:color w:val="1F2937"/>
          <w:sz w:val="22"/>
        </w:rPr>
        <w:t>The key design choice is conservative by construction: the default outcome is refusal. GAC compiles a prefix only when typed provenance, effect declarations, manifest compatibility, bounded synthesis, verification, and finite-sample admission all line up. If any part is missing, the baseline agent remains unchanged.</w:t>
      </w:r>
    </w:p>
    <w:p>
      <w:pPr>
        <w:keepNext w:val="0"/>
        <w:keepLines w:val="0"/>
        <w:spacing w:before="40" w:after="80" w:line="276" w:lineRule="auto"/>
      </w:pPr>
      <w:r>
        <w:rPr>
          <w:rFonts w:ascii="Arial" w:hAnsi="Arial"/>
          <w:b/>
          <w:i w:val="0"/>
          <w:color w:val="0F172A"/>
          <w:sz w:val="25"/>
        </w:rPr>
        <w:t>At a glance</w:t>
      </w:r>
    </w:p>
    <w:tbl>
      <w:tblPr>
        <w:tblStyle w:val="TableGrid"/>
        <w:tblW w:type="auto" w:w="0"/>
        <w:tblLayout w:type="fixed"/>
        <w:tblLook w:firstColumn="1" w:firstRow="1" w:lastColumn="0" w:lastRow="0" w:noHBand="0" w:noVBand="1" w:val="04A0"/>
        <w:tblBorders>
          <w:top w:val="single" w:sz="8" w:space="0" w:color="D6DEE8"/>
          <w:left w:val="single" w:sz="8" w:space="0" w:color="D6DEE8"/>
          <w:bottom w:val="single" w:sz="8" w:space="0" w:color="D6DEE8"/>
          <w:right w:val="single" w:sz="8" w:space="0" w:color="D6DEE8"/>
          <w:insideH w:val="single" w:sz="8" w:space="0" w:color="D6DEE8"/>
          <w:insideV w:val="single" w:sz="8" w:space="0" w:color="D6DEE8"/>
        </w:tblBorders>
      </w:tblPr>
      <w:tblGrid>
        <w:gridCol w:w="4824"/>
        <w:gridCol w:w="4824"/>
      </w:tblGrid>
      <w:tr>
        <w:tc>
          <w:tcPr>
            <w:tcW w:type="dxa" w:w="2160"/>
            <w:tcMar>
              <w:top w:w="120" w:type="dxa"/>
              <w:start w:w="140" w:type="dxa"/>
              <w:bottom w:w="120" w:type="dxa"/>
              <w:end w:w="140" w:type="dxa"/>
            </w:tcMar>
            <w:vAlign w:val="center"/>
            <w:shd w:fill="F8FAFC"/>
          </w:tcPr>
          <w:p>
            <w:pPr>
              <w:keepNext w:val="0"/>
              <w:keepLines w:val="0"/>
              <w:spacing w:before="40" w:after="40" w:line="276" w:lineRule="auto"/>
              <w:jc w:val="left"/>
            </w:pPr>
            <w:r>
              <w:rPr>
                <w:rFonts w:ascii="Arial" w:hAnsi="Arial"/>
                <w:b/>
                <w:i w:val="0"/>
                <w:color w:val="0F172A"/>
                <w:sz w:val="21"/>
              </w:rPr>
              <w:t>Problem</w:t>
            </w:r>
          </w:p>
        </w:tc>
        <w:tc>
          <w:tcPr>
            <w:tcW w:type="dxa" w:w="7344"/>
            <w:tcMar>
              <w:top w:w="120" w:type="dxa"/>
              <w:start w:w="140" w:type="dxa"/>
              <w:bottom w:w="120" w:type="dxa"/>
              <w:end w:w="140" w:type="dxa"/>
            </w:tcMar>
            <w:vAlign w:val="center"/>
            <w:shd w:fill="FFFFFF"/>
          </w:tcPr>
          <w:p>
            <w:pPr>
              <w:keepNext w:val="0"/>
              <w:keepLines w:val="0"/>
              <w:spacing w:before="40" w:after="40" w:line="276" w:lineRule="auto"/>
              <w:jc w:val="left"/>
            </w:pPr>
            <w:r>
              <w:rPr>
                <w:rFonts w:ascii="Arial" w:hAnsi="Arial"/>
                <w:b w:val="0"/>
                <w:i w:val="0"/>
                <w:color w:val="1F2937"/>
                <w:sz w:val="21"/>
              </w:rPr>
              <w:t>Repeated read-only agent prefixes still pay model cost at every boundary.</w:t>
            </w:r>
          </w:p>
        </w:tc>
      </w:tr>
      <w:tr>
        <w:tc>
          <w:tcPr>
            <w:tcW w:type="dxa" w:w="2160"/>
            <w:tcMar>
              <w:top w:w="120" w:type="dxa"/>
              <w:start w:w="140" w:type="dxa"/>
              <w:bottom w:w="120" w:type="dxa"/>
              <w:end w:w="140" w:type="dxa"/>
            </w:tcMar>
            <w:vAlign w:val="center"/>
            <w:shd w:fill="F8FAFC"/>
          </w:tcPr>
          <w:p>
            <w:pPr>
              <w:keepNext w:val="0"/>
              <w:keepLines w:val="0"/>
              <w:spacing w:before="40" w:after="40" w:line="276" w:lineRule="auto"/>
              <w:jc w:val="left"/>
            </w:pPr>
            <w:r>
              <w:rPr>
                <w:rFonts w:ascii="Arial" w:hAnsi="Arial"/>
                <w:b/>
                <w:i w:val="0"/>
                <w:color w:val="0F172A"/>
                <w:sz w:val="21"/>
              </w:rPr>
              <w:t>Method</w:t>
            </w:r>
          </w:p>
        </w:tc>
        <w:tc>
          <w:tcPr>
            <w:tcW w:type="dxa" w:w="7344"/>
            <w:tcMar>
              <w:top w:w="120" w:type="dxa"/>
              <w:start w:w="140" w:type="dxa"/>
              <w:bottom w:w="120" w:type="dxa"/>
              <w:end w:w="140" w:type="dxa"/>
            </w:tcMar>
            <w:vAlign w:val="center"/>
            <w:shd w:fill="FFFFFF"/>
          </w:tcPr>
          <w:p>
            <w:pPr>
              <w:keepNext w:val="0"/>
              <w:keepLines w:val="0"/>
              <w:spacing w:before="40" w:after="40" w:line="276" w:lineRule="auto"/>
              <w:jc w:val="left"/>
            </w:pPr>
            <w:r>
              <w:rPr>
                <w:rFonts w:ascii="Arial" w:hAnsi="Arial"/>
                <w:b w:val="0"/>
                <w:i w:val="0"/>
                <w:color w:val="1F2937"/>
                <w:sz w:val="21"/>
              </w:rPr>
              <w:t>Trace-to-program compilation with typed provenance, effect barriers, and exact admission.</w:t>
            </w:r>
          </w:p>
        </w:tc>
      </w:tr>
      <w:tr>
        <w:tc>
          <w:tcPr>
            <w:tcW w:type="dxa" w:w="2160"/>
            <w:tcMar>
              <w:top w:w="120" w:type="dxa"/>
              <w:start w:w="140" w:type="dxa"/>
              <w:bottom w:w="120" w:type="dxa"/>
              <w:end w:w="140" w:type="dxa"/>
            </w:tcMar>
            <w:vAlign w:val="center"/>
            <w:shd w:fill="F8FAFC"/>
          </w:tcPr>
          <w:p>
            <w:pPr>
              <w:keepNext w:val="0"/>
              <w:keepLines w:val="0"/>
              <w:spacing w:before="40" w:after="40" w:line="276" w:lineRule="auto"/>
              <w:jc w:val="left"/>
            </w:pPr>
            <w:r>
              <w:rPr>
                <w:rFonts w:ascii="Arial" w:hAnsi="Arial"/>
                <w:b/>
                <w:i w:val="0"/>
                <w:color w:val="0F172A"/>
                <w:sz w:val="21"/>
              </w:rPr>
              <w:t>Safety rule</w:t>
            </w:r>
          </w:p>
        </w:tc>
        <w:tc>
          <w:tcPr>
            <w:tcW w:type="dxa" w:w="7344"/>
            <w:tcMar>
              <w:top w:w="120" w:type="dxa"/>
              <w:start w:w="140" w:type="dxa"/>
              <w:bottom w:w="120" w:type="dxa"/>
              <w:end w:w="140" w:type="dxa"/>
            </w:tcMar>
            <w:vAlign w:val="center"/>
            <w:shd w:fill="FFFFFF"/>
          </w:tcPr>
          <w:p>
            <w:pPr>
              <w:keepNext w:val="0"/>
              <w:keepLines w:val="0"/>
              <w:spacing w:before="40" w:after="40" w:line="276" w:lineRule="auto"/>
              <w:jc w:val="left"/>
            </w:pPr>
            <w:r>
              <w:rPr>
                <w:rFonts w:ascii="Arial" w:hAnsi="Arial"/>
                <w:b w:val="0"/>
                <w:i w:val="0"/>
                <w:color w:val="1F2937"/>
                <w:sz w:val="21"/>
              </w:rPr>
              <w:t>If evidence is incomplete, retire and keep the baseline agent.</w:t>
            </w:r>
          </w:p>
        </w:tc>
      </w:tr>
      <w:tr>
        <w:tc>
          <w:tcPr>
            <w:tcW w:type="dxa" w:w="2160"/>
            <w:tcMar>
              <w:top w:w="120" w:type="dxa"/>
              <w:start w:w="140" w:type="dxa"/>
              <w:bottom w:w="120" w:type="dxa"/>
              <w:end w:w="140" w:type="dxa"/>
            </w:tcMar>
            <w:vAlign w:val="center"/>
            <w:shd w:fill="F8FAFC"/>
          </w:tcPr>
          <w:p>
            <w:pPr>
              <w:keepNext w:val="0"/>
              <w:keepLines w:val="0"/>
              <w:spacing w:before="40" w:after="40" w:line="276" w:lineRule="auto"/>
              <w:jc w:val="left"/>
            </w:pPr>
            <w:r>
              <w:rPr>
                <w:rFonts w:ascii="Arial" w:hAnsi="Arial"/>
                <w:b/>
                <w:i w:val="0"/>
                <w:color w:val="0F172A"/>
                <w:sz w:val="21"/>
              </w:rPr>
              <w:t>Reported effect</w:t>
            </w:r>
          </w:p>
        </w:tc>
        <w:tc>
          <w:tcPr>
            <w:tcW w:type="dxa" w:w="7344"/>
            <w:tcMar>
              <w:top w:w="120" w:type="dxa"/>
              <w:start w:w="140" w:type="dxa"/>
              <w:bottom w:w="120" w:type="dxa"/>
              <w:end w:w="140" w:type="dxa"/>
            </w:tcMar>
            <w:vAlign w:val="center"/>
            <w:shd w:fill="FFFFFF"/>
          </w:tcPr>
          <w:p>
            <w:pPr>
              <w:keepNext w:val="0"/>
              <w:keepLines w:val="0"/>
              <w:spacing w:before="40" w:after="40" w:line="276" w:lineRule="auto"/>
              <w:jc w:val="left"/>
            </w:pPr>
            <w:r>
              <w:rPr>
                <w:rFonts w:ascii="Arial" w:hAnsi="Arial"/>
                <w:b w:val="0"/>
                <w:i w:val="0"/>
                <w:color w:val="1F2937"/>
                <w:sz w:val="21"/>
              </w:rPr>
              <w:t>Fewer requests, tokens, latency, and cost on real GitHub workflows.</w:t>
            </w:r>
          </w:p>
        </w:tc>
      </w:tr>
    </w:tbl>
    <w:p>
      <w:pPr>
        <w:pStyle w:val="Heading1"/>
        <w:keepNext/>
        <w:keepLines w:val="0"/>
        <w:spacing w:before="200" w:after="80" w:line="264" w:lineRule="auto"/>
      </w:pPr>
      <w:r>
        <w:rPr>
          <w:rFonts w:ascii="Arial" w:hAnsi="Arial"/>
          <w:b/>
          <w:i w:val="0"/>
          <w:color w:val="0F172A"/>
          <w:sz w:val="30"/>
        </w:rPr>
        <w:t>The pipeline at a glance</w:t>
      </w:r>
    </w:p>
    <w:p>
      <w:pPr>
        <w:keepNext w:val="0"/>
        <w:keepLines w:val="0"/>
        <w:spacing w:before="40" w:after="80" w:line="240" w:lineRule="auto"/>
        <w:jc w:val="center"/>
      </w:pPr>
      <w:r>
        <w:drawing>
          <wp:inline xmlns:a="http://schemas.openxmlformats.org/drawingml/2006/main" xmlns:pic="http://schemas.openxmlformats.org/drawingml/2006/picture">
            <wp:extent cx="6355080" cy="2789015"/>
            <wp:docPr id="2" name="Picture 2"/>
            <wp:cNvGraphicFramePr>
              <a:graphicFrameLocks noChangeAspect="1"/>
            </wp:cNvGraphicFramePr>
            <a:graphic>
              <a:graphicData uri="http://schemas.openxmlformats.org/drawingml/2006/picture">
                <pic:pic>
                  <pic:nvPicPr>
                    <pic:cNvPr id="0" name="gac_pipeline.png"/>
                    <pic:cNvPicPr/>
                  </pic:nvPicPr>
                  <pic:blipFill>
                    <a:blip r:embed="rId10"/>
                    <a:stretch>
                      <a:fillRect/>
                    </a:stretch>
                  </pic:blipFill>
                  <pic:spPr>
                    <a:xfrm>
                      <a:off x="0" y="0"/>
                      <a:ext cx="6355080" cy="2789015"/>
                    </a:xfrm>
                    <a:prstGeom prst="rect"/>
                  </pic:spPr>
                </pic:pic>
              </a:graphicData>
            </a:graphic>
          </wp:inline>
        </w:drawing>
      </w:r>
    </w:p>
    <w:p>
      <w:pPr>
        <w:keepNext w:val="0"/>
        <w:keepLines w:val="0"/>
        <w:spacing w:before="0" w:after="240" w:line="252" w:lineRule="auto"/>
        <w:jc w:val="center"/>
      </w:pPr>
      <w:r>
        <w:rPr>
          <w:rFonts w:ascii="Arial" w:hAnsi="Arial"/>
          <w:b w:val="0"/>
          <w:i/>
          <w:color w:val="64748B"/>
          <w:sz w:val="19"/>
        </w:rPr>
        <w:t>Figure 1. Guarded agentic compaction moves from trace capture to runtime gating, with multiple refusal points in between.</w:t>
      </w:r>
    </w:p>
    <w:p>
      <w:pPr>
        <w:keepNext w:val="0"/>
        <w:keepLines w:val="0"/>
        <w:spacing w:before="0" w:after="160" w:line="283" w:lineRule="auto"/>
      </w:pPr>
      <w:r>
        <w:rPr>
          <w:rFonts w:ascii="Arial" w:hAnsi="Arial"/>
          <w:b w:val="0"/>
          <w:i w:val="0"/>
          <w:color w:val="1F2937"/>
          <w:sz w:val="22"/>
        </w:rPr>
        <w:t>The system has four main stages. First, it captures traces into a typed episode representation. Second, it mines repeated candidate regions and synthesizes a small program from a closed 23-operator language. Third, it induces hard guards and verifiers, then calibrates a risk threshold using exact finite-sample bounds. Finally, runtime dispatch checks the guard, the score, and the manifest before execution.</w:t>
      </w:r>
    </w:p>
    <w:p>
      <w:pPr>
        <w:keepNext w:val="0"/>
        <w:keepLines w:val="0"/>
        <w:spacing w:before="0" w:after="160" w:line="283" w:lineRule="auto"/>
      </w:pPr>
      <w:r>
        <w:rPr>
          <w:rFonts w:ascii="Arial" w:hAnsi="Arial"/>
          <w:b w:val="0"/>
          <w:i w:val="0"/>
          <w:color w:val="1F2937"/>
          <w:sz w:val="22"/>
        </w:rPr>
        <w:t>That structure matters because it turns optimization into an audit trail. The compiler is not asked to prove that every future input will be correct. It is asked to show, with bounded evidence, that a specific prefix can be retired safely and that the baseline remains available whenever the support is not there.</w:t>
      </w:r>
    </w:p>
    <w:p>
      <w:pPr>
        <w:pStyle w:val="Heading1"/>
        <w:keepNext/>
        <w:keepLines w:val="0"/>
        <w:spacing w:before="200" w:after="80" w:line="264" w:lineRule="auto"/>
      </w:pPr>
      <w:r>
        <w:rPr>
          <w:rFonts w:ascii="Arial" w:hAnsi="Arial"/>
          <w:b/>
          <w:i w:val="0"/>
          <w:color w:val="0F172A"/>
          <w:sz w:val="30"/>
        </w:rPr>
        <w:t>What the experiments showed</w:t>
      </w:r>
    </w:p>
    <w:p>
      <w:pPr>
        <w:keepNext w:val="0"/>
        <w:keepLines w:val="0"/>
        <w:spacing w:before="0" w:after="160" w:line="283" w:lineRule="auto"/>
      </w:pPr>
      <w:r>
        <w:rPr>
          <w:rFonts w:ascii="Arial" w:hAnsi="Arial"/>
          <w:b w:val="0"/>
          <w:i w:val="0"/>
          <w:color w:val="1F2937"/>
          <w:sz w:val="22"/>
        </w:rPr>
        <w:t>On three real GitHub workflow families with live provider calls, compiled programs passed 90/90 exact contracts, while the unchanged agents passed 89/90. The paper reports no compiled-only failure and a pooled discordance upper bound of 3.3 percent. The efficiency gains were substantial: provider requests fell by 50.0-75.0 percent, tokens by 39.5-81.4 percent, latency by 51.7-73.0 percent, and estimated cost by 32.0-75.3 percent.</w:t>
      </w:r>
    </w:p>
    <w:p>
      <w:pPr>
        <w:keepNext w:val="0"/>
        <w:keepLines w:val="0"/>
        <w:spacing w:before="0" w:after="160" w:line="283" w:lineRule="auto"/>
      </w:pPr>
      <w:r>
        <w:rPr>
          <w:rFonts w:ascii="Arial" w:hAnsi="Arial"/>
          <w:b w:val="0"/>
          <w:i w:val="0"/>
          <w:color w:val="1F2937"/>
          <w:sz w:val="22"/>
        </w:rPr>
        <w:t>A wider cross-repository extension reached 580/580 exact discovery traces, completed 120/120 time-forward exact pairs on four repositories, and retired the fifth. A balanced rerun over three repositories reached 360/360 exact discovery traces and 180/180 exact held-out pairs, while reducing requests 66.7 percent, tokens 78.4 percent, observed wall latency 60.7 percent, and cost 72.7 percent.</w:t>
      </w:r>
    </w:p>
    <w:p>
      <w:pPr>
        <w:keepNext w:val="0"/>
        <w:keepLines w:val="0"/>
        <w:spacing w:before="40" w:after="80" w:line="240" w:lineRule="auto"/>
        <w:jc w:val="center"/>
      </w:pPr>
      <w:r>
        <w:drawing>
          <wp:inline xmlns:a="http://schemas.openxmlformats.org/drawingml/2006/main" xmlns:pic="http://schemas.openxmlformats.org/drawingml/2006/picture">
            <wp:extent cx="6355080" cy="3124824"/>
            <wp:docPr id="3" name="Picture 3"/>
            <wp:cNvGraphicFramePr>
              <a:graphicFrameLocks noChangeAspect="1"/>
            </wp:cNvGraphicFramePr>
            <a:graphic>
              <a:graphicData uri="http://schemas.openxmlformats.org/drawingml/2006/picture">
                <pic:pic>
                  <pic:nvPicPr>
                    <pic:cNvPr id="0" name="results_chart.png"/>
                    <pic:cNvPicPr/>
                  </pic:nvPicPr>
                  <pic:blipFill>
                    <a:blip r:embed="rId11"/>
                    <a:stretch>
                      <a:fillRect/>
                    </a:stretch>
                  </pic:blipFill>
                  <pic:spPr>
                    <a:xfrm>
                      <a:off x="0" y="0"/>
                      <a:ext cx="6355080" cy="3124824"/>
                    </a:xfrm>
                    <a:prstGeom prst="rect"/>
                  </pic:spPr>
                </pic:pic>
              </a:graphicData>
            </a:graphic>
          </wp:inline>
        </w:drawing>
      </w:r>
    </w:p>
    <w:p>
      <w:pPr>
        <w:keepNext w:val="0"/>
        <w:keepLines w:val="0"/>
        <w:spacing w:before="0" w:after="200" w:line="252" w:lineRule="auto"/>
        <w:jc w:val="center"/>
      </w:pPr>
      <w:r>
        <w:rPr>
          <w:rFonts w:ascii="Arial" w:hAnsi="Arial"/>
          <w:b w:val="0"/>
          <w:i/>
          <w:color w:val="64748B"/>
          <w:sz w:val="19"/>
        </w:rPr>
        <w:t>Figure 2. The paper reports substantial reductions in requests, tokens, latency, and cost across the live workflow study.</w:t>
      </w:r>
    </w:p>
    <w:p>
      <w:pPr>
        <w:keepNext w:val="0"/>
        <w:keepLines w:val="0"/>
        <w:spacing w:before="40" w:after="80" w:line="276" w:lineRule="auto"/>
      </w:pPr>
      <w:r>
        <w:rPr>
          <w:rFonts w:ascii="Arial" w:hAnsi="Arial"/>
          <w:b/>
          <w:i w:val="0"/>
          <w:color w:val="0F172A"/>
          <w:sz w:val="25"/>
        </w:rPr>
        <w:t>Selected headline results</w:t>
      </w:r>
    </w:p>
    <w:tbl>
      <w:tblPr>
        <w:tblStyle w:val="TableGrid"/>
        <w:tblW w:type="auto" w:w="0"/>
        <w:tblLayout w:type="fixed"/>
        <w:tblLook w:firstColumn="1" w:firstRow="1" w:lastColumn="0" w:lastRow="0" w:noHBand="0" w:noVBand="1" w:val="04A0"/>
        <w:tblBorders>
          <w:top w:val="single" w:sz="8" w:space="0" w:color="D6DEE8"/>
          <w:left w:val="single" w:sz="8" w:space="0" w:color="D6DEE8"/>
          <w:bottom w:val="single" w:sz="8" w:space="0" w:color="D6DEE8"/>
          <w:right w:val="single" w:sz="8" w:space="0" w:color="D6DEE8"/>
          <w:insideH w:val="single" w:sz="8" w:space="0" w:color="D6DEE8"/>
          <w:insideV w:val="single" w:sz="8" w:space="0" w:color="D6DEE8"/>
        </w:tblBorders>
      </w:tblPr>
      <w:tblGrid>
        <w:gridCol w:w="4824"/>
        <w:gridCol w:w="4824"/>
      </w:tblGrid>
      <w:tr>
        <w:tc>
          <w:tcPr>
            <w:tcW w:type="dxa" w:w="2160"/>
            <w:tcMar>
              <w:top w:w="120" w:type="dxa"/>
              <w:start w:w="140" w:type="dxa"/>
              <w:bottom w:w="120" w:type="dxa"/>
              <w:end w:w="140" w:type="dxa"/>
            </w:tcMar>
            <w:vAlign w:val="center"/>
            <w:shd w:fill="F8FAFC"/>
          </w:tcPr>
          <w:p>
            <w:pPr>
              <w:keepNext w:val="0"/>
              <w:keepLines w:val="0"/>
              <w:spacing w:before="40" w:after="40" w:line="276" w:lineRule="auto"/>
            </w:pPr>
            <w:r>
              <w:rPr>
                <w:rFonts w:ascii="Arial" w:hAnsi="Arial"/>
                <w:b/>
                <w:i w:val="0"/>
                <w:color w:val="0F172A"/>
                <w:sz w:val="20"/>
              </w:rPr>
              <w:t>Exact contracts</w:t>
            </w:r>
          </w:p>
        </w:tc>
        <w:tc>
          <w:tcPr>
            <w:tcW w:type="dxa" w:w="7344"/>
            <w:tcMar>
              <w:top w:w="120" w:type="dxa"/>
              <w:start w:w="140" w:type="dxa"/>
              <w:bottom w:w="120" w:type="dxa"/>
              <w:end w:w="140" w:type="dxa"/>
            </w:tcMar>
            <w:vAlign w:val="center"/>
            <w:shd w:fill="FFFFFF"/>
          </w:tcPr>
          <w:p>
            <w:pPr>
              <w:keepNext w:val="0"/>
              <w:keepLines w:val="0"/>
              <w:spacing w:before="40" w:after="40" w:line="276" w:lineRule="auto"/>
            </w:pPr>
            <w:r>
              <w:rPr>
                <w:rFonts w:ascii="Arial" w:hAnsi="Arial"/>
                <w:b w:val="0"/>
                <w:i w:val="0"/>
                <w:color w:val="1F2937"/>
                <w:sz w:val="20"/>
              </w:rPr>
              <w:t>90/90 for compiled programs vs. 89/90 for unchanged agents</w:t>
            </w:r>
          </w:p>
        </w:tc>
      </w:tr>
      <w:tr>
        <w:tc>
          <w:tcPr>
            <w:tcW w:type="dxa" w:w="2160"/>
            <w:tcMar>
              <w:top w:w="120" w:type="dxa"/>
              <w:start w:w="140" w:type="dxa"/>
              <w:bottom w:w="120" w:type="dxa"/>
              <w:end w:w="140" w:type="dxa"/>
            </w:tcMar>
            <w:vAlign w:val="center"/>
            <w:shd w:fill="F8FAFC"/>
          </w:tcPr>
          <w:p>
            <w:pPr>
              <w:keepNext w:val="0"/>
              <w:keepLines w:val="0"/>
              <w:spacing w:before="40" w:after="40" w:line="276" w:lineRule="auto"/>
            </w:pPr>
            <w:r>
              <w:rPr>
                <w:rFonts w:ascii="Arial" w:hAnsi="Arial"/>
                <w:b/>
                <w:i w:val="0"/>
                <w:color w:val="0F172A"/>
                <w:sz w:val="20"/>
              </w:rPr>
              <w:t>Compiled-only failures</w:t>
            </w:r>
          </w:p>
        </w:tc>
        <w:tc>
          <w:tcPr>
            <w:tcW w:type="dxa" w:w="7344"/>
            <w:tcMar>
              <w:top w:w="120" w:type="dxa"/>
              <w:start w:w="140" w:type="dxa"/>
              <w:bottom w:w="120" w:type="dxa"/>
              <w:end w:w="140" w:type="dxa"/>
            </w:tcMar>
            <w:vAlign w:val="center"/>
            <w:shd w:fill="FFFFFF"/>
          </w:tcPr>
          <w:p>
            <w:pPr>
              <w:keepNext w:val="0"/>
              <w:keepLines w:val="0"/>
              <w:spacing w:before="40" w:after="40" w:line="276" w:lineRule="auto"/>
            </w:pPr>
            <w:r>
              <w:rPr>
                <w:rFonts w:ascii="Arial" w:hAnsi="Arial"/>
                <w:b w:val="0"/>
                <w:i w:val="0"/>
                <w:color w:val="1F2937"/>
                <w:sz w:val="20"/>
              </w:rPr>
              <w:t>None reported</w:t>
            </w:r>
          </w:p>
        </w:tc>
      </w:tr>
      <w:tr>
        <w:tc>
          <w:tcPr>
            <w:tcW w:type="dxa" w:w="2160"/>
            <w:tcMar>
              <w:top w:w="120" w:type="dxa"/>
              <w:start w:w="140" w:type="dxa"/>
              <w:bottom w:w="120" w:type="dxa"/>
              <w:end w:w="140" w:type="dxa"/>
            </w:tcMar>
            <w:vAlign w:val="center"/>
            <w:shd w:fill="F8FAFC"/>
          </w:tcPr>
          <w:p>
            <w:pPr>
              <w:keepNext w:val="0"/>
              <w:keepLines w:val="0"/>
              <w:spacing w:before="40" w:after="40" w:line="276" w:lineRule="auto"/>
            </w:pPr>
            <w:r>
              <w:rPr>
                <w:rFonts w:ascii="Arial" w:hAnsi="Arial"/>
                <w:b/>
                <w:i w:val="0"/>
                <w:color w:val="0F172A"/>
                <w:sz w:val="20"/>
              </w:rPr>
              <w:t>Pooled discordance upper bound</w:t>
            </w:r>
          </w:p>
        </w:tc>
        <w:tc>
          <w:tcPr>
            <w:tcW w:type="dxa" w:w="7344"/>
            <w:tcMar>
              <w:top w:w="120" w:type="dxa"/>
              <w:start w:w="140" w:type="dxa"/>
              <w:bottom w:w="120" w:type="dxa"/>
              <w:end w:w="140" w:type="dxa"/>
            </w:tcMar>
            <w:vAlign w:val="center"/>
            <w:shd w:fill="FFFFFF"/>
          </w:tcPr>
          <w:p>
            <w:pPr>
              <w:keepNext w:val="0"/>
              <w:keepLines w:val="0"/>
              <w:spacing w:before="40" w:after="40" w:line="276" w:lineRule="auto"/>
            </w:pPr>
            <w:r>
              <w:rPr>
                <w:rFonts w:ascii="Arial" w:hAnsi="Arial"/>
                <w:b w:val="0"/>
                <w:i w:val="0"/>
                <w:color w:val="1F2937"/>
                <w:sz w:val="20"/>
              </w:rPr>
              <w:t>3.3%</w:t>
            </w:r>
          </w:p>
        </w:tc>
      </w:tr>
      <w:tr>
        <w:tc>
          <w:tcPr>
            <w:tcW w:type="dxa" w:w="2160"/>
            <w:tcMar>
              <w:top w:w="120" w:type="dxa"/>
              <w:start w:w="140" w:type="dxa"/>
              <w:bottom w:w="120" w:type="dxa"/>
              <w:end w:w="140" w:type="dxa"/>
            </w:tcMar>
            <w:vAlign w:val="center"/>
            <w:shd w:fill="F8FAFC"/>
          </w:tcPr>
          <w:p>
            <w:pPr>
              <w:keepNext w:val="0"/>
              <w:keepLines w:val="0"/>
              <w:spacing w:before="40" w:after="40" w:line="276" w:lineRule="auto"/>
            </w:pPr>
            <w:r>
              <w:rPr>
                <w:rFonts w:ascii="Arial" w:hAnsi="Arial"/>
                <w:b/>
                <w:i w:val="0"/>
                <w:color w:val="0F172A"/>
                <w:sz w:val="20"/>
              </w:rPr>
              <w:t>Cross-repository extension</w:t>
            </w:r>
          </w:p>
        </w:tc>
        <w:tc>
          <w:tcPr>
            <w:tcW w:type="dxa" w:w="7344"/>
            <w:tcMar>
              <w:top w:w="120" w:type="dxa"/>
              <w:start w:w="140" w:type="dxa"/>
              <w:bottom w:w="120" w:type="dxa"/>
              <w:end w:w="140" w:type="dxa"/>
            </w:tcMar>
            <w:vAlign w:val="center"/>
            <w:shd w:fill="FFFFFF"/>
          </w:tcPr>
          <w:p>
            <w:pPr>
              <w:keepNext w:val="0"/>
              <w:keepLines w:val="0"/>
              <w:spacing w:before="40" w:after="40" w:line="276" w:lineRule="auto"/>
            </w:pPr>
            <w:r>
              <w:rPr>
                <w:rFonts w:ascii="Arial" w:hAnsi="Arial"/>
                <w:b w:val="0"/>
                <w:i w:val="0"/>
                <w:color w:val="1F2937"/>
                <w:sz w:val="20"/>
              </w:rPr>
              <w:t>580/580 exact discovery traces</w:t>
            </w:r>
          </w:p>
        </w:tc>
      </w:tr>
      <w:tr>
        <w:tc>
          <w:tcPr>
            <w:tcW w:type="dxa" w:w="2160"/>
            <w:tcMar>
              <w:top w:w="120" w:type="dxa"/>
              <w:start w:w="140" w:type="dxa"/>
              <w:bottom w:w="120" w:type="dxa"/>
              <w:end w:w="140" w:type="dxa"/>
            </w:tcMar>
            <w:vAlign w:val="center"/>
            <w:shd w:fill="F8FAFC"/>
          </w:tcPr>
          <w:p>
            <w:pPr>
              <w:keepNext w:val="0"/>
              <w:keepLines w:val="0"/>
              <w:spacing w:before="40" w:after="40" w:line="276" w:lineRule="auto"/>
            </w:pPr>
            <w:r>
              <w:rPr>
                <w:rFonts w:ascii="Arial" w:hAnsi="Arial"/>
                <w:b/>
                <w:i w:val="0"/>
                <w:color w:val="0F172A"/>
                <w:sz w:val="20"/>
              </w:rPr>
              <w:t>Balanced rerun</w:t>
            </w:r>
          </w:p>
        </w:tc>
        <w:tc>
          <w:tcPr>
            <w:tcW w:type="dxa" w:w="7344"/>
            <w:tcMar>
              <w:top w:w="120" w:type="dxa"/>
              <w:start w:w="140" w:type="dxa"/>
              <w:bottom w:w="120" w:type="dxa"/>
              <w:end w:w="140" w:type="dxa"/>
            </w:tcMar>
            <w:vAlign w:val="center"/>
            <w:shd w:fill="FFFFFF"/>
          </w:tcPr>
          <w:p>
            <w:pPr>
              <w:keepNext w:val="0"/>
              <w:keepLines w:val="0"/>
              <w:spacing w:before="40" w:after="40" w:line="276" w:lineRule="auto"/>
            </w:pPr>
            <w:r>
              <w:rPr>
                <w:rFonts w:ascii="Arial" w:hAnsi="Arial"/>
                <w:b w:val="0"/>
                <w:i w:val="0"/>
                <w:color w:val="1F2937"/>
                <w:sz w:val="20"/>
              </w:rPr>
              <w:t>360/360 exact discovery traces and 180/180 held-out pairs</w:t>
            </w:r>
          </w:p>
        </w:tc>
      </w:tr>
    </w:tbl>
    <w:p>
      <w:pPr>
        <w:pStyle w:val="Heading1"/>
        <w:keepNext/>
        <w:keepLines w:val="0"/>
        <w:spacing w:before="200" w:after="80" w:line="264" w:lineRule="auto"/>
      </w:pPr>
      <w:r>
        <w:rPr>
          <w:rFonts w:ascii="Arial" w:hAnsi="Arial"/>
          <w:b/>
          <w:i w:val="0"/>
          <w:color w:val="0F172A"/>
          <w:sz w:val="30"/>
        </w:rPr>
        <w:t>What the results do not claim</w:t>
      </w:r>
    </w:p>
    <w:p>
      <w:pPr>
        <w:keepNext w:val="0"/>
        <w:keepLines w:val="0"/>
        <w:spacing w:before="0" w:after="160" w:line="283" w:lineRule="auto"/>
      </w:pPr>
      <w:r>
        <w:rPr>
          <w:rFonts w:ascii="Arial" w:hAnsi="Arial"/>
          <w:b w:val="0"/>
          <w:i w:val="0"/>
          <w:color w:val="1F2937"/>
          <w:sz w:val="22"/>
        </w:rPr>
        <w:t>The paper is careful not to overstate the result. It does not claim semantic equivalence, production certification, automatic API fusion, or universal superiority over hand-written code. It also shows that some benchmark families should retire because the evidence is not strong enough to justify compaction.</w:t>
      </w:r>
    </w:p>
    <w:p>
      <w:pPr>
        <w:keepNext w:val="0"/>
        <w:keepLines w:val="0"/>
        <w:spacing w:before="0" w:after="160" w:line="283" w:lineRule="auto"/>
      </w:pPr>
      <w:r>
        <w:rPr>
          <w:rFonts w:ascii="Arial" w:hAnsi="Arial"/>
          <w:b w:val="0"/>
          <w:i w:val="0"/>
          <w:color w:val="1F2937"/>
          <w:sz w:val="22"/>
        </w:rPr>
        <w:t>That is the part many optimizers miss. In this work, refusal is not a failure mode. Refusal is part of the product. The evidence boundary is the contribution: traces establish recurrence, not admissibility.</w:t>
      </w:r>
    </w:p>
    <w:p>
      <w:pPr>
        <w:keepNext w:val="0"/>
        <w:keepLines w:val="0"/>
        <w:spacing w:before="40" w:after="80" w:line="276" w:lineRule="auto"/>
      </w:pPr>
      <w:r>
        <w:rPr>
          <w:rFonts w:ascii="Arial" w:hAnsi="Arial"/>
          <w:b/>
          <w:i w:val="0"/>
          <w:color w:val="0F172A"/>
          <w:sz w:val="25"/>
        </w:rPr>
        <w:t>Boundaries worth keeping visible</w:t>
      </w:r>
    </w:p>
    <w:tbl>
      <w:tblPr>
        <w:tblStyle w:val="TableGrid"/>
        <w:tblW w:type="auto" w:w="0"/>
        <w:tblLayout w:type="fixed"/>
        <w:tblLook w:firstColumn="1" w:firstRow="1" w:lastColumn="0" w:lastRow="0" w:noHBand="0" w:noVBand="1" w:val="04A0"/>
        <w:tblBorders>
          <w:top w:val="single" w:sz="8" w:space="0" w:color="D6DEE8"/>
          <w:left w:val="single" w:sz="8" w:space="0" w:color="D6DEE8"/>
          <w:bottom w:val="single" w:sz="8" w:space="0" w:color="D6DEE8"/>
          <w:right w:val="single" w:sz="8" w:space="0" w:color="D6DEE8"/>
          <w:insideH w:val="single" w:sz="8" w:space="0" w:color="D6DEE8"/>
          <w:insideV w:val="single" w:sz="8" w:space="0" w:color="D6DEE8"/>
        </w:tblBorders>
      </w:tblPr>
      <w:tblGrid>
        <w:gridCol w:w="4824"/>
        <w:gridCol w:w="4824"/>
      </w:tblGrid>
      <w:tr>
        <w:tc>
          <w:tcPr>
            <w:tcW w:type="dxa" w:w="2160"/>
            <w:tcMar>
              <w:top w:w="120" w:type="dxa"/>
              <w:start w:w="140" w:type="dxa"/>
              <w:bottom w:w="120" w:type="dxa"/>
              <w:end w:w="140" w:type="dxa"/>
            </w:tcMar>
            <w:vAlign w:val="center"/>
            <w:shd w:fill="F8FAFC"/>
          </w:tcPr>
          <w:p>
            <w:pPr>
              <w:keepNext w:val="0"/>
              <w:keepLines w:val="0"/>
              <w:spacing w:before="40" w:after="40" w:line="276" w:lineRule="auto"/>
            </w:pPr>
            <w:r>
              <w:rPr>
                <w:rFonts w:ascii="Arial" w:hAnsi="Arial"/>
                <w:b/>
                <w:i w:val="0"/>
                <w:color w:val="0F172A"/>
                <w:sz w:val="20"/>
              </w:rPr>
              <w:t>Semantic equivalence</w:t>
            </w:r>
          </w:p>
        </w:tc>
        <w:tc>
          <w:tcPr>
            <w:tcW w:type="dxa" w:w="7344"/>
            <w:tcMar>
              <w:top w:w="120" w:type="dxa"/>
              <w:start w:w="140" w:type="dxa"/>
              <w:bottom w:w="120" w:type="dxa"/>
              <w:end w:w="140" w:type="dxa"/>
            </w:tcMar>
            <w:vAlign w:val="center"/>
            <w:shd w:fill="FFF7ED"/>
          </w:tcPr>
          <w:p>
            <w:pPr>
              <w:keepNext w:val="0"/>
              <w:keepLines w:val="0"/>
              <w:spacing w:before="40" w:after="40" w:line="276" w:lineRule="auto"/>
            </w:pPr>
            <w:r>
              <w:rPr>
                <w:rFonts w:ascii="Arial" w:hAnsi="Arial"/>
                <w:b w:val="0"/>
                <w:i w:val="0"/>
                <w:color w:val="9A3412"/>
                <w:sz w:val="20"/>
              </w:rPr>
              <w:t>Not claimed</w:t>
            </w:r>
          </w:p>
        </w:tc>
      </w:tr>
      <w:tr>
        <w:tc>
          <w:tcPr>
            <w:tcW w:type="dxa" w:w="2160"/>
            <w:tcMar>
              <w:top w:w="120" w:type="dxa"/>
              <w:start w:w="140" w:type="dxa"/>
              <w:bottom w:w="120" w:type="dxa"/>
              <w:end w:w="140" w:type="dxa"/>
            </w:tcMar>
            <w:vAlign w:val="center"/>
            <w:shd w:fill="F8FAFC"/>
          </w:tcPr>
          <w:p>
            <w:pPr>
              <w:keepNext w:val="0"/>
              <w:keepLines w:val="0"/>
              <w:spacing w:before="40" w:after="40" w:line="276" w:lineRule="auto"/>
            </w:pPr>
            <w:r>
              <w:rPr>
                <w:rFonts w:ascii="Arial" w:hAnsi="Arial"/>
                <w:b/>
                <w:i w:val="0"/>
                <w:color w:val="0F172A"/>
                <w:sz w:val="20"/>
              </w:rPr>
              <w:t>Production certification</w:t>
            </w:r>
          </w:p>
        </w:tc>
        <w:tc>
          <w:tcPr>
            <w:tcW w:type="dxa" w:w="7344"/>
            <w:tcMar>
              <w:top w:w="120" w:type="dxa"/>
              <w:start w:w="140" w:type="dxa"/>
              <w:bottom w:w="120" w:type="dxa"/>
              <w:end w:w="140" w:type="dxa"/>
            </w:tcMar>
            <w:vAlign w:val="center"/>
            <w:shd w:fill="FFF7ED"/>
          </w:tcPr>
          <w:p>
            <w:pPr>
              <w:keepNext w:val="0"/>
              <w:keepLines w:val="0"/>
              <w:spacing w:before="40" w:after="40" w:line="276" w:lineRule="auto"/>
            </w:pPr>
            <w:r>
              <w:rPr>
                <w:rFonts w:ascii="Arial" w:hAnsi="Arial"/>
                <w:b w:val="0"/>
                <w:i w:val="0"/>
                <w:color w:val="9A3412"/>
                <w:sz w:val="20"/>
              </w:rPr>
              <w:t>Not claimed</w:t>
            </w:r>
          </w:p>
        </w:tc>
      </w:tr>
      <w:tr>
        <w:tc>
          <w:tcPr>
            <w:tcW w:type="dxa" w:w="2160"/>
            <w:tcMar>
              <w:top w:w="120" w:type="dxa"/>
              <w:start w:w="140" w:type="dxa"/>
              <w:bottom w:w="120" w:type="dxa"/>
              <w:end w:w="140" w:type="dxa"/>
            </w:tcMar>
            <w:vAlign w:val="center"/>
            <w:shd w:fill="F8FAFC"/>
          </w:tcPr>
          <w:p>
            <w:pPr>
              <w:keepNext w:val="0"/>
              <w:keepLines w:val="0"/>
              <w:spacing w:before="40" w:after="40" w:line="276" w:lineRule="auto"/>
            </w:pPr>
            <w:r>
              <w:rPr>
                <w:rFonts w:ascii="Arial" w:hAnsi="Arial"/>
                <w:b/>
                <w:i w:val="0"/>
                <w:color w:val="0F172A"/>
                <w:sz w:val="20"/>
              </w:rPr>
              <w:t>Automatic API fusion</w:t>
            </w:r>
          </w:p>
        </w:tc>
        <w:tc>
          <w:tcPr>
            <w:tcW w:type="dxa" w:w="7344"/>
            <w:tcMar>
              <w:top w:w="120" w:type="dxa"/>
              <w:start w:w="140" w:type="dxa"/>
              <w:bottom w:w="120" w:type="dxa"/>
              <w:end w:w="140" w:type="dxa"/>
            </w:tcMar>
            <w:vAlign w:val="center"/>
            <w:shd w:fill="FFF7ED"/>
          </w:tcPr>
          <w:p>
            <w:pPr>
              <w:keepNext w:val="0"/>
              <w:keepLines w:val="0"/>
              <w:spacing w:before="40" w:after="40" w:line="276" w:lineRule="auto"/>
            </w:pPr>
            <w:r>
              <w:rPr>
                <w:rFonts w:ascii="Arial" w:hAnsi="Arial"/>
                <w:b w:val="0"/>
                <w:i w:val="0"/>
                <w:color w:val="9A3412"/>
                <w:sz w:val="20"/>
              </w:rPr>
              <w:t>Not claimed</w:t>
            </w:r>
          </w:p>
        </w:tc>
      </w:tr>
      <w:tr>
        <w:tc>
          <w:tcPr>
            <w:tcW w:type="dxa" w:w="2160"/>
            <w:tcMar>
              <w:top w:w="120" w:type="dxa"/>
              <w:start w:w="140" w:type="dxa"/>
              <w:bottom w:w="120" w:type="dxa"/>
              <w:end w:w="140" w:type="dxa"/>
            </w:tcMar>
            <w:vAlign w:val="center"/>
            <w:shd w:fill="F8FAFC"/>
          </w:tcPr>
          <w:p>
            <w:pPr>
              <w:keepNext w:val="0"/>
              <w:keepLines w:val="0"/>
              <w:spacing w:before="40" w:after="40" w:line="276" w:lineRule="auto"/>
            </w:pPr>
            <w:r>
              <w:rPr>
                <w:rFonts w:ascii="Arial" w:hAnsi="Arial"/>
                <w:b/>
                <w:i w:val="0"/>
                <w:color w:val="0F172A"/>
                <w:sz w:val="20"/>
              </w:rPr>
              <w:t>Universal superiority over hand-written code</w:t>
            </w:r>
          </w:p>
        </w:tc>
        <w:tc>
          <w:tcPr>
            <w:tcW w:type="dxa" w:w="7344"/>
            <w:tcMar>
              <w:top w:w="120" w:type="dxa"/>
              <w:start w:w="140" w:type="dxa"/>
              <w:bottom w:w="120" w:type="dxa"/>
              <w:end w:w="140" w:type="dxa"/>
            </w:tcMar>
            <w:vAlign w:val="center"/>
            <w:shd w:fill="FFF7ED"/>
          </w:tcPr>
          <w:p>
            <w:pPr>
              <w:keepNext w:val="0"/>
              <w:keepLines w:val="0"/>
              <w:spacing w:before="40" w:after="40" w:line="276" w:lineRule="auto"/>
            </w:pPr>
            <w:r>
              <w:rPr>
                <w:rFonts w:ascii="Arial" w:hAnsi="Arial"/>
                <w:b w:val="0"/>
                <w:i w:val="0"/>
                <w:color w:val="9A3412"/>
                <w:sz w:val="20"/>
              </w:rPr>
              <w:t>Not claimed</w:t>
            </w:r>
          </w:p>
        </w:tc>
      </w:tr>
    </w:tbl>
    <w:p>
      <w:pPr>
        <w:keepNext w:val="0"/>
        <w:keepLines w:val="0"/>
        <w:spacing w:before="80" w:after="80" w:line="240" w:lineRule="auto"/>
        <w:jc w:val="center"/>
      </w:pPr>
      <w:r>
        <w:drawing>
          <wp:inline xmlns:a="http://schemas.openxmlformats.org/drawingml/2006/main" xmlns:pic="http://schemas.openxmlformats.org/drawingml/2006/picture">
            <wp:extent cx="6355080" cy="2392786"/>
            <wp:docPr id="4" name="Picture 4"/>
            <wp:cNvGraphicFramePr>
              <a:graphicFrameLocks noChangeAspect="1"/>
            </wp:cNvGraphicFramePr>
            <a:graphic>
              <a:graphicData uri="http://schemas.openxmlformats.org/drawingml/2006/picture">
                <pic:pic>
                  <pic:nvPicPr>
                    <pic:cNvPr id="0" name="takeaway.png"/>
                    <pic:cNvPicPr/>
                  </pic:nvPicPr>
                  <pic:blipFill>
                    <a:blip r:embed="rId12"/>
                    <a:stretch>
                      <a:fillRect/>
                    </a:stretch>
                  </pic:blipFill>
                  <pic:spPr>
                    <a:xfrm>
                      <a:off x="0" y="0"/>
                      <a:ext cx="6355080" cy="2392786"/>
                    </a:xfrm>
                    <a:prstGeom prst="rect"/>
                  </pic:spPr>
                </pic:pic>
              </a:graphicData>
            </a:graphic>
          </wp:inline>
        </w:drawing>
      </w:r>
    </w:p>
    <w:p>
      <w:pPr>
        <w:keepNext w:val="0"/>
        <w:keepLines w:val="0"/>
        <w:spacing w:before="0" w:after="200" w:line="252" w:lineRule="auto"/>
        <w:jc w:val="center"/>
      </w:pPr>
      <w:r>
        <w:rPr>
          <w:rFonts w:ascii="Arial" w:hAnsi="Arial"/>
          <w:b w:val="0"/>
          <w:i/>
          <w:color w:val="64748B"/>
          <w:sz w:val="19"/>
        </w:rPr>
        <w:t>Figure 3. GAC keeps the model where judgment is needed, changes only the licensed deterministic prefix, and refuses unsafe cases.</w:t>
      </w:r>
    </w:p>
    <w:p>
      <w:pPr>
        <w:pStyle w:val="Heading1"/>
        <w:keepNext/>
        <w:keepLines w:val="0"/>
        <w:spacing w:before="200" w:after="80" w:line="264" w:lineRule="auto"/>
      </w:pPr>
      <w:r>
        <w:rPr>
          <w:rFonts w:ascii="Arial" w:hAnsi="Arial"/>
          <w:b/>
          <w:i w:val="0"/>
          <w:color w:val="0F172A"/>
          <w:sz w:val="30"/>
        </w:rPr>
        <w:t>Practical takeaway</w:t>
      </w:r>
    </w:p>
    <w:p>
      <w:pPr>
        <w:keepNext w:val="0"/>
        <w:keepLines w:val="0"/>
        <w:spacing w:before="0" w:after="160" w:line="283" w:lineRule="auto"/>
      </w:pPr>
      <w:r>
        <w:rPr>
          <w:rFonts w:ascii="Arial" w:hAnsi="Arial"/>
          <w:b w:val="0"/>
          <w:i w:val="0"/>
          <w:color w:val="1F2937"/>
          <w:sz w:val="22"/>
        </w:rPr>
        <w:t>For teams building AI agents, the lesson is simple but useful: do not optimize every boundary. Optimize only the boundaries that can be licensed by evidence, and preserve the baseline everywhere else. That keeps the system fast where it can be fast and honest where it must remain flexible.</w:t>
      </w:r>
    </w:p>
    <w:p>
      <w:pPr>
        <w:keepNext w:val="0"/>
        <w:keepLines w:val="0"/>
        <w:spacing w:before="0" w:after="160" w:line="283" w:lineRule="auto"/>
      </w:pPr>
      <w:r>
        <w:rPr>
          <w:rFonts w:ascii="Arial" w:hAnsi="Arial"/>
          <w:b w:val="0"/>
          <w:i w:val="0"/>
          <w:color w:val="1F2937"/>
          <w:sz w:val="22"/>
        </w:rPr>
        <w:t>If your workflow repeats the same read-only prefix, GAC offers a blueprint for turning that prefix into guarded code without removing the model from the loop where judgment is still needed.</w:t>
      </w:r>
    </w:p>
    <w:tbl>
      <w:tblPr>
        <w:tblW w:type="auto" w:w="0"/>
        <w:tblLayout w:type="autofit"/>
        <w:tblLook w:firstColumn="1" w:firstRow="1" w:lastColumn="0" w:lastRow="0" w:noHBand="0" w:noVBand="1" w:val="04A0"/>
        <w:tblBorders>
          <w:top w:val="single" w:sz="10" w:space="0" w:color="0F172A"/>
          <w:left w:val="single" w:sz="10" w:space="0" w:color="0F172A"/>
          <w:bottom w:val="single" w:sz="10" w:space="0" w:color="0F172A"/>
          <w:right w:val="single" w:sz="10" w:space="0" w:color="0F172A"/>
          <w:insideH w:val="single" w:sz="10" w:space="0" w:color="0F172A"/>
          <w:insideV w:val="single" w:sz="10" w:space="0" w:color="0F172A"/>
        </w:tblBorders>
      </w:tblPr>
      <w:tblGrid>
        <w:gridCol w:w="9648"/>
      </w:tblGrid>
      <w:tr>
        <w:tc>
          <w:tcPr>
            <w:tcW w:type="dxa" w:w="9648"/>
            <w:shd w:fill="0F172A"/>
            <w:tcMar>
              <w:top w:w="150" w:type="dxa"/>
              <w:start w:w="180" w:type="dxa"/>
              <w:bottom w:w="150" w:type="dxa"/>
              <w:end w:w="180" w:type="dxa"/>
            </w:tcMar>
          </w:tcPr>
          <w:p>
            <w:pPr>
              <w:keepNext w:val="0"/>
              <w:keepLines w:val="0"/>
              <w:spacing w:before="80" w:after="80" w:line="288" w:lineRule="auto"/>
              <w:jc w:val="center"/>
            </w:pPr>
            <w:r>
              <w:rPr>
                <w:rFonts w:ascii="Arial" w:hAnsi="Arial"/>
                <w:b/>
                <w:i w:val="0"/>
                <w:color w:val="FFFFFF"/>
                <w:sz w:val="25"/>
              </w:rPr>
              <w:t>Optimize only the boundaries that evidence can license. Keep the baseline everywhere else.</w:t>
            </w:r>
          </w:p>
        </w:tc>
      </w:tr>
    </w:tbl>
    <w:p>
      <w:pPr>
        <w:keepNext w:val="0"/>
        <w:keepLines w:val="0"/>
        <w:spacing w:before="200" w:after="0" w:line="240" w:lineRule="auto"/>
        <w:jc w:val="center"/>
      </w:pPr>
      <w:r>
        <w:rPr>
          <w:rFonts w:ascii="Arial" w:hAnsi="Arial"/>
          <w:b w:val="0"/>
          <w:i w:val="0"/>
          <w:color w:val="64748B"/>
          <w:sz w:val="19"/>
        </w:rPr>
        <w:t>Based on the paper Compiling Recurrent Agent Workflows into Guarded Programs by Reza Rahimi.</w:t>
      </w:r>
    </w:p>
    <w:sectPr w:rsidR="00FC693F" w:rsidRPr="0006063C" w:rsidSect="00034616">
      <w:pgSz w:w="12240" w:h="15840"/>
      <w:pgMar w:top="1080"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F172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F172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