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before="0"/>
      </w:pPr>
      <w:r>
        <w:rPr>
          <w:rFonts w:ascii="Calibri" w:cs="Calibri" w:eastAsia="Calibri" w:hAnsi="Calibri"/>
          <w:b/>
          <w:bCs/>
          <w:color w:val="1B3A6B"/>
          <w:sz w:val="54"/>
          <w:szCs w:val="54"/>
        </w:rPr>
        <w:t xml:space="preserve">RAJ VARDHAN KUMAR</w:t>
      </w:r>
    </w:p>
    <w:p>
      <w:pPr>
        <w:spacing w:after="90" w:before="0"/>
      </w:pPr>
      <w:r>
        <w:rPr>
          <w:rFonts w:ascii="Calibri" w:cs="Calibri" w:eastAsia="Calibri" w:hAnsi="Calibri"/>
          <w:color w:val="1D4ED8"/>
          <w:spacing w:val="20"/>
          <w:sz w:val="17"/>
          <w:szCs w:val="17"/>
        </w:rPr>
        <w:t xml:space="preserve">AUDIT &amp; ASSURANCE  |  STATUTORY &amp; CONCURRENT AUDIT  |  ICFR TESTING  |  FINANCIAL REPORTING</w:t>
      </w:r>
    </w:p>
    <w:p>
      <w:pPr>
        <w:pBdr>
          <w:top w:val="single" w:color="1B3A6B" w:sz="8" w:space="1"/>
          <w:bottom w:val="single" w:color="D1D5DB" w:sz="2" w:space="1"/>
        </w:pBdr>
        <w:spacing w:after="0" w:before="0"/>
      </w:pPr>
      <w:r>
        <w:rPr>
          <w:rFonts w:ascii="Calibri" w:cs="Calibri" w:eastAsia="Calibri" w:hAnsi="Calibri"/>
          <w:color w:val="6B7280"/>
          <w:sz w:val="17"/>
          <w:szCs w:val="17"/>
        </w:rPr>
        <w:t xml:space="preserve"> Bengaluru, India  |  Relocating to UK</w:t>
      </w:r>
      <w:r>
        <w:rPr>
          <w:rFonts w:ascii="Calibri" w:cs="Calibri" w:eastAsia="Calibri" w:hAnsi="Calibri"/>
          <w:color w:val="6B7280"/>
          <w:sz w:val="17"/>
          <w:szCs w:val="17"/>
        </w:rPr>
        <w:t xml:space="preserve">   +91-8209360228</w:t>
      </w:r>
      <w:r>
        <w:rPr>
          <w:rFonts w:ascii="Calibri" w:cs="Calibri" w:eastAsia="Calibri" w:hAnsi="Calibri"/>
          <w:color w:val="6B7280"/>
          <w:sz w:val="17"/>
          <w:szCs w:val="17"/>
        </w:rPr>
        <w:t xml:space="preserve">   rrai9081@gmail.com</w:t>
      </w:r>
      <w:r>
        <w:rPr>
          <w:rFonts w:ascii="Calibri" w:cs="Calibri" w:eastAsia="Calibri" w:hAnsi="Calibri"/>
          <w:color w:val="1D4ED8"/>
          <w:sz w:val="17"/>
          <w:szCs w:val="17"/>
        </w:rPr>
        <w:t xml:space="preserve">   linkedin.com/in/raj-vardhan-kumar-775845280</w:t>
      </w:r>
    </w:p>
    <w:p>
      <w:pPr>
        <w:spacing w:after="55" w:before="260"/>
      </w:pPr>
      <w:r>
        <w:rPr>
          <w:rFonts w:ascii="Calibri" w:cs="Calibri" w:eastAsia="Calibri" w:hAnsi="Calibri"/>
          <w:b/>
          <w:bCs/>
          <w:color w:val="1B3A6B"/>
          <w:spacing w:val="50"/>
          <w:sz w:val="21"/>
          <w:szCs w:val="21"/>
        </w:rPr>
        <w:t xml:space="preserve">PROFESSIONAL PROFILE</w:t>
      </w:r>
    </w:p>
    <w:p>
      <w:pPr>
        <w:pBdr>
          <w:bottom w:val="single" w:color="1B3A6B" w:sz="8" w:space="1"/>
        </w:pBdr>
        <w:spacing w:after="0" w:before="60"/>
      </w:pPr>
    </w:p>
    <w:p>
      <w:pPr>
        <w:spacing w:after="55" w:before="100"/>
      </w:pPr>
      <w:r>
        <w:rPr>
          <w:rFonts w:ascii="Calibri" w:cs="Calibri" w:eastAsia="Calibri" w:hAnsi="Calibri"/>
          <w:color w:val="374151"/>
          <w:sz w:val="19"/>
          <w:szCs w:val="19"/>
        </w:rPr>
        <w:t xml:space="preserve">Audit and assurance professional with 2.5+ years of hands-on experience across statutory audit, concurrent bank audit, ICFR testing, internal audit, and financial reporting. Delivered audit engagements for 12+ clients including State Bank of India, IDBI Bank, Central Bank of India, Bank of Baroda, HUDCO, BEML, and two nationally funded research institutions (ICTS–TIFR and NCBS). Reviewed 50–100 bank transactions daily, identified 10+ internal control weaknesses, and independently prepared concurrent audit reports for major public sector corporations. Proficient in Advanced Excel, Power BI, Tally ERP, and SAP FICO. IELTS Band 7.5 (C1 English) — fully eligible to work in the UK. Targeting audit, assurance, and financial analyst roles within Big 4 or mid-tier professional services firms in the United Kingdom.</w:t>
      </w:r>
    </w:p>
    <w:p>
      <w:pPr>
        <w:spacing w:after="55" w:before="260"/>
      </w:pPr>
      <w:r>
        <w:rPr>
          <w:rFonts w:ascii="Calibri" w:cs="Calibri" w:eastAsia="Calibri" w:hAnsi="Calibri"/>
          <w:b/>
          <w:bCs/>
          <w:color w:val="1B3A6B"/>
          <w:spacing w:val="50"/>
          <w:sz w:val="21"/>
          <w:szCs w:val="21"/>
        </w:rPr>
        <w:t xml:space="preserve">KEY ACHIEVEMENTS</w:t>
      </w:r>
    </w:p>
    <w:p>
      <w:pPr>
        <w:pBdr>
          <w:bottom w:val="single" w:color="1B3A6B" w:sz="8" w:space="1"/>
        </w:pBdr>
        <w:spacing w:after="0" w:before="60"/>
      </w:pPr>
    </w:p>
    <w:p>
      <w:pPr>
        <w:pStyle w:val="ListParagraph"/>
        <w:numPr>
          <w:ilvl w:val="0"/>
          <w:numId w:val="2"/>
        </w:numPr>
        <w:spacing w:after="42" w:before="42"/>
      </w:pPr>
      <w:r>
        <w:rPr>
          <w:rFonts w:ascii="Calibri" w:cs="Calibri" w:eastAsia="Calibri" w:hAnsi="Calibri"/>
          <w:color w:val="374151"/>
          <w:sz w:val="19"/>
          <w:szCs w:val="19"/>
        </w:rPr>
        <w:t xml:space="preserve">Independently prepared and submitted concurrent audit reports for BEML (Bharat Earth Movers Limited) and HUDCO (Housing and Urban Development Corporation) — major GoI public sector corporations — covering financial controls, compliance review, and management observations.</w:t>
      </w:r>
    </w:p>
    <w:p>
      <w:pPr>
        <w:pStyle w:val="ListParagraph"/>
        <w:numPr>
          <w:ilvl w:val="0"/>
          <w:numId w:val="2"/>
        </w:numPr>
        <w:spacing w:after="42" w:before="42"/>
      </w:pPr>
      <w:r>
        <w:rPr>
          <w:rFonts w:ascii="Calibri" w:cs="Calibri" w:eastAsia="Calibri" w:hAnsi="Calibri"/>
          <w:color w:val="374151"/>
          <w:sz w:val="19"/>
          <w:szCs w:val="19"/>
        </w:rPr>
        <w:t xml:space="preserve">Reviewed 50–100 transactions daily across concurrent bank audit assignments for IDBI Bank, Central Bank of India, and Bank of Baroda, maintaining zero material misstatements and zero escalations across all cycles.</w:t>
      </w:r>
    </w:p>
    <w:p>
      <w:pPr>
        <w:pStyle w:val="ListParagraph"/>
        <w:numPr>
          <w:ilvl w:val="0"/>
          <w:numId w:val="2"/>
        </w:numPr>
        <w:spacing w:after="42" w:before="42"/>
      </w:pPr>
      <w:r>
        <w:rPr>
          <w:rFonts w:ascii="Calibri" w:cs="Calibri" w:eastAsia="Calibri" w:hAnsi="Calibri"/>
          <w:color w:val="374151"/>
          <w:sz w:val="19"/>
          <w:szCs w:val="19"/>
        </w:rPr>
        <w:t xml:space="preserve">Executed statutory audit of State Bank of India (SBI), India's largest public sector bank, covering branch financials, loan portfolio review, and RBI regulatory compliance.</w:t>
      </w:r>
    </w:p>
    <w:p>
      <w:pPr>
        <w:pStyle w:val="ListParagraph"/>
        <w:numPr>
          <w:ilvl w:val="0"/>
          <w:numId w:val="2"/>
        </w:numPr>
        <w:spacing w:after="42" w:before="42"/>
      </w:pPr>
      <w:r>
        <w:rPr>
          <w:rFonts w:ascii="Calibri" w:cs="Calibri" w:eastAsia="Calibri" w:hAnsi="Calibri"/>
          <w:color w:val="374151"/>
          <w:sz w:val="19"/>
          <w:szCs w:val="19"/>
        </w:rPr>
        <w:t xml:space="preserve">Led statutory audit fieldwork for ICTS–TIFR and NCBS — two of India's most prestigious GoI-funded scientific research institutions — covering grant compliance, financial statement review, and multi-fund ledger scrutiny.</w:t>
      </w:r>
    </w:p>
    <w:p>
      <w:pPr>
        <w:pStyle w:val="ListParagraph"/>
        <w:numPr>
          <w:ilvl w:val="0"/>
          <w:numId w:val="2"/>
        </w:numPr>
        <w:spacing w:after="42" w:before="42"/>
      </w:pPr>
      <w:r>
        <w:rPr>
          <w:rFonts w:ascii="Calibri" w:cs="Calibri" w:eastAsia="Calibri" w:hAnsi="Calibri"/>
          <w:color w:val="374151"/>
          <w:sz w:val="19"/>
          <w:szCs w:val="19"/>
        </w:rPr>
        <w:t xml:space="preserve">Identified and documented 10+ ICFR control weaknesses with risk ratings and management-letter-ready remediation recommendations, directly strengthening client internal control frameworks.</w:t>
      </w:r>
    </w:p>
    <w:p>
      <w:pPr>
        <w:pStyle w:val="ListParagraph"/>
        <w:numPr>
          <w:ilvl w:val="0"/>
          <w:numId w:val="2"/>
        </w:numPr>
        <w:spacing w:after="42" w:before="42"/>
      </w:pPr>
      <w:r>
        <w:rPr>
          <w:rFonts w:ascii="Calibri" w:cs="Calibri" w:eastAsia="Calibri" w:hAnsi="Calibri"/>
          <w:color w:val="374151"/>
          <w:sz w:val="19"/>
          <w:szCs w:val="19"/>
        </w:rPr>
        <w:t xml:space="preserve">Built Power BI dashboards and Advanced Excel models that automated client reporting, reducing manual effort by ~30% across monthly cycles.</w:t>
      </w:r>
    </w:p>
    <w:p>
      <w:pPr>
        <w:pStyle w:val="ListParagraph"/>
        <w:numPr>
          <w:ilvl w:val="0"/>
          <w:numId w:val="2"/>
        </w:numPr>
        <w:spacing w:after="42" w:before="42"/>
      </w:pPr>
      <w:r>
        <w:rPr>
          <w:rFonts w:ascii="Calibri" w:cs="Calibri" w:eastAsia="Calibri" w:hAnsi="Calibri"/>
          <w:color w:val="374151"/>
          <w:sz w:val="19"/>
          <w:szCs w:val="19"/>
        </w:rPr>
        <w:t xml:space="preserve">Achieved 100% on-time statutory filing rate across GST, ITR, and GSTR returns for the entire client portfolio — zero penalty notices throughout.</w:t>
      </w:r>
    </w:p>
    <w:p>
      <w:pPr>
        <w:pStyle w:val="ListParagraph"/>
        <w:numPr>
          <w:ilvl w:val="0"/>
          <w:numId w:val="2"/>
        </w:numPr>
        <w:spacing w:after="42" w:before="42"/>
      </w:pPr>
      <w:r>
        <w:rPr>
          <w:rFonts w:ascii="Calibri" w:cs="Calibri" w:eastAsia="Calibri" w:hAnsi="Calibri"/>
          <w:color w:val="374151"/>
          <w:sz w:val="19"/>
          <w:szCs w:val="19"/>
        </w:rPr>
        <w:t xml:space="preserve">Awarded Certificate of Appreciation by Help To Cure Foundation for 6 months of pro-bono accounting support, contributing entirely outside working hours.</w:t>
      </w:r>
    </w:p>
    <w:p>
      <w:pPr>
        <w:spacing w:after="55" w:before="260"/>
      </w:pPr>
      <w:r>
        <w:rPr>
          <w:rFonts w:ascii="Calibri" w:cs="Calibri" w:eastAsia="Calibri" w:hAnsi="Calibri"/>
          <w:b/>
          <w:bCs/>
          <w:color w:val="1B3A6B"/>
          <w:spacing w:val="50"/>
          <w:sz w:val="21"/>
          <w:szCs w:val="21"/>
        </w:rPr>
        <w:t xml:space="preserve">WORK EXPERIENCE</w:t>
      </w:r>
    </w:p>
    <w:p>
      <w:pPr>
        <w:pBdr>
          <w:bottom w:val="single" w:color="1B3A6B" w:sz="8" w:space="1"/>
        </w:pBdr>
        <w:spacing w:after="0" w:before="60"/>
      </w:pPr>
    </w:p>
    <w:p>
      <w:pPr>
        <w:tabs>
          <w:tab w:val="right" w:pos="9026"/>
        </w:tabs>
        <w:spacing w:after="30" w:before="180"/>
      </w:pPr>
      <w:r>
        <w:rPr>
          <w:rFonts w:ascii="Calibri" w:cs="Calibri" w:eastAsia="Calibri" w:hAnsi="Calibri"/>
          <w:b/>
          <w:bCs/>
          <w:color w:val="111827"/>
          <w:sz w:val="21"/>
          <w:szCs w:val="21"/>
        </w:rPr>
        <w:t xml:space="preserve">Audit Associate / Concurrent Auditor</w:t>
      </w:r>
      <w:r>
        <w:rPr>
          <w:rFonts w:ascii="Calibri" w:cs="Calibri" w:eastAsia="Calibri" w:hAnsi="Calibri"/>
          <w:color w:val="6B7280"/>
          <w:sz w:val="19"/>
          <w:szCs w:val="19"/>
        </w:rPr>
        <w:t xml:space="preserve">  ·  </w:t>
      </w:r>
      <w:r>
        <w:rPr>
          <w:rFonts w:ascii="Calibri" w:cs="Calibri" w:eastAsia="Calibri" w:hAnsi="Calibri"/>
          <w:b/>
          <w:bCs/>
          <w:color w:val="1D4ED8"/>
          <w:sz w:val="19"/>
          <w:szCs w:val="19"/>
        </w:rPr>
        <w:t xml:space="preserve">N. Tatia and Associates</w:t>
      </w:r>
      <w:r>
        <w:rPr>
          <w:rFonts w:ascii="Calibri" w:cs="Calibri" w:eastAsia="Calibri" w:hAnsi="Calibri"/>
          <w:color w:val="6B7280"/>
          <w:sz w:val="18"/>
          <w:szCs w:val="18"/>
        </w:rPr>
        <w:t xml:space="preserve">  ·  Bengaluru, India</w:t>
      </w:r>
      <w:r>
        <w:rPr>
          <w:sz w:val="19"/>
          <w:szCs w:val="19"/>
        </w:rPr>
        <w:t xml:space="preserve">	</w:t>
      </w:r>
      <w:r>
        <w:rPr>
          <w:rFonts w:ascii="Calibri" w:cs="Calibri" w:eastAsia="Calibri" w:hAnsi="Calibri"/>
          <w:i/>
          <w:iCs/>
          <w:color w:val="6B7280"/>
          <w:sz w:val="18"/>
          <w:szCs w:val="18"/>
        </w:rPr>
        <w:t xml:space="preserve">Feb 2025 – Present</w:t>
      </w:r>
    </w:p>
    <w:p>
      <w:pPr>
        <w:spacing w:after="35" w:before="0"/>
      </w:pPr>
      <w:r>
        <w:rPr>
          <w:rFonts w:ascii="Calibri" w:cs="Calibri" w:eastAsia="Calibri" w:hAnsi="Calibri"/>
          <w:i/>
          <w:iCs/>
          <w:color w:val="6B7280"/>
          <w:sz w:val="17"/>
          <w:szCs w:val="17"/>
        </w:rPr>
        <w:t xml:space="preserve">Full-time · Statutory Audit · Concurrent Audit · Internal Audit · ICFR</w:t>
      </w:r>
    </w:p>
    <w:p>
      <w:pPr>
        <w:pStyle w:val="ListParagraph"/>
        <w:numPr>
          <w:ilvl w:val="0"/>
          <w:numId w:val="2"/>
        </w:numPr>
        <w:spacing w:after="42" w:before="42"/>
      </w:pPr>
      <w:r>
        <w:rPr>
          <w:rFonts w:ascii="Calibri" w:cs="Calibri" w:eastAsia="Calibri" w:hAnsi="Calibri"/>
          <w:color w:val="374151"/>
          <w:sz w:val="19"/>
          <w:szCs w:val="19"/>
        </w:rPr>
        <w:t xml:space="preserve">Delivered statutory, concurrent, and internal audits across 12+ corporate and banking clients spanning banking, research, manufacturing, healthcare, and financial services sectors.</w:t>
      </w:r>
    </w:p>
    <w:p>
      <w:pPr>
        <w:pStyle w:val="ListParagraph"/>
        <w:numPr>
          <w:ilvl w:val="0"/>
          <w:numId w:val="2"/>
        </w:numPr>
        <w:spacing w:after="42" w:before="42"/>
      </w:pPr>
      <w:r>
        <w:rPr>
          <w:rFonts w:ascii="Calibri" w:cs="Calibri" w:eastAsia="Calibri" w:hAnsi="Calibri"/>
          <w:color w:val="374151"/>
          <w:sz w:val="19"/>
          <w:szCs w:val="19"/>
        </w:rPr>
        <w:t xml:space="preserve">Executed concurrent audits for IDBI Bank, Central Bank of India, and Bank of Baroda — reviewing 50–100 transactions daily covering cash operations, loan documentation, NPA classification, and RBI regulatory compliance. Zero escalations across all assignments.</w:t>
      </w:r>
    </w:p>
    <w:p>
      <w:pPr>
        <w:pStyle w:val="ListParagraph"/>
        <w:numPr>
          <w:ilvl w:val="0"/>
          <w:numId w:val="2"/>
        </w:numPr>
        <w:spacing w:after="42" w:before="42"/>
      </w:pPr>
      <w:r>
        <w:rPr>
          <w:rFonts w:ascii="Calibri" w:cs="Calibri" w:eastAsia="Calibri" w:hAnsi="Calibri"/>
          <w:color w:val="374151"/>
          <w:sz w:val="19"/>
          <w:szCs w:val="19"/>
        </w:rPr>
        <w:t xml:space="preserve">Independently prepared and submitted concurrent audit reports for Bharat Earth Movers Limited (BEML) and Housing and Urban Development Corporation (HUDCO), covering financial controls, compliance review, and management observations.</w:t>
      </w:r>
    </w:p>
    <w:p>
      <w:pPr>
        <w:pStyle w:val="ListParagraph"/>
        <w:numPr>
          <w:ilvl w:val="0"/>
          <w:numId w:val="2"/>
        </w:numPr>
        <w:spacing w:after="42" w:before="42"/>
      </w:pPr>
      <w:r>
        <w:rPr>
          <w:rFonts w:ascii="Calibri" w:cs="Calibri" w:eastAsia="Calibri" w:hAnsi="Calibri"/>
          <w:color w:val="374151"/>
          <w:sz w:val="19"/>
          <w:szCs w:val="19"/>
        </w:rPr>
        <w:t xml:space="preserve">Conducted statutory audit of State Bank of India (SBI), India's largest public sector bank, covering branch financials, loan portfolio review, and RBI compliance verification.</w:t>
      </w:r>
    </w:p>
    <w:p>
      <w:pPr>
        <w:pStyle w:val="ListParagraph"/>
        <w:numPr>
          <w:ilvl w:val="0"/>
          <w:numId w:val="2"/>
        </w:numPr>
        <w:spacing w:after="42" w:before="42"/>
      </w:pPr>
      <w:r>
        <w:rPr>
          <w:rFonts w:ascii="Calibri" w:cs="Calibri" w:eastAsia="Calibri" w:hAnsi="Calibri"/>
          <w:color w:val="374151"/>
          <w:sz w:val="19"/>
          <w:szCs w:val="19"/>
        </w:rPr>
        <w:t xml:space="preserve">Led statutory audit of ICTS–TIFR (International Centre for Theoretical Sciences, GoI-funded) and NCBS (National Centre for Biological Sciences) — performing financial statement review, research grant compliance testing, and multi-fund ledger scrutiny.</w:t>
      </w:r>
    </w:p>
    <w:p>
      <w:pPr>
        <w:pStyle w:val="ListParagraph"/>
        <w:numPr>
          <w:ilvl w:val="0"/>
          <w:numId w:val="2"/>
        </w:numPr>
        <w:spacing w:after="42" w:before="42"/>
      </w:pPr>
      <w:r>
        <w:rPr>
          <w:rFonts w:ascii="Calibri" w:cs="Calibri" w:eastAsia="Calibri" w:hAnsi="Calibri"/>
          <w:color w:val="374151"/>
          <w:sz w:val="19"/>
          <w:szCs w:val="19"/>
        </w:rPr>
        <w:t xml:space="preserve">Performed internal audit for Kems Motor Corp, Chord Hospital, Milestone Aluminium, and Devmantra Financial Services — covering operational controls, risk assessment, and process compliance across manufacturing, healthcare, and financial services.</w:t>
      </w:r>
    </w:p>
    <w:p>
      <w:pPr>
        <w:pStyle w:val="ListParagraph"/>
        <w:numPr>
          <w:ilvl w:val="0"/>
          <w:numId w:val="2"/>
        </w:numPr>
        <w:spacing w:after="42" w:before="42"/>
      </w:pPr>
      <w:r>
        <w:rPr>
          <w:rFonts w:ascii="Calibri" w:cs="Calibri" w:eastAsia="Calibri" w:hAnsi="Calibri"/>
          <w:color w:val="374151"/>
          <w:sz w:val="19"/>
          <w:szCs w:val="19"/>
        </w:rPr>
        <w:t xml:space="preserve">Executed ICFR testing across 10+ control processes; documented deficiencies with risk ratings and management-letter-ready remediation recommendations.</w:t>
      </w:r>
    </w:p>
    <w:p>
      <w:pPr>
        <w:pStyle w:val="ListParagraph"/>
        <w:numPr>
          <w:ilvl w:val="0"/>
          <w:numId w:val="2"/>
        </w:numPr>
        <w:spacing w:after="42" w:before="42"/>
      </w:pPr>
      <w:r>
        <w:rPr>
          <w:rFonts w:ascii="Calibri" w:cs="Calibri" w:eastAsia="Calibri" w:hAnsi="Calibri"/>
          <w:color w:val="374151"/>
          <w:sz w:val="19"/>
          <w:szCs w:val="19"/>
        </w:rPr>
        <w:t xml:space="preserve">Built Advanced Excel models (VLOOKUP, Pivot Tables, nested formulas) and Power BI dashboards that automated client reporting, reducing manual effort by ~30%.</w:t>
      </w:r>
    </w:p>
    <w:p>
      <w:pPr>
        <w:pStyle w:val="ListParagraph"/>
        <w:numPr>
          <w:ilvl w:val="0"/>
          <w:numId w:val="2"/>
        </w:numPr>
        <w:spacing w:after="42" w:before="42"/>
      </w:pPr>
      <w:r>
        <w:rPr>
          <w:rFonts w:ascii="Calibri" w:cs="Calibri" w:eastAsia="Calibri" w:hAnsi="Calibri"/>
          <w:color w:val="374151"/>
          <w:sz w:val="19"/>
          <w:szCs w:val="19"/>
        </w:rPr>
        <w:t xml:space="preserve">Filed GST, FSSAI, ITR, GSTR-3B, and GSTR-8 returns across the client portfolio with 100% on-time submission and zero penalty notices.</w:t>
      </w:r>
    </w:p>
    <w:p>
      <w:pPr>
        <w:tabs>
          <w:tab w:val="right" w:pos="9026"/>
        </w:tabs>
        <w:spacing w:after="30" w:before="180"/>
      </w:pPr>
      <w:r>
        <w:rPr>
          <w:rFonts w:ascii="Calibri" w:cs="Calibri" w:eastAsia="Calibri" w:hAnsi="Calibri"/>
          <w:b/>
          <w:bCs/>
          <w:color w:val="111827"/>
          <w:sz w:val="21"/>
          <w:szCs w:val="21"/>
        </w:rPr>
        <w:t xml:space="preserve">Contract Accounting &amp; Audit Consultant</w:t>
      </w:r>
      <w:r>
        <w:rPr>
          <w:rFonts w:ascii="Calibri" w:cs="Calibri" w:eastAsia="Calibri" w:hAnsi="Calibri"/>
          <w:color w:val="6B7280"/>
          <w:sz w:val="19"/>
          <w:szCs w:val="19"/>
        </w:rPr>
        <w:t xml:space="preserve">  ·  </w:t>
      </w:r>
      <w:r>
        <w:rPr>
          <w:rFonts w:ascii="Calibri" w:cs="Calibri" w:eastAsia="Calibri" w:hAnsi="Calibri"/>
          <w:b/>
          <w:bCs/>
          <w:color w:val="1D4ED8"/>
          <w:sz w:val="19"/>
          <w:szCs w:val="19"/>
        </w:rPr>
        <w:t xml:space="preserve">UNI Orbit Technologies</w:t>
      </w:r>
      <w:r>
        <w:rPr>
          <w:rFonts w:ascii="Calibri" w:cs="Calibri" w:eastAsia="Calibri" w:hAnsi="Calibri"/>
          <w:color w:val="6B7280"/>
          <w:sz w:val="18"/>
          <w:szCs w:val="18"/>
        </w:rPr>
        <w:t xml:space="preserve">  ·  Bengaluru, India</w:t>
      </w:r>
      <w:r>
        <w:rPr>
          <w:sz w:val="19"/>
          <w:szCs w:val="19"/>
        </w:rPr>
        <w:t xml:space="preserve">	</w:t>
      </w:r>
      <w:r>
        <w:rPr>
          <w:rFonts w:ascii="Calibri" w:cs="Calibri" w:eastAsia="Calibri" w:hAnsi="Calibri"/>
          <w:i/>
          <w:iCs/>
          <w:color w:val="6B7280"/>
          <w:sz w:val="18"/>
          <w:szCs w:val="18"/>
        </w:rPr>
        <w:t xml:space="preserve">Aug 2024 – Jan 2025</w:t>
      </w:r>
    </w:p>
    <w:p>
      <w:pPr>
        <w:spacing w:after="35" w:before="0"/>
      </w:pPr>
      <w:r>
        <w:rPr>
          <w:rFonts w:ascii="Calibri" w:cs="Calibri" w:eastAsia="Calibri" w:hAnsi="Calibri"/>
          <w:i/>
          <w:iCs/>
          <w:color w:val="6B7280"/>
          <w:sz w:val="17"/>
          <w:szCs w:val="17"/>
        </w:rPr>
        <w:t xml:space="preserve">Contract (6 months on-site) · Placed via N. Tatia and Associates</w:t>
      </w:r>
    </w:p>
    <w:p>
      <w:pPr>
        <w:pStyle w:val="ListParagraph"/>
        <w:numPr>
          <w:ilvl w:val="0"/>
          <w:numId w:val="2"/>
        </w:numPr>
        <w:spacing w:after="42" w:before="42"/>
      </w:pPr>
      <w:r>
        <w:rPr>
          <w:rFonts w:ascii="Calibri" w:cs="Calibri" w:eastAsia="Calibri" w:hAnsi="Calibri"/>
          <w:color w:val="374151"/>
          <w:sz w:val="19"/>
          <w:szCs w:val="19"/>
        </w:rPr>
        <w:t xml:space="preserve">Managed full-cycle bookkeeping and financial record maintenance using Tally ERP, ensuring accurate and audit-ready ledgers throughout the engagement.</w:t>
      </w:r>
    </w:p>
    <w:p>
      <w:pPr>
        <w:pStyle w:val="ListParagraph"/>
        <w:numPr>
          <w:ilvl w:val="0"/>
          <w:numId w:val="2"/>
        </w:numPr>
        <w:spacing w:after="42" w:before="42"/>
      </w:pPr>
      <w:r>
        <w:rPr>
          <w:rFonts w:ascii="Calibri" w:cs="Calibri" w:eastAsia="Calibri" w:hAnsi="Calibri"/>
          <w:color w:val="374151"/>
          <w:sz w:val="19"/>
          <w:szCs w:val="19"/>
        </w:rPr>
        <w:t xml:space="preserve">Prepared and reconciled monthly accounts, identifying and resolving discrepancies before close — zero unresolved items at month-end across the entire engagement.</w:t>
      </w:r>
    </w:p>
    <w:p>
      <w:pPr>
        <w:pStyle w:val="ListParagraph"/>
        <w:numPr>
          <w:ilvl w:val="0"/>
          <w:numId w:val="2"/>
        </w:numPr>
        <w:spacing w:after="42" w:before="42"/>
      </w:pPr>
      <w:r>
        <w:rPr>
          <w:rFonts w:ascii="Calibri" w:cs="Calibri" w:eastAsia="Calibri" w:hAnsi="Calibri"/>
          <w:color w:val="374151"/>
          <w:sz w:val="19"/>
          <w:szCs w:val="19"/>
        </w:rPr>
        <w:t xml:space="preserve">Coordinated audit documentation and supported the external audit process end-to-end, achieving full audit readiness with zero deferred findings at engagement close.</w:t>
      </w:r>
    </w:p>
    <w:p>
      <w:pPr>
        <w:pStyle w:val="ListParagraph"/>
        <w:numPr>
          <w:ilvl w:val="0"/>
          <w:numId w:val="2"/>
        </w:numPr>
        <w:spacing w:after="42" w:before="42"/>
      </w:pPr>
      <w:r>
        <w:rPr>
          <w:rFonts w:ascii="Calibri" w:cs="Calibri" w:eastAsia="Calibri" w:hAnsi="Calibri"/>
          <w:color w:val="374151"/>
          <w:sz w:val="19"/>
          <w:szCs w:val="19"/>
        </w:rPr>
        <w:t xml:space="preserve">Strengthened internal controls by documenting accounting procedures and flagging process gaps to management with recommended corrective actions.</w:t>
      </w:r>
    </w:p>
    <w:p>
      <w:pPr>
        <w:pStyle w:val="ListParagraph"/>
        <w:numPr>
          <w:ilvl w:val="0"/>
          <w:numId w:val="2"/>
        </w:numPr>
        <w:spacing w:after="42" w:before="42"/>
      </w:pPr>
      <w:r>
        <w:rPr>
          <w:rFonts w:ascii="Calibri" w:cs="Calibri" w:eastAsia="Calibri" w:hAnsi="Calibri"/>
          <w:color w:val="374151"/>
          <w:sz w:val="19"/>
          <w:szCs w:val="19"/>
        </w:rPr>
        <w:t xml:space="preserve">Delivered a structured handover report on completion, enabling a seamless transition to the in-house finance team.</w:t>
      </w:r>
    </w:p>
    <w:p>
      <w:pPr>
        <w:tabs>
          <w:tab w:val="right" w:pos="9026"/>
        </w:tabs>
        <w:spacing w:after="30" w:before="180"/>
      </w:pPr>
      <w:r>
        <w:rPr>
          <w:rFonts w:ascii="Calibri" w:cs="Calibri" w:eastAsia="Calibri" w:hAnsi="Calibri"/>
          <w:b/>
          <w:bCs/>
          <w:color w:val="111827"/>
          <w:sz w:val="21"/>
          <w:szCs w:val="21"/>
        </w:rPr>
        <w:t xml:space="preserve">Accounting Intern</w:t>
      </w:r>
      <w:r>
        <w:rPr>
          <w:rFonts w:ascii="Calibri" w:cs="Calibri" w:eastAsia="Calibri" w:hAnsi="Calibri"/>
          <w:color w:val="6B7280"/>
          <w:sz w:val="19"/>
          <w:szCs w:val="19"/>
        </w:rPr>
        <w:t xml:space="preserve">  ·  </w:t>
      </w:r>
      <w:r>
        <w:rPr>
          <w:rFonts w:ascii="Calibri" w:cs="Calibri" w:eastAsia="Calibri" w:hAnsi="Calibri"/>
          <w:b/>
          <w:bCs/>
          <w:color w:val="1D4ED8"/>
          <w:sz w:val="19"/>
          <w:szCs w:val="19"/>
        </w:rPr>
        <w:t xml:space="preserve">L. Krishna Moorthy and Co.</w:t>
      </w:r>
      <w:r>
        <w:rPr>
          <w:rFonts w:ascii="Calibri" w:cs="Calibri" w:eastAsia="Calibri" w:hAnsi="Calibri"/>
          <w:color w:val="6B7280"/>
          <w:sz w:val="18"/>
          <w:szCs w:val="18"/>
        </w:rPr>
        <w:t xml:space="preserve">  ·  Bengaluru, India</w:t>
      </w:r>
      <w:r>
        <w:rPr>
          <w:sz w:val="19"/>
          <w:szCs w:val="19"/>
        </w:rPr>
        <w:t xml:space="preserve">	</w:t>
      </w:r>
      <w:r>
        <w:rPr>
          <w:rFonts w:ascii="Calibri" w:cs="Calibri" w:eastAsia="Calibri" w:hAnsi="Calibri"/>
          <w:i/>
          <w:iCs/>
          <w:color w:val="6B7280"/>
          <w:sz w:val="18"/>
          <w:szCs w:val="18"/>
        </w:rPr>
        <w:t xml:space="preserve">Aug 2024 – Feb 2025</w:t>
      </w:r>
    </w:p>
    <w:p>
      <w:pPr>
        <w:spacing w:after="35" w:before="0"/>
      </w:pPr>
      <w:r>
        <w:rPr>
          <w:rFonts w:ascii="Calibri" w:cs="Calibri" w:eastAsia="Calibri" w:hAnsi="Calibri"/>
          <w:i/>
          <w:iCs/>
          <w:color w:val="6B7280"/>
          <w:sz w:val="17"/>
          <w:szCs w:val="17"/>
        </w:rPr>
        <w:t xml:space="preserve">Internship · Statutory Filings · Client Accounting · Compliance</w:t>
      </w:r>
    </w:p>
    <w:p>
      <w:pPr>
        <w:pStyle w:val="ListParagraph"/>
        <w:numPr>
          <w:ilvl w:val="0"/>
          <w:numId w:val="2"/>
        </w:numPr>
        <w:spacing w:after="42" w:before="42"/>
      </w:pPr>
      <w:r>
        <w:rPr>
          <w:rFonts w:ascii="Calibri" w:cs="Calibri" w:eastAsia="Calibri" w:hAnsi="Calibri"/>
          <w:color w:val="374151"/>
          <w:sz w:val="19"/>
          <w:szCs w:val="19"/>
        </w:rPr>
        <w:t xml:space="preserve">Executed 8+ statutory filings — ITR, GSTR-3B, GSTR-8, GST and FSSAI registrations — achieving a 100% on-time submission record with zero penalty notices across the tenure.</w:t>
      </w:r>
    </w:p>
    <w:p>
      <w:pPr>
        <w:pStyle w:val="ListParagraph"/>
        <w:numPr>
          <w:ilvl w:val="0"/>
          <w:numId w:val="2"/>
        </w:numPr>
        <w:spacing w:after="42" w:before="42"/>
      </w:pPr>
      <w:r>
        <w:rPr>
          <w:rFonts w:ascii="Calibri" w:cs="Calibri" w:eastAsia="Calibri" w:hAnsi="Calibri"/>
          <w:color w:val="374151"/>
          <w:sz w:val="19"/>
          <w:szCs w:val="19"/>
        </w:rPr>
        <w:t xml:space="preserve">Maintained client accounting ledgers in Tally ERP for 10+ accounts, reducing year-end reconciliation time by approximately 15%.</w:t>
      </w:r>
    </w:p>
    <w:p>
      <w:pPr>
        <w:pStyle w:val="ListParagraph"/>
        <w:numPr>
          <w:ilvl w:val="0"/>
          <w:numId w:val="2"/>
        </w:numPr>
        <w:spacing w:after="42" w:before="42"/>
      </w:pPr>
      <w:r>
        <w:rPr>
          <w:rFonts w:ascii="Calibri" w:cs="Calibri" w:eastAsia="Calibri" w:hAnsi="Calibri"/>
          <w:color w:val="374151"/>
          <w:sz w:val="19"/>
          <w:szCs w:val="19"/>
        </w:rPr>
        <w:t xml:space="preserve">Developed Excel-based compliance trackers monitoring filing deadlines across the client portfolio, eliminating missed-deadline risk.</w:t>
      </w:r>
    </w:p>
    <w:p>
      <w:pPr>
        <w:pStyle w:val="ListParagraph"/>
        <w:numPr>
          <w:ilvl w:val="0"/>
          <w:numId w:val="2"/>
        </w:numPr>
        <w:spacing w:after="42" w:before="42"/>
      </w:pPr>
      <w:r>
        <w:rPr>
          <w:rFonts w:ascii="Calibri" w:cs="Calibri" w:eastAsia="Calibri" w:hAnsi="Calibri"/>
          <w:color w:val="374151"/>
          <w:sz w:val="19"/>
          <w:szCs w:val="19"/>
        </w:rPr>
        <w:t xml:space="preserve">Coordinated directly with clients to collect and verify audit documentation, improving audit preparation lead-time by one week.</w:t>
      </w:r>
    </w:p>
    <w:p>
      <w:pPr>
        <w:tabs>
          <w:tab w:val="right" w:pos="9026"/>
        </w:tabs>
        <w:spacing w:after="30" w:before="180"/>
      </w:pPr>
      <w:r>
        <w:rPr>
          <w:rFonts w:ascii="Calibri" w:cs="Calibri" w:eastAsia="Calibri" w:hAnsi="Calibri"/>
          <w:b/>
          <w:bCs/>
          <w:color w:val="111827"/>
          <w:sz w:val="21"/>
          <w:szCs w:val="21"/>
        </w:rPr>
        <w:t xml:space="preserve">Research Analyst</w:t>
      </w:r>
      <w:r>
        <w:rPr>
          <w:rFonts w:ascii="Calibri" w:cs="Calibri" w:eastAsia="Calibri" w:hAnsi="Calibri"/>
          <w:color w:val="6B7280"/>
          <w:sz w:val="19"/>
          <w:szCs w:val="19"/>
        </w:rPr>
        <w:t xml:space="preserve">  ·  </w:t>
      </w:r>
      <w:r>
        <w:rPr>
          <w:rFonts w:ascii="Calibri" w:cs="Calibri" w:eastAsia="Calibri" w:hAnsi="Calibri"/>
          <w:b/>
          <w:bCs/>
          <w:color w:val="1D4ED8"/>
          <w:sz w:val="19"/>
          <w:szCs w:val="19"/>
        </w:rPr>
        <w:t xml:space="preserve">Arcgate</w:t>
      </w:r>
      <w:r>
        <w:rPr>
          <w:rFonts w:ascii="Calibri" w:cs="Calibri" w:eastAsia="Calibri" w:hAnsi="Calibri"/>
          <w:color w:val="6B7280"/>
          <w:sz w:val="18"/>
          <w:szCs w:val="18"/>
        </w:rPr>
        <w:t xml:space="preserve">  ·  Udaipur, Rajasthan</w:t>
      </w:r>
      <w:r>
        <w:rPr>
          <w:sz w:val="19"/>
          <w:szCs w:val="19"/>
        </w:rPr>
        <w:t xml:space="preserve">	</w:t>
      </w:r>
      <w:r>
        <w:rPr>
          <w:rFonts w:ascii="Calibri" w:cs="Calibri" w:eastAsia="Calibri" w:hAnsi="Calibri"/>
          <w:i/>
          <w:iCs/>
          <w:color w:val="6B7280"/>
          <w:sz w:val="18"/>
          <w:szCs w:val="18"/>
        </w:rPr>
        <w:t xml:space="preserve">Jul 2023 – Jul 2024</w:t>
      </w:r>
    </w:p>
    <w:p>
      <w:pPr>
        <w:spacing w:after="35" w:before="0"/>
      </w:pPr>
      <w:r>
        <w:rPr>
          <w:rFonts w:ascii="Calibri" w:cs="Calibri" w:eastAsia="Calibri" w:hAnsi="Calibri"/>
          <w:i/>
          <w:iCs/>
          <w:color w:val="6B7280"/>
          <w:sz w:val="17"/>
          <w:szCs w:val="17"/>
        </w:rPr>
        <w:t xml:space="preserve">Full-time · Data Analysis · Reporting · Operations</w:t>
      </w:r>
    </w:p>
    <w:p>
      <w:pPr>
        <w:pStyle w:val="ListParagraph"/>
        <w:numPr>
          <w:ilvl w:val="0"/>
          <w:numId w:val="2"/>
        </w:numPr>
        <w:spacing w:after="42" w:before="42"/>
      </w:pPr>
      <w:r>
        <w:rPr>
          <w:rFonts w:ascii="Calibri" w:cs="Calibri" w:eastAsia="Calibri" w:hAnsi="Calibri"/>
          <w:color w:val="374151"/>
          <w:sz w:val="19"/>
          <w:szCs w:val="19"/>
        </w:rPr>
        <w:t xml:space="preserve">Analysed and quality-controlled 3,000+ weekly operational records for a US-based food delivery platform, improving data accuracy by ~20% through structured validation protocols.</w:t>
      </w:r>
    </w:p>
    <w:p>
      <w:pPr>
        <w:pStyle w:val="ListParagraph"/>
        <w:numPr>
          <w:ilvl w:val="0"/>
          <w:numId w:val="2"/>
        </w:numPr>
        <w:spacing w:after="42" w:before="42"/>
      </w:pPr>
      <w:r>
        <w:rPr>
          <w:rFonts w:ascii="Calibri" w:cs="Calibri" w:eastAsia="Calibri" w:hAnsi="Calibri"/>
          <w:color w:val="374151"/>
          <w:sz w:val="19"/>
          <w:szCs w:val="19"/>
        </w:rPr>
        <w:t xml:space="preserve">Built Power BI visualisations and Excel dashboards adopted by cross-border stakeholders for weekly operational decision-making.</w:t>
      </w:r>
    </w:p>
    <w:p>
      <w:pPr>
        <w:pStyle w:val="ListParagraph"/>
        <w:numPr>
          <w:ilvl w:val="0"/>
          <w:numId w:val="2"/>
        </w:numPr>
        <w:spacing w:after="42" w:before="42"/>
      </w:pPr>
      <w:r>
        <w:rPr>
          <w:rFonts w:ascii="Calibri" w:cs="Calibri" w:eastAsia="Calibri" w:hAnsi="Calibri"/>
          <w:color w:val="374151"/>
          <w:sz w:val="19"/>
          <w:szCs w:val="19"/>
        </w:rPr>
        <w:t xml:space="preserve">Used Jira and Salesforce to track performance KPIs and data quality metrics, reducing reporting cycle time by 2 days per sprint.</w:t>
      </w:r>
    </w:p>
    <w:p>
      <w:pPr>
        <w:spacing w:after="55" w:before="260"/>
      </w:pPr>
      <w:r>
        <w:rPr>
          <w:rFonts w:ascii="Calibri" w:cs="Calibri" w:eastAsia="Calibri" w:hAnsi="Calibri"/>
          <w:b/>
          <w:bCs/>
          <w:color w:val="1B3A6B"/>
          <w:spacing w:val="50"/>
          <w:sz w:val="21"/>
          <w:szCs w:val="21"/>
        </w:rPr>
        <w:t xml:space="preserve">VOLUNTARY WORK</w:t>
      </w:r>
    </w:p>
    <w:p>
      <w:pPr>
        <w:pBdr>
          <w:bottom w:val="single" w:color="1B3A6B" w:sz="8" w:space="1"/>
        </w:pBdr>
        <w:spacing w:after="0" w:before="60"/>
      </w:pPr>
    </w:p>
    <w:p>
      <w:pPr>
        <w:tabs>
          <w:tab w:val="right" w:pos="9026"/>
        </w:tabs>
        <w:spacing w:after="30" w:before="180"/>
      </w:pPr>
      <w:r>
        <w:rPr>
          <w:rFonts w:ascii="Calibri" w:cs="Calibri" w:eastAsia="Calibri" w:hAnsi="Calibri"/>
          <w:b/>
          <w:bCs/>
          <w:color w:val="111827"/>
          <w:sz w:val="21"/>
          <w:szCs w:val="21"/>
        </w:rPr>
        <w:t xml:space="preserve">Accounting Volunteer</w:t>
      </w:r>
      <w:r>
        <w:rPr>
          <w:rFonts w:ascii="Calibri" w:cs="Calibri" w:eastAsia="Calibri" w:hAnsi="Calibri"/>
          <w:color w:val="6B7280"/>
          <w:sz w:val="19"/>
          <w:szCs w:val="19"/>
        </w:rPr>
        <w:t xml:space="preserve">  ·  </w:t>
      </w:r>
      <w:r>
        <w:rPr>
          <w:rFonts w:ascii="Calibri" w:cs="Calibri" w:eastAsia="Calibri" w:hAnsi="Calibri"/>
          <w:b/>
          <w:bCs/>
          <w:color w:val="1D4ED8"/>
          <w:sz w:val="19"/>
          <w:szCs w:val="19"/>
        </w:rPr>
        <w:t xml:space="preserve">Help To Cure Foundation</w:t>
      </w:r>
      <w:r>
        <w:rPr>
          <w:rFonts w:ascii="Calibri" w:cs="Calibri" w:eastAsia="Calibri" w:hAnsi="Calibri"/>
          <w:color w:val="6B7280"/>
          <w:sz w:val="18"/>
          <w:szCs w:val="18"/>
        </w:rPr>
        <w:t xml:space="preserve">  ·  India</w:t>
      </w:r>
      <w:r>
        <w:rPr>
          <w:sz w:val="19"/>
          <w:szCs w:val="19"/>
        </w:rPr>
        <w:t xml:space="preserve">	</w:t>
      </w:r>
      <w:r>
        <w:rPr>
          <w:rFonts w:ascii="Calibri" w:cs="Calibri" w:eastAsia="Calibri" w:hAnsi="Calibri"/>
          <w:i/>
          <w:iCs/>
          <w:color w:val="6B7280"/>
          <w:sz w:val="18"/>
          <w:szCs w:val="18"/>
        </w:rPr>
        <w:t xml:space="preserve">Jan 2025 – Jun 2025</w:t>
      </w:r>
    </w:p>
    <w:p>
      <w:pPr>
        <w:spacing w:after="35" w:before="0"/>
      </w:pPr>
      <w:r>
        <w:rPr>
          <w:rFonts w:ascii="Calibri" w:cs="Calibri" w:eastAsia="Calibri" w:hAnsi="Calibri"/>
          <w:i/>
          <w:iCs/>
          <w:color w:val="6B7280"/>
          <w:sz w:val="17"/>
          <w:szCs w:val="17"/>
        </w:rPr>
        <w:t xml:space="preserve">Voluntary · Weekends &amp; personal time · Certificate of Appreciation awarded · Verifiable at helptocurefoundation.org</w:t>
      </w:r>
    </w:p>
    <w:p>
      <w:pPr>
        <w:pStyle w:val="ListParagraph"/>
        <w:numPr>
          <w:ilvl w:val="0"/>
          <w:numId w:val="2"/>
        </w:numPr>
        <w:spacing w:after="42" w:before="42"/>
      </w:pPr>
      <w:r>
        <w:rPr>
          <w:rFonts w:ascii="Calibri" w:cs="Calibri" w:eastAsia="Calibri" w:hAnsi="Calibri"/>
          <w:color w:val="374151"/>
          <w:sz w:val="19"/>
          <w:szCs w:val="19"/>
        </w:rPr>
        <w:t xml:space="preserve">Maintained books of accounts and recorded day-to-day financial transactions, ensuring accurate and up-to-date records for the foundation across 6 months.</w:t>
      </w:r>
    </w:p>
    <w:p>
      <w:pPr>
        <w:pStyle w:val="ListParagraph"/>
        <w:numPr>
          <w:ilvl w:val="0"/>
          <w:numId w:val="2"/>
        </w:numPr>
        <w:spacing w:after="42" w:before="42"/>
      </w:pPr>
      <w:r>
        <w:rPr>
          <w:rFonts w:ascii="Calibri" w:cs="Calibri" w:eastAsia="Calibri" w:hAnsi="Calibri"/>
          <w:color w:val="374151"/>
          <w:sz w:val="19"/>
          <w:szCs w:val="19"/>
        </w:rPr>
        <w:t xml:space="preserve">Reconciled accounts and supported month-end closing processes entirely outside working hours on weekends and personal time.</w:t>
      </w:r>
    </w:p>
    <w:p>
      <w:pPr>
        <w:pStyle w:val="ListParagraph"/>
        <w:numPr>
          <w:ilvl w:val="0"/>
          <w:numId w:val="2"/>
        </w:numPr>
        <w:spacing w:after="42" w:before="42"/>
      </w:pPr>
      <w:r>
        <w:rPr>
          <w:rFonts w:ascii="Calibri" w:cs="Calibri" w:eastAsia="Calibri" w:hAnsi="Calibri"/>
          <w:color w:val="374151"/>
          <w:sz w:val="19"/>
          <w:szCs w:val="19"/>
        </w:rPr>
        <w:t xml:space="preserve">Assisted with compliance documentation and financial record keeping to support the foundation's audit readiness.</w:t>
      </w:r>
    </w:p>
    <w:p>
      <w:pPr>
        <w:spacing w:after="55" w:before="260"/>
      </w:pPr>
      <w:r>
        <w:rPr>
          <w:rFonts w:ascii="Calibri" w:cs="Calibri" w:eastAsia="Calibri" w:hAnsi="Calibri"/>
          <w:b/>
          <w:bCs/>
          <w:color w:val="1B3A6B"/>
          <w:spacing w:val="50"/>
          <w:sz w:val="21"/>
          <w:szCs w:val="21"/>
        </w:rPr>
        <w:t xml:space="preserve">NOTABLE AUDIT ENGAGEMENTS</w:t>
      </w:r>
    </w:p>
    <w:p>
      <w:pPr>
        <w:pBdr>
          <w:bottom w:val="single" w:color="1B3A6B" w:sz="8" w:space="1"/>
        </w:pBdr>
        <w:spacing w:after="0" w:before="60"/>
      </w:pPr>
    </w:p>
    <w:p>
      <w:pPr>
        <w:spacing w:after="0" w:before="75"/>
      </w:pPr>
    </w:p>
    <w:p>
      <w:pPr>
        <w:spacing w:after="52" w:before="52"/>
      </w:pPr>
      <w:r>
        <w:rPr>
          <w:rFonts w:ascii="Calibri" w:cs="Calibri" w:eastAsia="Calibri" w:hAnsi="Calibri"/>
          <w:b/>
          <w:bCs/>
          <w:color w:val="111827"/>
          <w:sz w:val="19"/>
          <w:szCs w:val="19"/>
        </w:rPr>
        <w:t xml:space="preserve">State Bank of India (SBI) — </w:t>
      </w:r>
      <w:r>
        <w:rPr>
          <w:rFonts w:ascii="Calibri" w:cs="Calibri" w:eastAsia="Calibri" w:hAnsi="Calibri"/>
          <w:color w:val="374151"/>
          <w:sz w:val="19"/>
          <w:szCs w:val="19"/>
        </w:rPr>
        <w:t xml:space="preserve">Statutory audit — branch financials, loan portfolio review, RBI regulatory compliance.</w:t>
      </w:r>
    </w:p>
    <w:p>
      <w:pPr>
        <w:spacing w:after="52" w:before="52"/>
      </w:pPr>
      <w:r>
        <w:rPr>
          <w:rFonts w:ascii="Calibri" w:cs="Calibri" w:eastAsia="Calibri" w:hAnsi="Calibri"/>
          <w:b/>
          <w:bCs/>
          <w:color w:val="111827"/>
          <w:sz w:val="19"/>
          <w:szCs w:val="19"/>
        </w:rPr>
        <w:t xml:space="preserve">IDBI Bank — </w:t>
      </w:r>
      <w:r>
        <w:rPr>
          <w:rFonts w:ascii="Calibri" w:cs="Calibri" w:eastAsia="Calibri" w:hAnsi="Calibri"/>
          <w:color w:val="374151"/>
          <w:sz w:val="19"/>
          <w:szCs w:val="19"/>
        </w:rPr>
        <w:t xml:space="preserve">Concurrent audit — daily transaction review (50–100/day), cash operations, RBI guideline compliance.</w:t>
      </w:r>
    </w:p>
    <w:p>
      <w:pPr>
        <w:spacing w:after="52" w:before="52"/>
      </w:pPr>
      <w:r>
        <w:rPr>
          <w:rFonts w:ascii="Calibri" w:cs="Calibri" w:eastAsia="Calibri" w:hAnsi="Calibri"/>
          <w:b/>
          <w:bCs/>
          <w:color w:val="111827"/>
          <w:sz w:val="19"/>
          <w:szCs w:val="19"/>
        </w:rPr>
        <w:t xml:space="preserve">Central Bank of India — </w:t>
      </w:r>
      <w:r>
        <w:rPr>
          <w:rFonts w:ascii="Calibri" w:cs="Calibri" w:eastAsia="Calibri" w:hAnsi="Calibri"/>
          <w:color w:val="374151"/>
          <w:sz w:val="19"/>
          <w:szCs w:val="19"/>
        </w:rPr>
        <w:t xml:space="preserve">Concurrent audit — loan documentation testing, operational controls, RBI compliance.</w:t>
      </w:r>
    </w:p>
    <w:p>
      <w:pPr>
        <w:spacing w:after="52" w:before="52"/>
      </w:pPr>
      <w:r>
        <w:rPr>
          <w:rFonts w:ascii="Calibri" w:cs="Calibri" w:eastAsia="Calibri" w:hAnsi="Calibri"/>
          <w:b/>
          <w:bCs/>
          <w:color w:val="111827"/>
          <w:sz w:val="19"/>
          <w:szCs w:val="19"/>
        </w:rPr>
        <w:t xml:space="preserve">Bank of Baroda — </w:t>
      </w:r>
      <w:r>
        <w:rPr>
          <w:rFonts w:ascii="Calibri" w:cs="Calibri" w:eastAsia="Calibri" w:hAnsi="Calibri"/>
          <w:color w:val="374151"/>
          <w:sz w:val="19"/>
          <w:szCs w:val="19"/>
        </w:rPr>
        <w:t xml:space="preserve">Concurrent audit — cash operations, NPA classification, regulatory compliance review.</w:t>
      </w:r>
    </w:p>
    <w:p>
      <w:pPr>
        <w:spacing w:after="52" w:before="52"/>
      </w:pPr>
      <w:r>
        <w:rPr>
          <w:rFonts w:ascii="Calibri" w:cs="Calibri" w:eastAsia="Calibri" w:hAnsi="Calibri"/>
          <w:b/>
          <w:bCs/>
          <w:color w:val="111827"/>
          <w:sz w:val="19"/>
          <w:szCs w:val="19"/>
        </w:rPr>
        <w:t xml:space="preserve">BEML (Bharat Earth Movers Limited) — </w:t>
      </w:r>
      <w:r>
        <w:rPr>
          <w:rFonts w:ascii="Calibri" w:cs="Calibri" w:eastAsia="Calibri" w:hAnsi="Calibri"/>
          <w:color w:val="374151"/>
          <w:sz w:val="19"/>
          <w:szCs w:val="19"/>
        </w:rPr>
        <w:t xml:space="preserve">Concurrent audit report — financial controls, compliance review, management observations. Report independently prepared and submitted.</w:t>
      </w:r>
    </w:p>
    <w:p>
      <w:pPr>
        <w:spacing w:after="52" w:before="52"/>
      </w:pPr>
      <w:r>
        <w:rPr>
          <w:rFonts w:ascii="Calibri" w:cs="Calibri" w:eastAsia="Calibri" w:hAnsi="Calibri"/>
          <w:b/>
          <w:bCs/>
          <w:color w:val="111827"/>
          <w:sz w:val="19"/>
          <w:szCs w:val="19"/>
        </w:rPr>
        <w:t xml:space="preserve">HUDCO (Housing &amp; Urban Development Corporation) — </w:t>
      </w:r>
      <w:r>
        <w:rPr>
          <w:rFonts w:ascii="Calibri" w:cs="Calibri" w:eastAsia="Calibri" w:hAnsi="Calibri"/>
          <w:color w:val="374151"/>
          <w:sz w:val="19"/>
          <w:szCs w:val="19"/>
        </w:rPr>
        <w:t xml:space="preserve">Concurrent audit report — financial controls, compliance review, management observations. Report independently prepared and submitted.</w:t>
      </w:r>
    </w:p>
    <w:p>
      <w:pPr>
        <w:spacing w:after="52" w:before="52"/>
      </w:pPr>
      <w:r>
        <w:rPr>
          <w:rFonts w:ascii="Calibri" w:cs="Calibri" w:eastAsia="Calibri" w:hAnsi="Calibri"/>
          <w:b/>
          <w:bCs/>
          <w:color w:val="111827"/>
          <w:sz w:val="19"/>
          <w:szCs w:val="19"/>
        </w:rPr>
        <w:t xml:space="preserve">ICTS–TIFR (GoI-funded) — </w:t>
      </w:r>
      <w:r>
        <w:rPr>
          <w:rFonts w:ascii="Calibri" w:cs="Calibri" w:eastAsia="Calibri" w:hAnsi="Calibri"/>
          <w:color w:val="374151"/>
          <w:sz w:val="19"/>
          <w:szCs w:val="19"/>
        </w:rPr>
        <w:t xml:space="preserve">Statutory audit — research grant compliance, financial statement review, multi-fund ledger scrutiny.</w:t>
      </w:r>
    </w:p>
    <w:p>
      <w:pPr>
        <w:spacing w:after="52" w:before="52"/>
      </w:pPr>
      <w:r>
        <w:rPr>
          <w:rFonts w:ascii="Calibri" w:cs="Calibri" w:eastAsia="Calibri" w:hAnsi="Calibri"/>
          <w:b/>
          <w:bCs/>
          <w:color w:val="111827"/>
          <w:sz w:val="19"/>
          <w:szCs w:val="19"/>
        </w:rPr>
        <w:t xml:space="preserve">NCBS (National Centre for Biological Sciences) — </w:t>
      </w:r>
      <w:r>
        <w:rPr>
          <w:rFonts w:ascii="Calibri" w:cs="Calibri" w:eastAsia="Calibri" w:hAnsi="Calibri"/>
          <w:color w:val="374151"/>
          <w:sz w:val="19"/>
          <w:szCs w:val="19"/>
        </w:rPr>
        <w:t xml:space="preserve">Statutory audit — grant compliance, financial statements, ledger scrutiny.</w:t>
      </w:r>
    </w:p>
    <w:p>
      <w:pPr>
        <w:spacing w:after="52" w:before="52"/>
      </w:pPr>
      <w:r>
        <w:rPr>
          <w:rFonts w:ascii="Calibri" w:cs="Calibri" w:eastAsia="Calibri" w:hAnsi="Calibri"/>
          <w:b/>
          <w:bCs/>
          <w:color w:val="111827"/>
          <w:sz w:val="19"/>
          <w:szCs w:val="19"/>
        </w:rPr>
        <w:t xml:space="preserve">Kems Motor Corp · Chord Hospital · Milestone Aluminium · Devmantra Financial Services — </w:t>
      </w:r>
      <w:r>
        <w:rPr>
          <w:rFonts w:ascii="Calibri" w:cs="Calibri" w:eastAsia="Calibri" w:hAnsi="Calibri"/>
          <w:color w:val="374151"/>
          <w:sz w:val="19"/>
          <w:szCs w:val="19"/>
        </w:rPr>
        <w:t xml:space="preserve">Internal audit — operational controls, risk assessment, process compliance.</w:t>
      </w:r>
    </w:p>
    <w:p>
      <w:pPr>
        <w:spacing w:after="55" w:before="260"/>
      </w:pPr>
      <w:r>
        <w:rPr>
          <w:rFonts w:ascii="Calibri" w:cs="Calibri" w:eastAsia="Calibri" w:hAnsi="Calibri"/>
          <w:b/>
          <w:bCs/>
          <w:color w:val="1B3A6B"/>
          <w:spacing w:val="50"/>
          <w:sz w:val="21"/>
          <w:szCs w:val="21"/>
        </w:rPr>
        <w:t xml:space="preserve">CORE SKILLS</w:t>
      </w:r>
    </w:p>
    <w:p>
      <w:pPr>
        <w:pBdr>
          <w:bottom w:val="single" w:color="1B3A6B" w:sz="8" w:space="1"/>
        </w:pBdr>
        <w:spacing w:after="0" w:before="60"/>
      </w:pPr>
    </w:p>
    <w:p>
      <w:pPr>
        <w:spacing w:after="0" w:before="75"/>
      </w:pPr>
    </w:p>
    <w:p>
      <w:pPr>
        <w:spacing w:after="52" w:before="52"/>
      </w:pPr>
      <w:r>
        <w:rPr>
          <w:rFonts w:ascii="Calibri" w:cs="Calibri" w:eastAsia="Calibri" w:hAnsi="Calibri"/>
          <w:b/>
          <w:bCs/>
          <w:color w:val="111827"/>
          <w:sz w:val="19"/>
          <w:szCs w:val="19"/>
        </w:rPr>
        <w:t xml:space="preserve">Audit &amp; Assurance:  </w:t>
      </w:r>
      <w:r>
        <w:rPr>
          <w:rFonts w:ascii="Calibri" w:cs="Calibri" w:eastAsia="Calibri" w:hAnsi="Calibri"/>
          <w:color w:val="374151"/>
          <w:sz w:val="19"/>
          <w:szCs w:val="19"/>
        </w:rPr>
        <w:t xml:space="preserve">Statutory Audit, Concurrent Bank Audit, Internal Audit, ICFR Testing, Vouching, Ledger Scrutiny</w:t>
      </w:r>
    </w:p>
    <w:p>
      <w:pPr>
        <w:spacing w:after="52" w:before="52"/>
      </w:pPr>
      <w:r>
        <w:rPr>
          <w:rFonts w:ascii="Calibri" w:cs="Calibri" w:eastAsia="Calibri" w:hAnsi="Calibri"/>
          <w:b/>
          <w:bCs/>
          <w:color w:val="111827"/>
          <w:sz w:val="19"/>
          <w:szCs w:val="19"/>
        </w:rPr>
        <w:t xml:space="preserve">Financial Reporting:  </w:t>
      </w:r>
      <w:r>
        <w:rPr>
          <w:rFonts w:ascii="Calibri" w:cs="Calibri" w:eastAsia="Calibri" w:hAnsi="Calibri"/>
          <w:color w:val="374151"/>
          <w:sz w:val="19"/>
          <w:szCs w:val="19"/>
        </w:rPr>
        <w:t xml:space="preserve">Financial Statement Review, Variance Analysis, Management Reporting, Grant Compliance</w:t>
      </w:r>
    </w:p>
    <w:p>
      <w:pPr>
        <w:spacing w:after="52" w:before="52"/>
      </w:pPr>
      <w:r>
        <w:rPr>
          <w:rFonts w:ascii="Calibri" w:cs="Calibri" w:eastAsia="Calibri" w:hAnsi="Calibri"/>
          <w:b/>
          <w:bCs/>
          <w:color w:val="111827"/>
          <w:sz w:val="19"/>
          <w:szCs w:val="19"/>
        </w:rPr>
        <w:t xml:space="preserve">Tax &amp; Compliance:  </w:t>
      </w:r>
      <w:r>
        <w:rPr>
          <w:rFonts w:ascii="Calibri" w:cs="Calibri" w:eastAsia="Calibri" w:hAnsi="Calibri"/>
          <w:color w:val="374151"/>
          <w:sz w:val="19"/>
          <w:szCs w:val="19"/>
        </w:rPr>
        <w:t xml:space="preserve">GST (GSTR-3B / GSTR-8), TDS, ITR Filings, RBI Compliance, FSSAI Registration</w:t>
      </w:r>
    </w:p>
    <w:p>
      <w:pPr>
        <w:spacing w:after="52" w:before="52"/>
      </w:pPr>
      <w:r>
        <w:rPr>
          <w:rFonts w:ascii="Calibri" w:cs="Calibri" w:eastAsia="Calibri" w:hAnsi="Calibri"/>
          <w:b/>
          <w:bCs/>
          <w:color w:val="111827"/>
          <w:sz w:val="19"/>
          <w:szCs w:val="19"/>
        </w:rPr>
        <w:t xml:space="preserve">Data &amp; Technology:  </w:t>
      </w:r>
      <w:r>
        <w:rPr>
          <w:rFonts w:ascii="Calibri" w:cs="Calibri" w:eastAsia="Calibri" w:hAnsi="Calibri"/>
          <w:color w:val="374151"/>
          <w:sz w:val="19"/>
          <w:szCs w:val="19"/>
        </w:rPr>
        <w:t xml:space="preserve">Advanced MS Excel (VLOOKUP, Pivots, Nested Formulas), Power BI, Tally ERP, SAP FICO</w:t>
      </w:r>
    </w:p>
    <w:p>
      <w:pPr>
        <w:spacing w:after="52" w:before="52"/>
      </w:pPr>
      <w:r>
        <w:rPr>
          <w:rFonts w:ascii="Calibri" w:cs="Calibri" w:eastAsia="Calibri" w:hAnsi="Calibri"/>
          <w:b/>
          <w:bCs/>
          <w:color w:val="111827"/>
          <w:sz w:val="19"/>
          <w:szCs w:val="19"/>
        </w:rPr>
        <w:t xml:space="preserve">Tools:  </w:t>
      </w:r>
      <w:r>
        <w:rPr>
          <w:rFonts w:ascii="Calibri" w:cs="Calibri" w:eastAsia="Calibri" w:hAnsi="Calibri"/>
          <w:color w:val="374151"/>
          <w:sz w:val="19"/>
          <w:szCs w:val="19"/>
        </w:rPr>
        <w:t xml:space="preserve">Jira, Salesforce, Microsoft Office Suite</w:t>
      </w:r>
    </w:p>
    <w:p>
      <w:pPr>
        <w:spacing w:after="52" w:before="52"/>
      </w:pPr>
      <w:r>
        <w:rPr>
          <w:rFonts w:ascii="Calibri" w:cs="Calibri" w:eastAsia="Calibri" w:hAnsi="Calibri"/>
          <w:b/>
          <w:bCs/>
          <w:color w:val="111827"/>
          <w:sz w:val="19"/>
          <w:szCs w:val="19"/>
        </w:rPr>
        <w:t xml:space="preserve">Soft Skills:  </w:t>
      </w:r>
      <w:r>
        <w:rPr>
          <w:rFonts w:ascii="Calibri" w:cs="Calibri" w:eastAsia="Calibri" w:hAnsi="Calibri"/>
          <w:color w:val="374151"/>
          <w:sz w:val="19"/>
          <w:szCs w:val="19"/>
        </w:rPr>
        <w:t xml:space="preserve">Audit Report Writing, Client Coordination, Stakeholder Communication, Attention to Detail</w:t>
      </w:r>
    </w:p>
    <w:p>
      <w:pPr>
        <w:spacing w:after="55" w:before="260"/>
      </w:pPr>
      <w:r>
        <w:rPr>
          <w:rFonts w:ascii="Calibri" w:cs="Calibri" w:eastAsia="Calibri" w:hAnsi="Calibri"/>
          <w:b/>
          <w:bCs/>
          <w:color w:val="1B3A6B"/>
          <w:spacing w:val="50"/>
          <w:sz w:val="21"/>
          <w:szCs w:val="21"/>
        </w:rPr>
        <w:t xml:space="preserve">EDUCATION</w:t>
      </w:r>
    </w:p>
    <w:p>
      <w:pPr>
        <w:pBdr>
          <w:bottom w:val="single" w:color="1B3A6B" w:sz="8" w:space="1"/>
        </w:pBdr>
        <w:spacing w:after="0" w:before="60"/>
      </w:pPr>
    </w:p>
    <w:p>
      <w:pPr>
        <w:tabs>
          <w:tab w:val="right" w:pos="9026"/>
        </w:tabs>
        <w:spacing w:after="28" w:before="110"/>
      </w:pPr>
      <w:r>
        <w:rPr>
          <w:rFonts w:ascii="Calibri" w:cs="Calibri" w:eastAsia="Calibri" w:hAnsi="Calibri"/>
          <w:b/>
          <w:bCs/>
          <w:color w:val="111827"/>
          <w:sz w:val="20"/>
          <w:szCs w:val="20"/>
        </w:rPr>
        <w:t xml:space="preserve">Bachelor of Commerce (B.Com)</w:t>
      </w:r>
      <w:r>
        <w:rPr>
          <w:sz w:val="19"/>
          <w:szCs w:val="19"/>
        </w:rPr>
        <w:t xml:space="preserve">	</w:t>
      </w:r>
      <w:r>
        <w:rPr>
          <w:rFonts w:ascii="Calibri" w:cs="Calibri" w:eastAsia="Calibri" w:hAnsi="Calibri"/>
          <w:i/>
          <w:iCs/>
          <w:color w:val="6B7280"/>
          <w:sz w:val="18"/>
          <w:szCs w:val="18"/>
        </w:rPr>
        <w:t xml:space="preserve">2020 – 2023</w:t>
      </w:r>
    </w:p>
    <w:p>
      <w:pPr>
        <w:spacing w:after="45" w:before="0"/>
      </w:pPr>
      <w:r>
        <w:rPr>
          <w:rFonts w:ascii="Calibri" w:cs="Calibri" w:eastAsia="Calibri" w:hAnsi="Calibri"/>
          <w:color w:val="6B7280"/>
          <w:sz w:val="18"/>
          <w:szCs w:val="18"/>
        </w:rPr>
        <w:t xml:space="preserve">Mohanlal Sukhadia University, Udaipur, India  ·  Accounting, Audit, Taxation, Corporate Finance</w:t>
      </w:r>
    </w:p>
    <w:p>
      <w:pPr>
        <w:spacing w:after="55" w:before="260"/>
      </w:pPr>
      <w:r>
        <w:rPr>
          <w:rFonts w:ascii="Calibri" w:cs="Calibri" w:eastAsia="Calibri" w:hAnsi="Calibri"/>
          <w:b/>
          <w:bCs/>
          <w:color w:val="1B3A6B"/>
          <w:spacing w:val="50"/>
          <w:sz w:val="21"/>
          <w:szCs w:val="21"/>
        </w:rPr>
        <w:t xml:space="preserve">CERTIFICATIONS &amp; PROFESSIONAL DEVELOPMENT</w:t>
      </w:r>
    </w:p>
    <w:p>
      <w:pPr>
        <w:pBdr>
          <w:bottom w:val="single" w:color="1B3A6B" w:sz="8" w:space="1"/>
        </w:pBdr>
        <w:spacing w:after="0" w:before="60"/>
      </w:pPr>
    </w:p>
    <w:p>
      <w:pPr>
        <w:pStyle w:val="ListParagraph"/>
        <w:numPr>
          <w:ilvl w:val="0"/>
          <w:numId w:val="2"/>
        </w:numPr>
        <w:spacing w:after="42" w:before="42"/>
      </w:pPr>
      <w:r>
        <w:rPr>
          <w:rFonts w:ascii="Calibri" w:cs="Calibri" w:eastAsia="Calibri" w:hAnsi="Calibri"/>
          <w:color w:val="374151"/>
          <w:sz w:val="19"/>
          <w:szCs w:val="19"/>
        </w:rPr>
        <w:t xml:space="preserve">IELTS Academic — Band 7.5 (C1 English Proficiency) · Fully eligible to work in the UK</w:t>
      </w:r>
    </w:p>
    <w:p>
      <w:pPr>
        <w:pStyle w:val="ListParagraph"/>
        <w:numPr>
          <w:ilvl w:val="0"/>
          <w:numId w:val="2"/>
        </w:numPr>
        <w:spacing w:after="42" w:before="42"/>
      </w:pPr>
      <w:r>
        <w:rPr>
          <w:rFonts w:ascii="Calibri" w:cs="Calibri" w:eastAsia="Calibri" w:hAnsi="Calibri"/>
          <w:color w:val="374151"/>
          <w:sz w:val="19"/>
          <w:szCs w:val="19"/>
        </w:rPr>
        <w:t xml:space="preserve">SAP FICO — Certified Training in Financial Accounting and Controlling</w:t>
      </w:r>
    </w:p>
    <w:p>
      <w:pPr>
        <w:pStyle w:val="ListParagraph"/>
        <w:numPr>
          <w:ilvl w:val="0"/>
          <w:numId w:val="2"/>
        </w:numPr>
        <w:spacing w:after="42" w:before="42"/>
      </w:pPr>
      <w:r>
        <w:rPr>
          <w:rFonts w:ascii="Calibri" w:cs="Calibri" w:eastAsia="Calibri" w:hAnsi="Calibri"/>
          <w:color w:val="374151"/>
          <w:sz w:val="19"/>
          <w:szCs w:val="19"/>
        </w:rPr>
        <w:t xml:space="preserve">Power BI — Business Intelligence, Data Visualisation, and Dashboard Reporting</w:t>
      </w:r>
    </w:p>
    <w:p>
      <w:pPr>
        <w:pStyle w:val="ListParagraph"/>
        <w:numPr>
          <w:ilvl w:val="0"/>
          <w:numId w:val="2"/>
        </w:numPr>
        <w:spacing w:after="42" w:before="42"/>
      </w:pPr>
      <w:r>
        <w:rPr>
          <w:rFonts w:ascii="Calibri" w:cs="Calibri" w:eastAsia="Calibri" w:hAnsi="Calibri"/>
          <w:color w:val="374151"/>
          <w:sz w:val="19"/>
          <w:szCs w:val="19"/>
        </w:rPr>
        <w:t xml:space="preserve">Tally ERP — Certified Training in Accounting Software</w:t>
      </w:r>
    </w:p>
    <w:p>
      <w:pPr>
        <w:pStyle w:val="ListParagraph"/>
        <w:numPr>
          <w:ilvl w:val="0"/>
          <w:numId w:val="2"/>
        </w:numPr>
        <w:spacing w:after="42" w:before="42"/>
      </w:pPr>
      <w:r>
        <w:rPr>
          <w:rFonts w:ascii="Calibri" w:cs="Calibri" w:eastAsia="Calibri" w:hAnsi="Calibri"/>
          <w:color w:val="374151"/>
          <w:sz w:val="19"/>
          <w:szCs w:val="19"/>
        </w:rPr>
        <w:t xml:space="preserve">RSCIT — Rajasthan State Certificate in Information Technology</w:t>
      </w:r>
    </w:p>
    <w:p>
      <w:pPr>
        <w:pBdr>
          <w:top w:val="single" w:color="D1D5DB" w:sz="4" w:space="4"/>
        </w:pBdr>
        <w:spacing w:after="0" w:before="240"/>
        <w:jc w:val="center"/>
      </w:pPr>
      <w:r>
        <w:rPr>
          <w:rFonts w:ascii="Calibri" w:cs="Calibri" w:eastAsia="Calibri" w:hAnsi="Calibri"/>
          <w:i/>
          <w:iCs/>
          <w:color w:val="6B7280"/>
          <w:sz w:val="16"/>
          <w:szCs w:val="16"/>
        </w:rPr>
        <w:t xml:space="preserve">IELTS 7.5 · Eligible to work in the UK · Open to relocation across the United Kingdom · Visa sponsorship welcome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340"/>
      </w:pPr>
      <w:rPr>
        <w:color w:val="1D4ED8"/>
        <w:sz w:val="17"/>
        <w:szCs w:val="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2026-05-09T08:45:23.896Z</dcterms:created>
  <dcterms:modified xsi:type="dcterms:W3CDTF">2026-05-09T08:45:23.917Z</dcterms:modified>
</cp:coreProperties>
</file>

<file path=docProps/custom.xml><?xml version="1.0" encoding="utf-8"?>
<Properties xmlns="http://schemas.openxmlformats.org/officeDocument/2006/custom-properties" xmlns:vt="http://schemas.openxmlformats.org/officeDocument/2006/docPropsVTypes"/>
</file>