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71F" w:rsidRDefault="004D17FC" w:rsidP="004D17FC">
      <w:pPr>
        <w:jc w:val="center"/>
        <w:rPr>
          <w:b/>
        </w:rPr>
      </w:pPr>
      <w:r w:rsidRPr="004D17FC">
        <w:rPr>
          <w:b/>
        </w:rPr>
        <w:t>HAPPINESS VS OPEN DATA</w:t>
      </w:r>
    </w:p>
    <w:p w:rsidR="004D17FC" w:rsidRDefault="004D17FC" w:rsidP="004D17FC">
      <w:pPr>
        <w:rPr>
          <w:rFonts w:ascii="Calibri" w:eastAsia="Times New Roman" w:hAnsi="Calibri" w:cs="Calibri"/>
          <w:color w:val="000000"/>
        </w:rPr>
      </w:pPr>
      <w:r>
        <w:t>In 2012, the world body “Open knowledge international” decided to make a survey on the happiness of people distributed in all the countries with respect to the data shared by the respective government. These data are bucketized into 13 categories including air pollution data,</w:t>
      </w:r>
      <w:r w:rsidRPr="004D17FC">
        <w:rPr>
          <w:rFonts w:ascii="Calibri" w:hAnsi="Calibri" w:cs="Calibri"/>
          <w:color w:val="000000"/>
        </w:rPr>
        <w:t xml:space="preserve"> </w:t>
      </w:r>
      <w:r w:rsidRPr="004D17FC">
        <w:rPr>
          <w:rFonts w:ascii="Calibri" w:eastAsia="Times New Roman" w:hAnsi="Calibri" w:cs="Calibri"/>
          <w:color w:val="000000"/>
        </w:rPr>
        <w:t>Election Results</w:t>
      </w:r>
      <w:r>
        <w:rPr>
          <w:rFonts w:ascii="Calibri" w:eastAsia="Times New Roman" w:hAnsi="Calibri" w:cs="Calibri"/>
          <w:color w:val="000000"/>
        </w:rPr>
        <w:t>, Company resignation Etc. This lead to an analysis to find whether people are happy with the data showcased by their government bodies.</w:t>
      </w:r>
    </w:p>
    <w:p w:rsidR="00093AD9" w:rsidRDefault="004D17FC" w:rsidP="004D17FC">
      <w:pPr>
        <w:rPr>
          <w:rFonts w:ascii="Calibri" w:eastAsia="Times New Roman" w:hAnsi="Calibri" w:cs="Calibri"/>
          <w:color w:val="000000"/>
        </w:rPr>
      </w:pPr>
      <w:r>
        <w:rPr>
          <w:rFonts w:ascii="Calibri" w:eastAsia="Times New Roman" w:hAnsi="Calibri" w:cs="Calibri"/>
          <w:color w:val="000000"/>
        </w:rPr>
        <w:t xml:space="preserve">So the international body decides </w:t>
      </w:r>
      <w:r w:rsidR="00596632">
        <w:rPr>
          <w:rFonts w:ascii="Calibri" w:eastAsia="Times New Roman" w:hAnsi="Calibri" w:cs="Calibri"/>
          <w:color w:val="000000"/>
        </w:rPr>
        <w:t>to take data from 2013 and rank it according to the happiness scores.</w:t>
      </w:r>
      <w:r w:rsidR="002F5FDA">
        <w:rPr>
          <w:rFonts w:ascii="Calibri" w:eastAsia="Times New Roman" w:hAnsi="Calibri" w:cs="Calibri"/>
          <w:color w:val="000000"/>
        </w:rPr>
        <w:t xml:space="preserve"> We took a 5% of Random Sampling of people from all major cities in a country. We used a survey link whenever the people get to purchase any product from Amazon using their region Id.</w:t>
      </w:r>
    </w:p>
    <w:p w:rsidR="002F5FDA" w:rsidRDefault="002F5FDA" w:rsidP="004D17FC">
      <w:pPr>
        <w:rPr>
          <w:rFonts w:ascii="Calibri" w:eastAsia="Times New Roman" w:hAnsi="Calibri" w:cs="Calibri"/>
          <w:color w:val="000000"/>
        </w:rPr>
      </w:pPr>
    </w:p>
    <w:p w:rsidR="00596632" w:rsidRPr="00596632" w:rsidRDefault="00596632" w:rsidP="004D17FC">
      <w:pPr>
        <w:rPr>
          <w:rFonts w:ascii="Calibri" w:eastAsia="Times New Roman" w:hAnsi="Calibri" w:cs="Calibri"/>
          <w:b/>
          <w:color w:val="000000"/>
          <w:u w:val="single"/>
        </w:rPr>
      </w:pPr>
      <w:r w:rsidRPr="00596632">
        <w:rPr>
          <w:rFonts w:ascii="Calibri" w:eastAsia="Times New Roman" w:hAnsi="Calibri" w:cs="Calibri"/>
          <w:b/>
          <w:color w:val="000000"/>
          <w:u w:val="single"/>
        </w:rPr>
        <w:t>Analysis Summary:</w:t>
      </w:r>
    </w:p>
    <w:p w:rsidR="00596632" w:rsidRDefault="00596632" w:rsidP="00D546FA">
      <w:pPr>
        <w:spacing w:after="0"/>
        <w:rPr>
          <w:rFonts w:ascii="Calibri" w:eastAsia="Times New Roman" w:hAnsi="Calibri" w:cs="Calibri"/>
          <w:color w:val="000000"/>
        </w:rPr>
      </w:pPr>
      <w:r>
        <w:rPr>
          <w:rFonts w:ascii="Calibri" w:eastAsia="Times New Roman" w:hAnsi="Calibri" w:cs="Calibri"/>
          <w:color w:val="000000"/>
        </w:rPr>
        <w:t>What is our output metrics?</w:t>
      </w:r>
      <w:r>
        <w:rPr>
          <w:rFonts w:ascii="Calibri" w:eastAsia="Times New Roman" w:hAnsi="Calibri" w:cs="Calibri"/>
          <w:color w:val="000000"/>
        </w:rPr>
        <w:br/>
        <w:t>Happiness Score.</w:t>
      </w:r>
      <w:r w:rsidR="00D546FA">
        <w:rPr>
          <w:rFonts w:ascii="Calibri" w:eastAsia="Times New Roman" w:hAnsi="Calibri" w:cs="Calibri"/>
          <w:color w:val="000000"/>
        </w:rPr>
        <w:br/>
        <w:t>What is our input metrics?</w:t>
      </w:r>
    </w:p>
    <w:p w:rsidR="00D546FA" w:rsidRDefault="00D546FA" w:rsidP="00D546FA">
      <w:pPr>
        <w:spacing w:after="0"/>
        <w:rPr>
          <w:rFonts w:ascii="Calibri" w:eastAsia="Times New Roman" w:hAnsi="Calibri" w:cs="Calibri"/>
          <w:color w:val="000000"/>
        </w:rPr>
      </w:pPr>
      <w:r>
        <w:rPr>
          <w:rFonts w:ascii="Calibri" w:eastAsia="Times New Roman" w:hAnsi="Calibri" w:cs="Calibri"/>
          <w:color w:val="000000"/>
        </w:rPr>
        <w:t>Openness of Data to people.</w:t>
      </w:r>
      <w:r>
        <w:rPr>
          <w:rFonts w:ascii="Calibri" w:eastAsia="Times New Roman" w:hAnsi="Calibri" w:cs="Calibri"/>
          <w:color w:val="000000"/>
        </w:rPr>
        <w:br/>
      </w:r>
    </w:p>
    <w:p w:rsidR="00D546FA" w:rsidRDefault="00D546FA" w:rsidP="00D546FA">
      <w:pPr>
        <w:spacing w:after="0"/>
        <w:rPr>
          <w:rFonts w:ascii="Calibri" w:eastAsia="Times New Roman" w:hAnsi="Calibri" w:cs="Calibri"/>
          <w:color w:val="000000"/>
        </w:rPr>
      </w:pPr>
      <w:r>
        <w:rPr>
          <w:rFonts w:ascii="Calibri" w:eastAsia="Times New Roman" w:hAnsi="Calibri" w:cs="Calibri"/>
          <w:color w:val="000000"/>
        </w:rPr>
        <w:t>Now let us find the relationship between the happiness score and openness data region wise.</w:t>
      </w:r>
    </w:p>
    <w:p w:rsidR="00D546FA" w:rsidRDefault="00D546FA" w:rsidP="00D546FA">
      <w:pPr>
        <w:spacing w:after="0"/>
        <w:rPr>
          <w:rFonts w:ascii="Calibri" w:eastAsia="Times New Roman" w:hAnsi="Calibri" w:cs="Calibri"/>
          <w:color w:val="000000"/>
        </w:rPr>
      </w:pPr>
    </w:p>
    <w:p w:rsidR="00D546FA" w:rsidRDefault="00D546FA" w:rsidP="00D546FA">
      <w:pPr>
        <w:spacing w:after="0"/>
        <w:rPr>
          <w:rFonts w:ascii="Calibri" w:eastAsia="Times New Roman" w:hAnsi="Calibri" w:cs="Calibri"/>
          <w:color w:val="000000"/>
        </w:rPr>
      </w:pPr>
      <w:r>
        <w:rPr>
          <w:noProof/>
        </w:rPr>
        <w:drawing>
          <wp:inline distT="0" distB="0" distL="0" distR="0" wp14:anchorId="56971E63" wp14:editId="00CA0876">
            <wp:extent cx="5797062" cy="2860431"/>
            <wp:effectExtent l="0" t="0" r="1333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546FA" w:rsidRDefault="00D546FA" w:rsidP="00D546FA">
      <w:pPr>
        <w:spacing w:after="0"/>
        <w:rPr>
          <w:rFonts w:ascii="Calibri" w:eastAsia="Times New Roman" w:hAnsi="Calibri" w:cs="Calibri"/>
          <w:color w:val="000000"/>
        </w:rPr>
      </w:pPr>
      <w:r>
        <w:rPr>
          <w:rFonts w:ascii="Calibri" w:eastAsia="Times New Roman" w:hAnsi="Calibri" w:cs="Calibri"/>
          <w:color w:val="000000"/>
        </w:rPr>
        <w:t>X- No.Of regions</w:t>
      </w:r>
    </w:p>
    <w:p w:rsidR="00D546FA" w:rsidRDefault="00D546FA" w:rsidP="00D546FA">
      <w:pPr>
        <w:spacing w:after="0"/>
        <w:rPr>
          <w:rFonts w:ascii="Calibri" w:eastAsia="Times New Roman" w:hAnsi="Calibri" w:cs="Calibri"/>
          <w:color w:val="000000"/>
        </w:rPr>
      </w:pPr>
      <w:r>
        <w:rPr>
          <w:rFonts w:ascii="Calibri" w:eastAsia="Times New Roman" w:hAnsi="Calibri" w:cs="Calibri"/>
          <w:color w:val="000000"/>
        </w:rPr>
        <w:t>Y- Openness Score Region wise</w:t>
      </w:r>
    </w:p>
    <w:p w:rsidR="002F5FDA" w:rsidRDefault="002F5FDA" w:rsidP="00D546FA">
      <w:pPr>
        <w:spacing w:after="0"/>
        <w:rPr>
          <w:rFonts w:ascii="Calibri" w:eastAsia="Times New Roman" w:hAnsi="Calibri" w:cs="Calibri"/>
          <w:color w:val="000000"/>
        </w:rPr>
      </w:pPr>
      <w:r>
        <w:rPr>
          <w:rFonts w:ascii="Calibri" w:eastAsia="Times New Roman" w:hAnsi="Calibri" w:cs="Calibri"/>
          <w:color w:val="000000"/>
        </w:rPr>
        <w:t xml:space="preserve">The mean </w:t>
      </w:r>
      <w:r w:rsidR="00165ED8">
        <w:rPr>
          <w:rFonts w:ascii="Calibri" w:eastAsia="Times New Roman" w:hAnsi="Calibri" w:cs="Calibri"/>
          <w:color w:val="000000"/>
        </w:rPr>
        <w:t>openess</w:t>
      </w:r>
      <w:r>
        <w:rPr>
          <w:rFonts w:ascii="Calibri" w:eastAsia="Times New Roman" w:hAnsi="Calibri" w:cs="Calibri"/>
          <w:color w:val="000000"/>
        </w:rPr>
        <w:t xml:space="preserve"> score in 2013: </w:t>
      </w:r>
      <w:r w:rsidR="00165ED8">
        <w:rPr>
          <w:rFonts w:ascii="Calibri" w:eastAsia="Times New Roman" w:hAnsi="Calibri" w:cs="Calibri"/>
          <w:color w:val="000000"/>
        </w:rPr>
        <w:t>46.76</w:t>
      </w:r>
    </w:p>
    <w:p w:rsidR="005337EC" w:rsidRDefault="00D546FA" w:rsidP="00D546FA">
      <w:pPr>
        <w:spacing w:after="0"/>
        <w:rPr>
          <w:rFonts w:ascii="Calibri" w:eastAsia="Times New Roman" w:hAnsi="Calibri" w:cs="Calibri"/>
          <w:color w:val="000000"/>
        </w:rPr>
      </w:pPr>
      <w:r>
        <w:rPr>
          <w:rFonts w:ascii="Calibri" w:eastAsia="Times New Roman" w:hAnsi="Calibri" w:cs="Calibri"/>
          <w:color w:val="000000"/>
        </w:rPr>
        <w:t xml:space="preserve">Inference: </w:t>
      </w:r>
    </w:p>
    <w:p w:rsidR="00D546FA" w:rsidRDefault="00D546FA" w:rsidP="00D546FA">
      <w:pPr>
        <w:spacing w:after="0"/>
        <w:rPr>
          <w:rFonts w:ascii="Calibri" w:eastAsia="Times New Roman" w:hAnsi="Calibri" w:cs="Calibri"/>
          <w:color w:val="000000"/>
        </w:rPr>
      </w:pPr>
      <w:r>
        <w:rPr>
          <w:rFonts w:ascii="Calibri" w:eastAsia="Times New Roman" w:hAnsi="Calibri" w:cs="Calibri"/>
          <w:color w:val="000000"/>
        </w:rPr>
        <w:t>In 2013, the body derived that there is a negligible amount of a positive correlation between the openness of data and happiness</w:t>
      </w:r>
      <w:r w:rsidR="005337EC">
        <w:rPr>
          <w:rFonts w:ascii="Calibri" w:eastAsia="Times New Roman" w:hAnsi="Calibri" w:cs="Calibri"/>
          <w:color w:val="000000"/>
        </w:rPr>
        <w:t xml:space="preserve"> (7.17%)</w:t>
      </w:r>
      <w:r>
        <w:rPr>
          <w:rFonts w:ascii="Calibri" w:eastAsia="Times New Roman" w:hAnsi="Calibri" w:cs="Calibri"/>
          <w:color w:val="000000"/>
        </w:rPr>
        <w:t>.</w:t>
      </w:r>
      <w:r w:rsidR="005337EC">
        <w:rPr>
          <w:rFonts w:ascii="Calibri" w:eastAsia="Times New Roman" w:hAnsi="Calibri" w:cs="Calibri"/>
          <w:color w:val="000000"/>
        </w:rPr>
        <w:t xml:space="preserve"> The government had shared 10 categories of data which is below:</w:t>
      </w:r>
    </w:p>
    <w:p w:rsidR="008B280A" w:rsidRPr="008B280A" w:rsidRDefault="008B280A" w:rsidP="008B280A">
      <w:pPr>
        <w:ind w:firstLineChars="100" w:firstLine="220"/>
        <w:rPr>
          <w:rFonts w:ascii="Calibri" w:eastAsia="Times New Roman" w:hAnsi="Calibri" w:cs="Calibri"/>
          <w:color w:val="000000"/>
        </w:rPr>
      </w:pPr>
      <w:r>
        <w:rPr>
          <w:rFonts w:ascii="Calibri" w:eastAsia="Times New Roman" w:hAnsi="Calibri" w:cs="Calibri"/>
          <w:color w:val="000000"/>
        </w:rPr>
        <w:lastRenderedPageBreak/>
        <w:t xml:space="preserve">Air Pollution, </w:t>
      </w:r>
      <w:r w:rsidRPr="008B280A">
        <w:rPr>
          <w:rFonts w:ascii="Calibri" w:eastAsia="Times New Roman" w:hAnsi="Calibri" w:cs="Calibri"/>
          <w:color w:val="000000"/>
        </w:rPr>
        <w:t>Company Registrations</w:t>
      </w:r>
      <w:r>
        <w:rPr>
          <w:rFonts w:ascii="Calibri" w:eastAsia="Times New Roman" w:hAnsi="Calibri" w:cs="Calibri"/>
          <w:color w:val="000000"/>
        </w:rPr>
        <w:t xml:space="preserve">, </w:t>
      </w:r>
      <w:r w:rsidRPr="008B280A">
        <w:rPr>
          <w:rFonts w:ascii="Calibri" w:eastAsia="Times New Roman" w:hAnsi="Calibri" w:cs="Calibri"/>
          <w:color w:val="000000"/>
        </w:rPr>
        <w:t>Election Results</w:t>
      </w:r>
      <w:r>
        <w:rPr>
          <w:rFonts w:ascii="Calibri" w:eastAsia="Times New Roman" w:hAnsi="Calibri" w:cs="Calibri"/>
          <w:color w:val="000000"/>
        </w:rPr>
        <w:t xml:space="preserve">, </w:t>
      </w:r>
      <w:r w:rsidRPr="008B280A">
        <w:rPr>
          <w:rFonts w:ascii="Calibri" w:eastAsia="Times New Roman" w:hAnsi="Calibri" w:cs="Calibri"/>
          <w:color w:val="000000"/>
        </w:rPr>
        <w:t>Government Budget</w:t>
      </w:r>
      <w:r>
        <w:rPr>
          <w:rFonts w:ascii="Calibri" w:eastAsia="Times New Roman" w:hAnsi="Calibri" w:cs="Calibri"/>
          <w:color w:val="000000"/>
        </w:rPr>
        <w:t xml:space="preserve">, </w:t>
      </w:r>
      <w:r w:rsidRPr="008B280A">
        <w:rPr>
          <w:rFonts w:ascii="Calibri" w:eastAsia="Times New Roman" w:hAnsi="Calibri" w:cs="Calibri"/>
          <w:color w:val="000000"/>
        </w:rPr>
        <w:t>Government Expenditures</w:t>
      </w:r>
      <w:r>
        <w:rPr>
          <w:rFonts w:ascii="Calibri" w:eastAsia="Times New Roman" w:hAnsi="Calibri" w:cs="Calibri"/>
          <w:color w:val="000000"/>
        </w:rPr>
        <w:t xml:space="preserve">, </w:t>
      </w:r>
      <w:r w:rsidRPr="008B280A">
        <w:rPr>
          <w:rFonts w:ascii="Calibri" w:eastAsia="Times New Roman" w:hAnsi="Calibri" w:cs="Calibri"/>
          <w:color w:val="000000"/>
        </w:rPr>
        <w:t>Legislation</w:t>
      </w:r>
      <w:r>
        <w:rPr>
          <w:rFonts w:ascii="Calibri" w:eastAsia="Times New Roman" w:hAnsi="Calibri" w:cs="Calibri"/>
          <w:color w:val="000000"/>
        </w:rPr>
        <w:t xml:space="preserve">, </w:t>
      </w:r>
      <w:r w:rsidRPr="008B280A">
        <w:rPr>
          <w:rFonts w:ascii="Calibri" w:eastAsia="Times New Roman" w:hAnsi="Calibri" w:cs="Calibri"/>
          <w:color w:val="000000"/>
        </w:rPr>
        <w:t>National Boundaries</w:t>
      </w:r>
      <w:r>
        <w:rPr>
          <w:rFonts w:ascii="Calibri" w:eastAsia="Times New Roman" w:hAnsi="Calibri" w:cs="Calibri"/>
          <w:color w:val="000000"/>
        </w:rPr>
        <w:t xml:space="preserve">, </w:t>
      </w:r>
      <w:r w:rsidRPr="008B280A">
        <w:rPr>
          <w:rFonts w:ascii="Calibri" w:eastAsia="Times New Roman" w:hAnsi="Calibri" w:cs="Calibri"/>
          <w:color w:val="000000"/>
        </w:rPr>
        <w:t>National Map</w:t>
      </w:r>
      <w:r>
        <w:rPr>
          <w:rFonts w:ascii="Calibri" w:eastAsia="Times New Roman" w:hAnsi="Calibri" w:cs="Calibri"/>
          <w:color w:val="000000"/>
        </w:rPr>
        <w:t xml:space="preserve">, </w:t>
      </w:r>
      <w:r w:rsidRPr="008B280A">
        <w:rPr>
          <w:rFonts w:ascii="Calibri" w:eastAsia="Times New Roman" w:hAnsi="Calibri" w:cs="Calibri"/>
          <w:color w:val="000000"/>
        </w:rPr>
        <w:t>National Statistics</w:t>
      </w:r>
      <w:r>
        <w:rPr>
          <w:rFonts w:ascii="Calibri" w:eastAsia="Times New Roman" w:hAnsi="Calibri" w:cs="Calibri"/>
          <w:color w:val="000000"/>
        </w:rPr>
        <w:t xml:space="preserve">, </w:t>
      </w:r>
      <w:r w:rsidRPr="008B280A">
        <w:rPr>
          <w:rFonts w:ascii="Calibri" w:eastAsia="Times New Roman" w:hAnsi="Calibri" w:cs="Calibri"/>
          <w:color w:val="000000"/>
        </w:rPr>
        <w:t>Transportation Schedules</w:t>
      </w:r>
      <w:r>
        <w:rPr>
          <w:rFonts w:ascii="Calibri" w:eastAsia="Times New Roman" w:hAnsi="Calibri" w:cs="Calibri"/>
          <w:color w:val="000000"/>
        </w:rPr>
        <w:t>.</w:t>
      </w:r>
    </w:p>
    <w:p w:rsidR="005337EC" w:rsidRDefault="005337EC" w:rsidP="00D546FA">
      <w:pPr>
        <w:spacing w:after="0"/>
        <w:rPr>
          <w:rFonts w:ascii="Calibri" w:eastAsia="Times New Roman" w:hAnsi="Calibri" w:cs="Calibri"/>
          <w:color w:val="000000"/>
        </w:rPr>
      </w:pPr>
    </w:p>
    <w:p w:rsidR="00596632" w:rsidRDefault="00596632" w:rsidP="004D17FC">
      <w:pPr>
        <w:rPr>
          <w:rFonts w:ascii="Calibri" w:eastAsia="Times New Roman" w:hAnsi="Calibri" w:cs="Calibri"/>
          <w:color w:val="000000"/>
        </w:rPr>
      </w:pPr>
    </w:p>
    <w:p w:rsidR="004D17FC" w:rsidRDefault="008B280A" w:rsidP="004D17FC">
      <w:pPr>
        <w:rPr>
          <w:rFonts w:ascii="Calibri" w:eastAsia="Times New Roman" w:hAnsi="Calibri" w:cs="Calibri"/>
          <w:color w:val="000000"/>
        </w:rPr>
      </w:pPr>
      <w:r>
        <w:rPr>
          <w:rFonts w:ascii="Calibri" w:eastAsia="Times New Roman" w:hAnsi="Calibri" w:cs="Calibri"/>
          <w:color w:val="000000"/>
        </w:rPr>
        <w:t xml:space="preserve">The same procedure was followed in 2014, the relation got a dip of 0.5% from 7.16% to 6.77%. </w:t>
      </w:r>
    </w:p>
    <w:p w:rsidR="008B280A" w:rsidRDefault="008B280A" w:rsidP="004D17FC">
      <w:pPr>
        <w:rPr>
          <w:rFonts w:ascii="Calibri" w:eastAsia="Times New Roman" w:hAnsi="Calibri" w:cs="Calibri"/>
          <w:color w:val="000000"/>
        </w:rPr>
      </w:pPr>
      <w:r>
        <w:rPr>
          <w:noProof/>
        </w:rPr>
        <w:drawing>
          <wp:inline distT="0" distB="0" distL="0" distR="0" wp14:anchorId="09C9725E" wp14:editId="6277E4E7">
            <wp:extent cx="5515708" cy="2784231"/>
            <wp:effectExtent l="0" t="0" r="889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B280A" w:rsidRPr="008B280A" w:rsidRDefault="008B280A" w:rsidP="008B280A">
      <w:pPr>
        <w:ind w:firstLineChars="100" w:firstLine="220"/>
        <w:rPr>
          <w:rFonts w:ascii="Calibri" w:eastAsia="Times New Roman" w:hAnsi="Calibri" w:cs="Calibri"/>
          <w:color w:val="000000"/>
        </w:rPr>
      </w:pPr>
      <w:r>
        <w:rPr>
          <w:rFonts w:ascii="Calibri" w:eastAsia="Times New Roman" w:hAnsi="Calibri" w:cs="Calibri"/>
          <w:color w:val="000000"/>
        </w:rPr>
        <w:t>The government had shared 10 categories of data which is below:</w:t>
      </w:r>
      <w:r w:rsidRPr="008B280A">
        <w:rPr>
          <w:rFonts w:ascii="Calibri" w:eastAsia="Times New Roman" w:hAnsi="Calibri" w:cs="Calibri"/>
          <w:color w:val="000000"/>
        </w:rPr>
        <w:t xml:space="preserve"> </w:t>
      </w:r>
      <w:r>
        <w:rPr>
          <w:rFonts w:ascii="Calibri" w:eastAsia="Times New Roman" w:hAnsi="Calibri" w:cs="Calibri"/>
          <w:color w:val="000000"/>
        </w:rPr>
        <w:t xml:space="preserve">Air Pollution, </w:t>
      </w:r>
      <w:r w:rsidRPr="008B280A">
        <w:rPr>
          <w:rFonts w:ascii="Calibri" w:eastAsia="Times New Roman" w:hAnsi="Calibri" w:cs="Calibri"/>
          <w:color w:val="000000"/>
        </w:rPr>
        <w:t>Company Registrations</w:t>
      </w:r>
      <w:r>
        <w:rPr>
          <w:rFonts w:ascii="Calibri" w:eastAsia="Times New Roman" w:hAnsi="Calibri" w:cs="Calibri"/>
          <w:color w:val="000000"/>
        </w:rPr>
        <w:t xml:space="preserve">, </w:t>
      </w:r>
      <w:r w:rsidRPr="008B280A">
        <w:rPr>
          <w:rFonts w:ascii="Calibri" w:eastAsia="Times New Roman" w:hAnsi="Calibri" w:cs="Calibri"/>
          <w:color w:val="000000"/>
        </w:rPr>
        <w:t>Election Results</w:t>
      </w:r>
      <w:r>
        <w:rPr>
          <w:rFonts w:ascii="Calibri" w:eastAsia="Times New Roman" w:hAnsi="Calibri" w:cs="Calibri"/>
          <w:color w:val="000000"/>
        </w:rPr>
        <w:t xml:space="preserve">, </w:t>
      </w:r>
      <w:r w:rsidRPr="008B280A">
        <w:rPr>
          <w:rFonts w:ascii="Calibri" w:eastAsia="Times New Roman" w:hAnsi="Calibri" w:cs="Calibri"/>
          <w:color w:val="000000"/>
        </w:rPr>
        <w:t>Government Budget</w:t>
      </w:r>
      <w:r>
        <w:rPr>
          <w:rFonts w:ascii="Calibri" w:eastAsia="Times New Roman" w:hAnsi="Calibri" w:cs="Calibri"/>
          <w:color w:val="000000"/>
        </w:rPr>
        <w:t xml:space="preserve">, </w:t>
      </w:r>
      <w:r w:rsidRPr="008B280A">
        <w:rPr>
          <w:rFonts w:ascii="Calibri" w:eastAsia="Times New Roman" w:hAnsi="Calibri" w:cs="Calibri"/>
          <w:color w:val="000000"/>
        </w:rPr>
        <w:t>Government Expenditures</w:t>
      </w:r>
      <w:r>
        <w:rPr>
          <w:rFonts w:ascii="Calibri" w:eastAsia="Times New Roman" w:hAnsi="Calibri" w:cs="Calibri"/>
          <w:color w:val="000000"/>
        </w:rPr>
        <w:t xml:space="preserve">, </w:t>
      </w:r>
      <w:r w:rsidRPr="008B280A">
        <w:rPr>
          <w:rFonts w:ascii="Calibri" w:eastAsia="Times New Roman" w:hAnsi="Calibri" w:cs="Calibri"/>
          <w:color w:val="000000"/>
        </w:rPr>
        <w:t>Legislation</w:t>
      </w:r>
      <w:r>
        <w:rPr>
          <w:rFonts w:ascii="Calibri" w:eastAsia="Times New Roman" w:hAnsi="Calibri" w:cs="Calibri"/>
          <w:color w:val="000000"/>
        </w:rPr>
        <w:t xml:space="preserve">, </w:t>
      </w:r>
      <w:r w:rsidRPr="008B280A">
        <w:rPr>
          <w:rFonts w:ascii="Calibri" w:eastAsia="Times New Roman" w:hAnsi="Calibri" w:cs="Calibri"/>
          <w:color w:val="000000"/>
        </w:rPr>
        <w:t>National Boundaries</w:t>
      </w:r>
      <w:r>
        <w:rPr>
          <w:rFonts w:ascii="Calibri" w:eastAsia="Times New Roman" w:hAnsi="Calibri" w:cs="Calibri"/>
          <w:color w:val="000000"/>
        </w:rPr>
        <w:t xml:space="preserve">, </w:t>
      </w:r>
      <w:r w:rsidRPr="008B280A">
        <w:rPr>
          <w:rFonts w:ascii="Calibri" w:eastAsia="Times New Roman" w:hAnsi="Calibri" w:cs="Calibri"/>
          <w:color w:val="000000"/>
        </w:rPr>
        <w:t>National Map</w:t>
      </w:r>
      <w:r>
        <w:rPr>
          <w:rFonts w:ascii="Calibri" w:eastAsia="Times New Roman" w:hAnsi="Calibri" w:cs="Calibri"/>
          <w:color w:val="000000"/>
        </w:rPr>
        <w:t xml:space="preserve">, </w:t>
      </w:r>
      <w:r w:rsidRPr="008B280A">
        <w:rPr>
          <w:rFonts w:ascii="Calibri" w:eastAsia="Times New Roman" w:hAnsi="Calibri" w:cs="Calibri"/>
          <w:color w:val="000000"/>
        </w:rPr>
        <w:t>National Statistics</w:t>
      </w:r>
      <w:r>
        <w:rPr>
          <w:rFonts w:ascii="Calibri" w:eastAsia="Times New Roman" w:hAnsi="Calibri" w:cs="Calibri"/>
          <w:color w:val="000000"/>
        </w:rPr>
        <w:t xml:space="preserve">, </w:t>
      </w:r>
      <w:r w:rsidRPr="008B280A">
        <w:rPr>
          <w:rFonts w:ascii="Calibri" w:eastAsia="Times New Roman" w:hAnsi="Calibri" w:cs="Calibri"/>
          <w:color w:val="000000"/>
        </w:rPr>
        <w:t>and Transportation</w:t>
      </w:r>
      <w:r w:rsidRPr="008B280A">
        <w:rPr>
          <w:rFonts w:ascii="Calibri" w:eastAsia="Times New Roman" w:hAnsi="Calibri" w:cs="Calibri"/>
          <w:color w:val="000000"/>
        </w:rPr>
        <w:t xml:space="preserve"> Schedules</w:t>
      </w:r>
      <w:r>
        <w:rPr>
          <w:rFonts w:ascii="Calibri" w:eastAsia="Times New Roman" w:hAnsi="Calibri" w:cs="Calibri"/>
          <w:color w:val="000000"/>
        </w:rPr>
        <w:t>.</w:t>
      </w:r>
      <w:r>
        <w:rPr>
          <w:rFonts w:ascii="Calibri" w:eastAsia="Times New Roman" w:hAnsi="Calibri" w:cs="Calibri"/>
          <w:color w:val="000000"/>
        </w:rPr>
        <w:t xml:space="preserve"> </w:t>
      </w:r>
      <w:r w:rsidR="003F2BE0">
        <w:rPr>
          <w:rFonts w:ascii="Calibri" w:eastAsia="Times New Roman" w:hAnsi="Calibri" w:cs="Calibri"/>
          <w:color w:val="000000"/>
        </w:rPr>
        <w:t>International body</w:t>
      </w:r>
      <w:r>
        <w:rPr>
          <w:rFonts w:ascii="Calibri" w:eastAsia="Times New Roman" w:hAnsi="Calibri" w:cs="Calibri"/>
          <w:color w:val="000000"/>
        </w:rPr>
        <w:t xml:space="preserve"> suggested to </w:t>
      </w:r>
      <w:r w:rsidR="003F2BE0">
        <w:rPr>
          <w:rFonts w:ascii="Calibri" w:eastAsia="Times New Roman" w:hAnsi="Calibri" w:cs="Calibri"/>
          <w:color w:val="000000"/>
        </w:rPr>
        <w:t xml:space="preserve">provide </w:t>
      </w:r>
      <w:r>
        <w:rPr>
          <w:rFonts w:ascii="Calibri" w:eastAsia="Times New Roman" w:hAnsi="Calibri" w:cs="Calibri"/>
          <w:color w:val="000000"/>
        </w:rPr>
        <w:t xml:space="preserve">more useful information for the benefit </w:t>
      </w:r>
      <w:r w:rsidR="003F2BE0">
        <w:rPr>
          <w:rFonts w:ascii="Calibri" w:eastAsia="Times New Roman" w:hAnsi="Calibri" w:cs="Calibri"/>
          <w:color w:val="000000"/>
        </w:rPr>
        <w:t>of the people to the government. Government</w:t>
      </w:r>
      <w:r>
        <w:rPr>
          <w:rFonts w:ascii="Calibri" w:eastAsia="Times New Roman" w:hAnsi="Calibri" w:cs="Calibri"/>
          <w:color w:val="000000"/>
        </w:rPr>
        <w:t xml:space="preserve"> decided </w:t>
      </w:r>
      <w:r w:rsidR="003F2BE0">
        <w:rPr>
          <w:rFonts w:ascii="Calibri" w:eastAsia="Times New Roman" w:hAnsi="Calibri" w:cs="Calibri"/>
          <w:color w:val="000000"/>
        </w:rPr>
        <w:t>to provide and share the land ownership, water quality and weather forecasts.</w:t>
      </w:r>
    </w:p>
    <w:p w:rsidR="00165ED8" w:rsidRDefault="00165ED8" w:rsidP="00165ED8">
      <w:pPr>
        <w:spacing w:after="0"/>
        <w:rPr>
          <w:rFonts w:ascii="Calibri" w:eastAsia="Times New Roman" w:hAnsi="Calibri" w:cs="Calibri"/>
          <w:color w:val="000000"/>
        </w:rPr>
      </w:pPr>
      <w:r>
        <w:rPr>
          <w:rFonts w:ascii="Calibri" w:eastAsia="Times New Roman" w:hAnsi="Calibri" w:cs="Calibri"/>
          <w:color w:val="000000"/>
        </w:rPr>
        <w:t>The mean openess score in 2013: 4</w:t>
      </w:r>
      <w:r>
        <w:rPr>
          <w:rFonts w:ascii="Calibri" w:eastAsia="Times New Roman" w:hAnsi="Calibri" w:cs="Calibri"/>
          <w:color w:val="000000"/>
        </w:rPr>
        <w:t>3</w:t>
      </w:r>
      <w:r>
        <w:rPr>
          <w:rFonts w:ascii="Calibri" w:eastAsia="Times New Roman" w:hAnsi="Calibri" w:cs="Calibri"/>
          <w:color w:val="000000"/>
        </w:rPr>
        <w:t>.</w:t>
      </w:r>
      <w:r>
        <w:rPr>
          <w:rFonts w:ascii="Calibri" w:eastAsia="Times New Roman" w:hAnsi="Calibri" w:cs="Calibri"/>
          <w:color w:val="000000"/>
        </w:rPr>
        <w:t>36</w:t>
      </w: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165ED8" w:rsidRDefault="00165ED8" w:rsidP="008B280A">
      <w:pPr>
        <w:spacing w:after="0"/>
        <w:rPr>
          <w:rFonts w:ascii="Calibri" w:eastAsia="Times New Roman" w:hAnsi="Calibri" w:cs="Calibri"/>
          <w:color w:val="000000"/>
        </w:rPr>
      </w:pPr>
    </w:p>
    <w:p w:rsidR="008B280A" w:rsidRDefault="008B280A" w:rsidP="008B280A">
      <w:pPr>
        <w:spacing w:after="0"/>
        <w:rPr>
          <w:rFonts w:ascii="Calibri" w:eastAsia="Times New Roman" w:hAnsi="Calibri" w:cs="Calibri"/>
          <w:color w:val="000000"/>
        </w:rPr>
      </w:pPr>
      <w:r>
        <w:rPr>
          <w:rFonts w:ascii="Calibri" w:eastAsia="Times New Roman" w:hAnsi="Calibri" w:cs="Calibri"/>
          <w:color w:val="000000"/>
        </w:rPr>
        <w:t>In 2015, as there was a dip in 2014, the body decided to measure some more data so they have informed respective government to provide some more data in order to see the correlation.</w:t>
      </w:r>
    </w:p>
    <w:p w:rsidR="008B280A" w:rsidRDefault="008B280A" w:rsidP="008B280A">
      <w:pPr>
        <w:spacing w:after="0"/>
        <w:rPr>
          <w:rFonts w:ascii="Calibri" w:eastAsia="Times New Roman" w:hAnsi="Calibri" w:cs="Calibri"/>
          <w:color w:val="000000"/>
        </w:rPr>
      </w:pPr>
    </w:p>
    <w:p w:rsidR="008B280A" w:rsidRDefault="008B280A" w:rsidP="008B280A">
      <w:pPr>
        <w:spacing w:after="0"/>
        <w:rPr>
          <w:rFonts w:ascii="Calibri" w:eastAsia="Times New Roman" w:hAnsi="Calibri" w:cs="Calibri"/>
          <w:color w:val="000000"/>
        </w:rPr>
      </w:pPr>
      <w:r>
        <w:rPr>
          <w:rFonts w:ascii="Calibri" w:eastAsia="Times New Roman" w:hAnsi="Calibri" w:cs="Calibri"/>
          <w:color w:val="000000"/>
        </w:rPr>
        <w:t>This time there were 13 categories with new categories Land ownership, water quality, weather forecast.</w:t>
      </w:r>
    </w:p>
    <w:p w:rsidR="008B280A" w:rsidRDefault="008B280A" w:rsidP="008B280A">
      <w:pPr>
        <w:spacing w:after="0"/>
        <w:rPr>
          <w:rFonts w:ascii="Calibri" w:eastAsia="Times New Roman" w:hAnsi="Calibri" w:cs="Calibri"/>
          <w:color w:val="000000"/>
        </w:rPr>
      </w:pPr>
      <w:r>
        <w:rPr>
          <w:rFonts w:ascii="Calibri" w:eastAsia="Times New Roman" w:hAnsi="Calibri" w:cs="Calibri"/>
          <w:color w:val="000000"/>
        </w:rPr>
        <w:t xml:space="preserve"> Let us see the correlation in 2015.</w:t>
      </w:r>
    </w:p>
    <w:p w:rsidR="008B280A" w:rsidRDefault="008B280A" w:rsidP="008B280A">
      <w:pPr>
        <w:spacing w:after="0"/>
        <w:rPr>
          <w:rFonts w:ascii="Calibri" w:eastAsia="Times New Roman" w:hAnsi="Calibri" w:cs="Calibri"/>
          <w:color w:val="000000"/>
        </w:rPr>
      </w:pPr>
    </w:p>
    <w:p w:rsidR="008B280A" w:rsidRDefault="008B280A" w:rsidP="008B280A">
      <w:pPr>
        <w:spacing w:after="0"/>
        <w:rPr>
          <w:rFonts w:ascii="Calibri" w:eastAsia="Times New Roman" w:hAnsi="Calibri" w:cs="Calibri"/>
          <w:color w:val="000000"/>
        </w:rPr>
      </w:pPr>
      <w:r>
        <w:rPr>
          <w:noProof/>
        </w:rPr>
        <w:drawing>
          <wp:inline distT="0" distB="0" distL="0" distR="0" wp14:anchorId="50113745" wp14:editId="7FC435FC">
            <wp:extent cx="5890846" cy="2690446"/>
            <wp:effectExtent l="0" t="0" r="1524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B280A" w:rsidRDefault="008B280A" w:rsidP="004D17FC">
      <w:pPr>
        <w:rPr>
          <w:rFonts w:ascii="Calibri" w:eastAsia="Times New Roman" w:hAnsi="Calibri" w:cs="Calibri"/>
          <w:color w:val="000000"/>
        </w:rPr>
      </w:pPr>
      <w:r>
        <w:rPr>
          <w:rFonts w:ascii="Calibri" w:eastAsia="Times New Roman" w:hAnsi="Calibri" w:cs="Calibri"/>
          <w:color w:val="000000"/>
        </w:rPr>
        <w:t>We could infer that there was increase in the positive correlation from 6.77% to 18.42%.</w:t>
      </w:r>
    </w:p>
    <w:p w:rsidR="00165ED8" w:rsidRDefault="00165ED8" w:rsidP="00165ED8">
      <w:pPr>
        <w:spacing w:after="0"/>
        <w:rPr>
          <w:rFonts w:ascii="Calibri" w:eastAsia="Times New Roman" w:hAnsi="Calibri" w:cs="Calibri"/>
          <w:color w:val="000000"/>
        </w:rPr>
      </w:pPr>
      <w:r>
        <w:rPr>
          <w:rFonts w:ascii="Calibri" w:eastAsia="Times New Roman" w:hAnsi="Calibri" w:cs="Calibri"/>
          <w:color w:val="000000"/>
        </w:rPr>
        <w:t>The mean ope</w:t>
      </w:r>
      <w:r w:rsidR="00093AD9">
        <w:rPr>
          <w:rFonts w:ascii="Calibri" w:eastAsia="Times New Roman" w:hAnsi="Calibri" w:cs="Calibri"/>
          <w:color w:val="000000"/>
        </w:rPr>
        <w:t>n</w:t>
      </w:r>
      <w:r>
        <w:rPr>
          <w:rFonts w:ascii="Calibri" w:eastAsia="Times New Roman" w:hAnsi="Calibri" w:cs="Calibri"/>
          <w:color w:val="000000"/>
        </w:rPr>
        <w:t xml:space="preserve">ness score in 2013: </w:t>
      </w:r>
      <w:r>
        <w:rPr>
          <w:rFonts w:ascii="Calibri" w:eastAsia="Times New Roman" w:hAnsi="Calibri" w:cs="Calibri"/>
          <w:color w:val="000000"/>
        </w:rPr>
        <w:t>33.37</w:t>
      </w:r>
    </w:p>
    <w:p w:rsidR="004D17FC" w:rsidRDefault="004D17FC" w:rsidP="004D17FC">
      <w:pPr>
        <w:rPr>
          <w:rFonts w:ascii="Calibri" w:eastAsia="Times New Roman" w:hAnsi="Calibri" w:cs="Calibri"/>
          <w:color w:val="000000"/>
        </w:rPr>
      </w:pPr>
    </w:p>
    <w:p w:rsidR="00123E49" w:rsidRDefault="00123E49">
      <w:r>
        <w:t>Final Inference:</w:t>
      </w:r>
    </w:p>
    <w:p w:rsidR="00123E49" w:rsidRDefault="00123E49" w:rsidP="00123E49">
      <w:pPr>
        <w:pStyle w:val="ListParagraph"/>
        <w:numPr>
          <w:ilvl w:val="0"/>
          <w:numId w:val="1"/>
        </w:numPr>
      </w:pPr>
      <w:r>
        <w:t>As 2013 had a negligible amount positive correlation of 7.17%, and it continued to detoriate to 6.71% in 2014. Because of which government started taking excess data measurement on GDP, salary and PCI Etc which resulted in 18% correlation.</w:t>
      </w:r>
    </w:p>
    <w:p w:rsidR="00123E49" w:rsidRDefault="001B4FF0" w:rsidP="00123E49">
      <w:pPr>
        <w:pStyle w:val="ListParagraph"/>
        <w:numPr>
          <w:ilvl w:val="0"/>
          <w:numId w:val="1"/>
        </w:numPr>
      </w:pPr>
      <w:r>
        <w:t>When the countries and regions are compared, the country which measures the data keeps happiness</w:t>
      </w:r>
      <w:r w:rsidR="002F5FDA">
        <w:t xml:space="preserve"> increasing.</w:t>
      </w:r>
    </w:p>
    <w:p w:rsidR="002F5FDA" w:rsidRDefault="00B409BF" w:rsidP="00123E49">
      <w:pPr>
        <w:pStyle w:val="ListParagraph"/>
        <w:numPr>
          <w:ilvl w:val="0"/>
          <w:numId w:val="1"/>
        </w:numPr>
      </w:pPr>
      <w:r>
        <w:t>In top 10 countries maintaining happiness score in which 60% are consistently from Western Europe Union.</w:t>
      </w:r>
    </w:p>
    <w:p w:rsidR="00B409BF" w:rsidRDefault="00B409BF" w:rsidP="00123E49">
      <w:pPr>
        <w:pStyle w:val="ListParagraph"/>
        <w:numPr>
          <w:ilvl w:val="0"/>
          <w:numId w:val="1"/>
        </w:numPr>
      </w:pPr>
      <w:r>
        <w:t>There were 27 Countries which did not provide data for the people.</w:t>
      </w:r>
    </w:p>
    <w:p w:rsidR="00B409BF" w:rsidRDefault="00AA765B" w:rsidP="00123E49">
      <w:pPr>
        <w:pStyle w:val="ListParagraph"/>
        <w:numPr>
          <w:ilvl w:val="0"/>
          <w:numId w:val="1"/>
        </w:numPr>
      </w:pPr>
      <w:r>
        <w:t>United Kingdom retained 1</w:t>
      </w:r>
      <w:r w:rsidRPr="00AA765B">
        <w:rPr>
          <w:vertAlign w:val="superscript"/>
        </w:rPr>
        <w:t>st</w:t>
      </w:r>
      <w:r>
        <w:t xml:space="preserve"> position in 2013,</w:t>
      </w:r>
      <w:r w:rsidR="00B2353A">
        <w:t xml:space="preserve"> </w:t>
      </w:r>
      <w:bookmarkStart w:id="0" w:name="_GoBack"/>
      <w:bookmarkEnd w:id="0"/>
      <w:r>
        <w:t>2014 but was pushed to 2</w:t>
      </w:r>
      <w:r w:rsidRPr="00AA765B">
        <w:rPr>
          <w:vertAlign w:val="superscript"/>
        </w:rPr>
        <w:t>nd</w:t>
      </w:r>
      <w:r>
        <w:t xml:space="preserve"> position in 2015. Since the water quality data was not posted to people, which made the score to dip.</w:t>
      </w:r>
    </w:p>
    <w:p w:rsidR="00865BFE" w:rsidRDefault="00865BFE" w:rsidP="00123E49">
      <w:pPr>
        <w:pStyle w:val="ListParagraph"/>
        <w:numPr>
          <w:ilvl w:val="0"/>
          <w:numId w:val="1"/>
        </w:numPr>
      </w:pPr>
      <w:r>
        <w:t xml:space="preserve">In 2015, the people are happy if the government provided National Statistics, Legislations, Election results </w:t>
      </w:r>
      <w:r w:rsidR="00666FEF">
        <w:t xml:space="preserve">which is </w:t>
      </w:r>
      <w:r>
        <w:t>contributing 59%.</w:t>
      </w:r>
    </w:p>
    <w:p w:rsidR="00666FEF" w:rsidRDefault="00666FEF" w:rsidP="00123E49">
      <w:pPr>
        <w:pStyle w:val="ListParagraph"/>
        <w:numPr>
          <w:ilvl w:val="0"/>
          <w:numId w:val="1"/>
        </w:numPr>
      </w:pPr>
      <w:r>
        <w:t>Also the countries with lesser happiness score lacks 3 data provided to the people.</w:t>
      </w:r>
    </w:p>
    <w:sectPr w:rsidR="0066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334E2"/>
    <w:multiLevelType w:val="hybridMultilevel"/>
    <w:tmpl w:val="EF82E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1F"/>
    <w:rsid w:val="00093AD9"/>
    <w:rsid w:val="00123E49"/>
    <w:rsid w:val="00165ED8"/>
    <w:rsid w:val="001B4FF0"/>
    <w:rsid w:val="002E0498"/>
    <w:rsid w:val="002F5FDA"/>
    <w:rsid w:val="003F2BE0"/>
    <w:rsid w:val="004D17FC"/>
    <w:rsid w:val="005337EC"/>
    <w:rsid w:val="0054302E"/>
    <w:rsid w:val="00596632"/>
    <w:rsid w:val="0063054D"/>
    <w:rsid w:val="00666FEF"/>
    <w:rsid w:val="0078071F"/>
    <w:rsid w:val="00865BFE"/>
    <w:rsid w:val="008B280A"/>
    <w:rsid w:val="00A6225F"/>
    <w:rsid w:val="00AA765B"/>
    <w:rsid w:val="00B2353A"/>
    <w:rsid w:val="00B409BF"/>
    <w:rsid w:val="00D5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77AF"/>
  <w15:chartTrackingRefBased/>
  <w15:docId w15:val="{828AE1FE-414A-4D89-B524-D22822E2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6207">
      <w:bodyDiv w:val="1"/>
      <w:marLeft w:val="0"/>
      <w:marRight w:val="0"/>
      <w:marTop w:val="0"/>
      <w:marBottom w:val="0"/>
      <w:divBdr>
        <w:top w:val="none" w:sz="0" w:space="0" w:color="auto"/>
        <w:left w:val="none" w:sz="0" w:space="0" w:color="auto"/>
        <w:bottom w:val="none" w:sz="0" w:space="0" w:color="auto"/>
        <w:right w:val="none" w:sz="0" w:space="0" w:color="auto"/>
      </w:divBdr>
    </w:div>
    <w:div w:id="149684708">
      <w:bodyDiv w:val="1"/>
      <w:marLeft w:val="0"/>
      <w:marRight w:val="0"/>
      <w:marTop w:val="0"/>
      <w:marBottom w:val="0"/>
      <w:divBdr>
        <w:top w:val="none" w:sz="0" w:space="0" w:color="auto"/>
        <w:left w:val="none" w:sz="0" w:space="0" w:color="auto"/>
        <w:bottom w:val="none" w:sz="0" w:space="0" w:color="auto"/>
        <w:right w:val="none" w:sz="0" w:space="0" w:color="auto"/>
      </w:divBdr>
    </w:div>
    <w:div w:id="313610895">
      <w:bodyDiv w:val="1"/>
      <w:marLeft w:val="0"/>
      <w:marRight w:val="0"/>
      <w:marTop w:val="0"/>
      <w:marBottom w:val="0"/>
      <w:divBdr>
        <w:top w:val="none" w:sz="0" w:space="0" w:color="auto"/>
        <w:left w:val="none" w:sz="0" w:space="0" w:color="auto"/>
        <w:bottom w:val="none" w:sz="0" w:space="0" w:color="auto"/>
        <w:right w:val="none" w:sz="0" w:space="0" w:color="auto"/>
      </w:divBdr>
    </w:div>
    <w:div w:id="585840993">
      <w:bodyDiv w:val="1"/>
      <w:marLeft w:val="0"/>
      <w:marRight w:val="0"/>
      <w:marTop w:val="0"/>
      <w:marBottom w:val="0"/>
      <w:divBdr>
        <w:top w:val="none" w:sz="0" w:space="0" w:color="auto"/>
        <w:left w:val="none" w:sz="0" w:space="0" w:color="auto"/>
        <w:bottom w:val="none" w:sz="0" w:space="0" w:color="auto"/>
        <w:right w:val="none" w:sz="0" w:space="0" w:color="auto"/>
      </w:divBdr>
    </w:div>
    <w:div w:id="695812335">
      <w:bodyDiv w:val="1"/>
      <w:marLeft w:val="0"/>
      <w:marRight w:val="0"/>
      <w:marTop w:val="0"/>
      <w:marBottom w:val="0"/>
      <w:divBdr>
        <w:top w:val="none" w:sz="0" w:space="0" w:color="auto"/>
        <w:left w:val="none" w:sz="0" w:space="0" w:color="auto"/>
        <w:bottom w:val="none" w:sz="0" w:space="0" w:color="auto"/>
        <w:right w:val="none" w:sz="0" w:space="0" w:color="auto"/>
      </w:divBdr>
    </w:div>
    <w:div w:id="916407120">
      <w:bodyDiv w:val="1"/>
      <w:marLeft w:val="0"/>
      <w:marRight w:val="0"/>
      <w:marTop w:val="0"/>
      <w:marBottom w:val="0"/>
      <w:divBdr>
        <w:top w:val="none" w:sz="0" w:space="0" w:color="auto"/>
        <w:left w:val="none" w:sz="0" w:space="0" w:color="auto"/>
        <w:bottom w:val="none" w:sz="0" w:space="0" w:color="auto"/>
        <w:right w:val="none" w:sz="0" w:space="0" w:color="auto"/>
      </w:divBdr>
    </w:div>
    <w:div w:id="1030686647">
      <w:bodyDiv w:val="1"/>
      <w:marLeft w:val="0"/>
      <w:marRight w:val="0"/>
      <w:marTop w:val="0"/>
      <w:marBottom w:val="0"/>
      <w:divBdr>
        <w:top w:val="none" w:sz="0" w:space="0" w:color="auto"/>
        <w:left w:val="none" w:sz="0" w:space="0" w:color="auto"/>
        <w:bottom w:val="none" w:sz="0" w:space="0" w:color="auto"/>
        <w:right w:val="none" w:sz="0" w:space="0" w:color="auto"/>
      </w:divBdr>
    </w:div>
    <w:div w:id="1210385794">
      <w:bodyDiv w:val="1"/>
      <w:marLeft w:val="0"/>
      <w:marRight w:val="0"/>
      <w:marTop w:val="0"/>
      <w:marBottom w:val="0"/>
      <w:divBdr>
        <w:top w:val="none" w:sz="0" w:space="0" w:color="auto"/>
        <w:left w:val="none" w:sz="0" w:space="0" w:color="auto"/>
        <w:bottom w:val="none" w:sz="0" w:space="0" w:color="auto"/>
        <w:right w:val="none" w:sz="0" w:space="0" w:color="auto"/>
      </w:divBdr>
    </w:div>
    <w:div w:id="1464735597">
      <w:bodyDiv w:val="1"/>
      <w:marLeft w:val="0"/>
      <w:marRight w:val="0"/>
      <w:marTop w:val="0"/>
      <w:marBottom w:val="0"/>
      <w:divBdr>
        <w:top w:val="none" w:sz="0" w:space="0" w:color="auto"/>
        <w:left w:val="none" w:sz="0" w:space="0" w:color="auto"/>
        <w:bottom w:val="none" w:sz="0" w:space="0" w:color="auto"/>
        <w:right w:val="none" w:sz="0" w:space="0" w:color="auto"/>
      </w:divBdr>
    </w:div>
    <w:div w:id="1720936804">
      <w:bodyDiv w:val="1"/>
      <w:marLeft w:val="0"/>
      <w:marRight w:val="0"/>
      <w:marTop w:val="0"/>
      <w:marBottom w:val="0"/>
      <w:divBdr>
        <w:top w:val="none" w:sz="0" w:space="0" w:color="auto"/>
        <w:left w:val="none" w:sz="0" w:space="0" w:color="auto"/>
        <w:bottom w:val="none" w:sz="0" w:space="0" w:color="auto"/>
        <w:right w:val="none" w:sz="0" w:space="0" w:color="auto"/>
      </w:divBdr>
    </w:div>
    <w:div w:id="1869366818">
      <w:bodyDiv w:val="1"/>
      <w:marLeft w:val="0"/>
      <w:marRight w:val="0"/>
      <w:marTop w:val="0"/>
      <w:marBottom w:val="0"/>
      <w:divBdr>
        <w:top w:val="none" w:sz="0" w:space="0" w:color="auto"/>
        <w:left w:val="none" w:sz="0" w:space="0" w:color="auto"/>
        <w:bottom w:val="none" w:sz="0" w:space="0" w:color="auto"/>
        <w:right w:val="none" w:sz="0" w:space="0" w:color="auto"/>
      </w:divBdr>
    </w:div>
    <w:div w:id="207816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rrajguru\AppData\Local\Temp\Temp1_912_1664_bundle_archive.zip\scores.csv" TargetMode="External"/></Relationships>
</file>

<file path=word/charts/_rels/chart2.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rrajguru\AppData\Local\Temp\Temp1_912_1664_bundle_archive.zip\scores.csv" TargetMode="External"/></Relationships>
</file>

<file path=word/charts/_rels/chart3.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rrajguru\AppData\Local\Temp\Temp1_912_1664_bundle_archive.zip\scor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Sheet6!$G$3</c:f>
              <c:strCache>
                <c:ptCount val="1"/>
                <c:pt idx="0">
                  <c:v>2013</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linear"/>
            <c:dispRSqr val="1"/>
            <c:dispEq val="0"/>
            <c:trendlineLbl>
              <c:layout>
                <c:manualLayout>
                  <c:x val="-0.30928915135608048"/>
                  <c:y val="-0.288434310294546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Sheet6!$F$4:$F$14</c:f>
              <c:strCache>
                <c:ptCount val="11"/>
                <c:pt idx="0">
                  <c:v>Australia and New Zealand</c:v>
                </c:pt>
                <c:pt idx="1">
                  <c:v>Central and Eastern Europe</c:v>
                </c:pt>
                <c:pt idx="2">
                  <c:v>Eastern Asia</c:v>
                </c:pt>
                <c:pt idx="3">
                  <c:v>Latin America and Caribbean</c:v>
                </c:pt>
                <c:pt idx="4">
                  <c:v>Middle East and Northern Africa</c:v>
                </c:pt>
                <c:pt idx="5">
                  <c:v>North America</c:v>
                </c:pt>
                <c:pt idx="6">
                  <c:v>Southeastern Asia</c:v>
                </c:pt>
                <c:pt idx="7">
                  <c:v>Southern Asia</c:v>
                </c:pt>
                <c:pt idx="8">
                  <c:v>Sub-Saharan Africa</c:v>
                </c:pt>
                <c:pt idx="9">
                  <c:v>Western Europe</c:v>
                </c:pt>
                <c:pt idx="10">
                  <c:v>#N/A</c:v>
                </c:pt>
              </c:strCache>
            </c:strRef>
          </c:xVal>
          <c:yVal>
            <c:numRef>
              <c:f>Sheet6!$G$4:$G$14</c:f>
              <c:numCache>
                <c:formatCode>General</c:formatCode>
                <c:ptCount val="11"/>
                <c:pt idx="0">
                  <c:v>1320</c:v>
                </c:pt>
                <c:pt idx="1">
                  <c:v>5115</c:v>
                </c:pt>
                <c:pt idx="2">
                  <c:v>1525</c:v>
                </c:pt>
                <c:pt idx="3">
                  <c:v>1720</c:v>
                </c:pt>
                <c:pt idx="4">
                  <c:v>1645</c:v>
                </c:pt>
                <c:pt idx="5">
                  <c:v>1460</c:v>
                </c:pt>
                <c:pt idx="6">
                  <c:v>1085</c:v>
                </c:pt>
                <c:pt idx="7">
                  <c:v>1095</c:v>
                </c:pt>
                <c:pt idx="8">
                  <c:v>1370</c:v>
                </c:pt>
                <c:pt idx="9">
                  <c:v>11225</c:v>
                </c:pt>
                <c:pt idx="10">
                  <c:v>2290</c:v>
                </c:pt>
              </c:numCache>
            </c:numRef>
          </c:yVal>
          <c:smooth val="0"/>
          <c:extLst>
            <c:ext xmlns:c16="http://schemas.microsoft.com/office/drawing/2014/chart" uri="{C3380CC4-5D6E-409C-BE32-E72D297353CC}">
              <c16:uniqueId val="{00000000-EE35-4320-8ED8-28CF226EA4C2}"/>
            </c:ext>
          </c:extLst>
        </c:ser>
        <c:ser>
          <c:idx val="1"/>
          <c:order val="1"/>
          <c:tx>
            <c:strRef>
              <c:f>Sheet6!$H$3</c:f>
              <c:strCache>
                <c:ptCount val="1"/>
                <c:pt idx="0">
                  <c:v>2013</c:v>
                </c:pt>
              </c:strCache>
            </c:strRef>
          </c:tx>
          <c:spPr>
            <a:ln w="19050" cap="rnd">
              <a:noFill/>
              <a:round/>
            </a:ln>
            <a:effectLst/>
          </c:spPr>
          <c:marker>
            <c:symbol val="circle"/>
            <c:size val="5"/>
            <c:spPr>
              <a:solidFill>
                <a:schemeClr val="accent2"/>
              </a:solidFill>
              <a:ln w="9525">
                <a:solidFill>
                  <a:schemeClr val="accent2"/>
                </a:solidFill>
              </a:ln>
              <a:effectLst/>
            </c:spPr>
          </c:marker>
          <c:xVal>
            <c:strRef>
              <c:f>Sheet6!$F$4:$F$14</c:f>
              <c:strCache>
                <c:ptCount val="11"/>
                <c:pt idx="0">
                  <c:v>Australia and New Zealand</c:v>
                </c:pt>
                <c:pt idx="1">
                  <c:v>Central and Eastern Europe</c:v>
                </c:pt>
                <c:pt idx="2">
                  <c:v>Eastern Asia</c:v>
                </c:pt>
                <c:pt idx="3">
                  <c:v>Latin America and Caribbean</c:v>
                </c:pt>
                <c:pt idx="4">
                  <c:v>Middle East and Northern Africa</c:v>
                </c:pt>
                <c:pt idx="5">
                  <c:v>North America</c:v>
                </c:pt>
                <c:pt idx="6">
                  <c:v>Southeastern Asia</c:v>
                </c:pt>
                <c:pt idx="7">
                  <c:v>Southern Asia</c:v>
                </c:pt>
                <c:pt idx="8">
                  <c:v>Sub-Saharan Africa</c:v>
                </c:pt>
                <c:pt idx="9">
                  <c:v>Western Europe</c:v>
                </c:pt>
                <c:pt idx="10">
                  <c:v>#N/A</c:v>
                </c:pt>
              </c:strCache>
            </c:strRef>
          </c:xVal>
          <c:yVal>
            <c:numRef>
              <c:f>Sheet6!$H$4:$H$14</c:f>
              <c:numCache>
                <c:formatCode>General</c:formatCode>
                <c:ptCount val="11"/>
                <c:pt idx="0">
                  <c:v>132</c:v>
                </c:pt>
                <c:pt idx="1">
                  <c:v>472</c:v>
                </c:pt>
                <c:pt idx="2">
                  <c:v>154</c:v>
                </c:pt>
                <c:pt idx="3">
                  <c:v>173</c:v>
                </c:pt>
                <c:pt idx="4">
                  <c:v>137</c:v>
                </c:pt>
                <c:pt idx="5">
                  <c:v>146</c:v>
                </c:pt>
                <c:pt idx="6">
                  <c:v>76</c:v>
                </c:pt>
                <c:pt idx="7">
                  <c:v>110</c:v>
                </c:pt>
                <c:pt idx="8">
                  <c:v>139</c:v>
                </c:pt>
                <c:pt idx="9">
                  <c:v>1071</c:v>
                </c:pt>
                <c:pt idx="10">
                  <c:v>230</c:v>
                </c:pt>
              </c:numCache>
            </c:numRef>
          </c:yVal>
          <c:smooth val="0"/>
          <c:extLst>
            <c:ext xmlns:c16="http://schemas.microsoft.com/office/drawing/2014/chart" uri="{C3380CC4-5D6E-409C-BE32-E72D297353CC}">
              <c16:uniqueId val="{00000001-EE35-4320-8ED8-28CF226EA4C2}"/>
            </c:ext>
          </c:extLst>
        </c:ser>
        <c:dLbls>
          <c:showLegendKey val="0"/>
          <c:showVal val="0"/>
          <c:showCatName val="0"/>
          <c:showSerName val="0"/>
          <c:showPercent val="0"/>
          <c:showBubbleSize val="0"/>
        </c:dLbls>
        <c:axId val="576952480"/>
        <c:axId val="576949528"/>
      </c:scatterChart>
      <c:valAx>
        <c:axId val="5769524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49528"/>
        <c:crosses val="autoZero"/>
        <c:crossBetween val="midCat"/>
      </c:valAx>
      <c:valAx>
        <c:axId val="57694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52480"/>
        <c:crosses val="autoZero"/>
        <c:crossBetween val="midCat"/>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blipFill>
      <a:blip xmlns:r="http://schemas.openxmlformats.org/officeDocument/2006/relationships" r:embed="rId3"/>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484470691163602"/>
                  <c:y val="-0.28093139399241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Sheet6!$F$4:$F$14</c:f>
              <c:strCache>
                <c:ptCount val="11"/>
                <c:pt idx="0">
                  <c:v>Australia and New Zealand</c:v>
                </c:pt>
                <c:pt idx="1">
                  <c:v>Central and Eastern Europe</c:v>
                </c:pt>
                <c:pt idx="2">
                  <c:v>Eastern Asia</c:v>
                </c:pt>
                <c:pt idx="3">
                  <c:v>Latin America and Caribbean</c:v>
                </c:pt>
                <c:pt idx="4">
                  <c:v>Middle East and Northern Africa</c:v>
                </c:pt>
                <c:pt idx="5">
                  <c:v>North America</c:v>
                </c:pt>
                <c:pt idx="6">
                  <c:v>Southeastern Asia</c:v>
                </c:pt>
                <c:pt idx="7">
                  <c:v>Southern Asia</c:v>
                </c:pt>
                <c:pt idx="8">
                  <c:v>Sub-Saharan Africa</c:v>
                </c:pt>
                <c:pt idx="9">
                  <c:v>Western Europe</c:v>
                </c:pt>
                <c:pt idx="10">
                  <c:v>#N/A</c:v>
                </c:pt>
              </c:strCache>
            </c:strRef>
          </c:xVal>
          <c:yVal>
            <c:numRef>
              <c:f>Sheet6!$I$4:$I$14</c:f>
              <c:numCache>
                <c:formatCode>General</c:formatCode>
                <c:ptCount val="11"/>
                <c:pt idx="0">
                  <c:v>1440</c:v>
                </c:pt>
                <c:pt idx="1">
                  <c:v>5935</c:v>
                </c:pt>
                <c:pt idx="2">
                  <c:v>2020</c:v>
                </c:pt>
                <c:pt idx="3">
                  <c:v>6160</c:v>
                </c:pt>
                <c:pt idx="4">
                  <c:v>2210</c:v>
                </c:pt>
                <c:pt idx="5">
                  <c:v>1290</c:v>
                </c:pt>
                <c:pt idx="6">
                  <c:v>1360</c:v>
                </c:pt>
                <c:pt idx="7">
                  <c:v>1795</c:v>
                </c:pt>
                <c:pt idx="8">
                  <c:v>3895</c:v>
                </c:pt>
                <c:pt idx="9">
                  <c:v>10740</c:v>
                </c:pt>
                <c:pt idx="10">
                  <c:v>3440</c:v>
                </c:pt>
              </c:numCache>
            </c:numRef>
          </c:yVal>
          <c:smooth val="0"/>
          <c:extLst>
            <c:ext xmlns:c16="http://schemas.microsoft.com/office/drawing/2014/chart" uri="{C3380CC4-5D6E-409C-BE32-E72D297353CC}">
              <c16:uniqueId val="{00000000-E754-4E47-B361-33E8387C4739}"/>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strRef>
              <c:f>Sheet6!$F$4:$F$14</c:f>
              <c:strCache>
                <c:ptCount val="11"/>
                <c:pt idx="0">
                  <c:v>Australia and New Zealand</c:v>
                </c:pt>
                <c:pt idx="1">
                  <c:v>Central and Eastern Europe</c:v>
                </c:pt>
                <c:pt idx="2">
                  <c:v>Eastern Asia</c:v>
                </c:pt>
                <c:pt idx="3">
                  <c:v>Latin America and Caribbean</c:v>
                </c:pt>
                <c:pt idx="4">
                  <c:v>Middle East and Northern Africa</c:v>
                </c:pt>
                <c:pt idx="5">
                  <c:v>North America</c:v>
                </c:pt>
                <c:pt idx="6">
                  <c:v>Southeastern Asia</c:v>
                </c:pt>
                <c:pt idx="7">
                  <c:v>Southern Asia</c:v>
                </c:pt>
                <c:pt idx="8">
                  <c:v>Sub-Saharan Africa</c:v>
                </c:pt>
                <c:pt idx="9">
                  <c:v>Western Europe</c:v>
                </c:pt>
                <c:pt idx="10">
                  <c:v>#N/A</c:v>
                </c:pt>
              </c:strCache>
            </c:strRef>
          </c:xVal>
          <c:yVal>
            <c:numRef>
              <c:f>Sheet6!$J$4:$J$14</c:f>
              <c:numCache>
                <c:formatCode>General</c:formatCode>
                <c:ptCount val="11"/>
                <c:pt idx="0">
                  <c:v>144</c:v>
                </c:pt>
                <c:pt idx="1">
                  <c:v>639</c:v>
                </c:pt>
                <c:pt idx="2">
                  <c:v>203</c:v>
                </c:pt>
                <c:pt idx="3">
                  <c:v>620</c:v>
                </c:pt>
                <c:pt idx="4">
                  <c:v>251</c:v>
                </c:pt>
                <c:pt idx="5">
                  <c:v>129</c:v>
                </c:pt>
                <c:pt idx="6">
                  <c:v>171</c:v>
                </c:pt>
                <c:pt idx="7">
                  <c:v>181</c:v>
                </c:pt>
                <c:pt idx="8">
                  <c:v>393</c:v>
                </c:pt>
                <c:pt idx="9">
                  <c:v>1136</c:v>
                </c:pt>
                <c:pt idx="10">
                  <c:v>346</c:v>
                </c:pt>
              </c:numCache>
            </c:numRef>
          </c:yVal>
          <c:smooth val="0"/>
          <c:extLst>
            <c:ext xmlns:c16="http://schemas.microsoft.com/office/drawing/2014/chart" uri="{C3380CC4-5D6E-409C-BE32-E72D297353CC}">
              <c16:uniqueId val="{00000001-E754-4E47-B361-33E8387C4739}"/>
            </c:ext>
          </c:extLst>
        </c:ser>
        <c:dLbls>
          <c:showLegendKey val="0"/>
          <c:showVal val="0"/>
          <c:showCatName val="0"/>
          <c:showSerName val="0"/>
          <c:showPercent val="0"/>
          <c:showBubbleSize val="0"/>
        </c:dLbls>
        <c:axId val="625999408"/>
        <c:axId val="625998096"/>
      </c:scatterChart>
      <c:valAx>
        <c:axId val="6259994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998096"/>
        <c:crosses val="autoZero"/>
        <c:crossBetween val="midCat"/>
      </c:valAx>
      <c:valAx>
        <c:axId val="62599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999408"/>
        <c:crosses val="autoZero"/>
        <c:crossBetween val="midCat"/>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blipFill>
      <a:blip xmlns:r="http://schemas.openxmlformats.org/officeDocument/2006/relationships" r:embed="rId3"/>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0651137357830269"/>
                  <c:y val="-0.2488309273840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Sheet6!$F$4:$F$14</c:f>
              <c:strCache>
                <c:ptCount val="11"/>
                <c:pt idx="0">
                  <c:v>Australia and New Zealand</c:v>
                </c:pt>
                <c:pt idx="1">
                  <c:v>Central and Eastern Europe</c:v>
                </c:pt>
                <c:pt idx="2">
                  <c:v>Eastern Asia</c:v>
                </c:pt>
                <c:pt idx="3">
                  <c:v>Latin America and Caribbean</c:v>
                </c:pt>
                <c:pt idx="4">
                  <c:v>Middle East and Northern Africa</c:v>
                </c:pt>
                <c:pt idx="5">
                  <c:v>North America</c:v>
                </c:pt>
                <c:pt idx="6">
                  <c:v>Southeastern Asia</c:v>
                </c:pt>
                <c:pt idx="7">
                  <c:v>Southern Asia</c:v>
                </c:pt>
                <c:pt idx="8">
                  <c:v>Sub-Saharan Africa</c:v>
                </c:pt>
                <c:pt idx="9">
                  <c:v>Western Europe</c:v>
                </c:pt>
                <c:pt idx="10">
                  <c:v>#N/A</c:v>
                </c:pt>
              </c:strCache>
            </c:strRef>
          </c:xVal>
          <c:yVal>
            <c:numRef>
              <c:f>Sheet6!$K$4:$K$14</c:f>
              <c:numCache>
                <c:formatCode>General</c:formatCode>
                <c:ptCount val="11"/>
                <c:pt idx="0">
                  <c:v>875</c:v>
                </c:pt>
                <c:pt idx="1">
                  <c:v>6855</c:v>
                </c:pt>
                <c:pt idx="2">
                  <c:v>2385</c:v>
                </c:pt>
                <c:pt idx="3">
                  <c:v>7720</c:v>
                </c:pt>
                <c:pt idx="4">
                  <c:v>4340</c:v>
                </c:pt>
                <c:pt idx="5">
                  <c:v>1545</c:v>
                </c:pt>
                <c:pt idx="6">
                  <c:v>2345</c:v>
                </c:pt>
                <c:pt idx="7">
                  <c:v>1490</c:v>
                </c:pt>
                <c:pt idx="8">
                  <c:v>4380</c:v>
                </c:pt>
                <c:pt idx="9">
                  <c:v>12470</c:v>
                </c:pt>
                <c:pt idx="10">
                  <c:v>8525</c:v>
                </c:pt>
              </c:numCache>
            </c:numRef>
          </c:yVal>
          <c:smooth val="0"/>
          <c:extLst>
            <c:ext xmlns:c16="http://schemas.microsoft.com/office/drawing/2014/chart" uri="{C3380CC4-5D6E-409C-BE32-E72D297353CC}">
              <c16:uniqueId val="{00000000-802B-4F6A-BECE-5BBCD001C83B}"/>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strRef>
              <c:f>Sheet6!$F$4:$F$14</c:f>
              <c:strCache>
                <c:ptCount val="11"/>
                <c:pt idx="0">
                  <c:v>Australia and New Zealand</c:v>
                </c:pt>
                <c:pt idx="1">
                  <c:v>Central and Eastern Europe</c:v>
                </c:pt>
                <c:pt idx="2">
                  <c:v>Eastern Asia</c:v>
                </c:pt>
                <c:pt idx="3">
                  <c:v>Latin America and Caribbean</c:v>
                </c:pt>
                <c:pt idx="4">
                  <c:v>Middle East and Northern Africa</c:v>
                </c:pt>
                <c:pt idx="5">
                  <c:v>North America</c:v>
                </c:pt>
                <c:pt idx="6">
                  <c:v>Southeastern Asia</c:v>
                </c:pt>
                <c:pt idx="7">
                  <c:v>Southern Asia</c:v>
                </c:pt>
                <c:pt idx="8">
                  <c:v>Sub-Saharan Africa</c:v>
                </c:pt>
                <c:pt idx="9">
                  <c:v>Western Europe</c:v>
                </c:pt>
                <c:pt idx="10">
                  <c:v>#N/A</c:v>
                </c:pt>
              </c:strCache>
            </c:strRef>
          </c:xVal>
          <c:yVal>
            <c:numRef>
              <c:f>Sheet6!$L$4:$L$14</c:f>
              <c:numCache>
                <c:formatCode>General</c:formatCode>
                <c:ptCount val="11"/>
                <c:pt idx="0">
                  <c:v>67</c:v>
                </c:pt>
                <c:pt idx="1">
                  <c:v>529</c:v>
                </c:pt>
                <c:pt idx="2">
                  <c:v>184</c:v>
                </c:pt>
                <c:pt idx="3">
                  <c:v>594</c:v>
                </c:pt>
                <c:pt idx="4">
                  <c:v>333</c:v>
                </c:pt>
                <c:pt idx="5">
                  <c:v>119</c:v>
                </c:pt>
                <c:pt idx="6">
                  <c:v>179</c:v>
                </c:pt>
                <c:pt idx="7">
                  <c:v>115</c:v>
                </c:pt>
                <c:pt idx="8">
                  <c:v>336</c:v>
                </c:pt>
                <c:pt idx="9">
                  <c:v>958</c:v>
                </c:pt>
                <c:pt idx="10">
                  <c:v>654</c:v>
                </c:pt>
              </c:numCache>
            </c:numRef>
          </c:yVal>
          <c:smooth val="0"/>
          <c:extLst>
            <c:ext xmlns:c16="http://schemas.microsoft.com/office/drawing/2014/chart" uri="{C3380CC4-5D6E-409C-BE32-E72D297353CC}">
              <c16:uniqueId val="{00000001-802B-4F6A-BECE-5BBCD001C83B}"/>
            </c:ext>
          </c:extLst>
        </c:ser>
        <c:dLbls>
          <c:showLegendKey val="0"/>
          <c:showVal val="0"/>
          <c:showCatName val="0"/>
          <c:showSerName val="0"/>
          <c:showPercent val="0"/>
          <c:showBubbleSize val="0"/>
        </c:dLbls>
        <c:axId val="322379992"/>
        <c:axId val="322377368"/>
      </c:scatterChart>
      <c:valAx>
        <c:axId val="3223799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377368"/>
        <c:crosses val="autoZero"/>
        <c:crossBetween val="midCat"/>
      </c:valAx>
      <c:valAx>
        <c:axId val="322377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379992"/>
        <c:crosses val="autoZero"/>
        <c:crossBetween val="midCat"/>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blipFill>
      <a:blip xmlns:r="http://schemas.openxmlformats.org/officeDocument/2006/relationships" r:embed="rId3"/>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Ramalingam, Rajguru</dc:creator>
  <cp:keywords/>
  <dc:description/>
  <cp:lastModifiedBy>Ramalingam, Rajguru</cp:lastModifiedBy>
  <cp:revision>9</cp:revision>
  <dcterms:created xsi:type="dcterms:W3CDTF">2020-09-05T05:16:00Z</dcterms:created>
  <dcterms:modified xsi:type="dcterms:W3CDTF">2020-09-05T13:48:00Z</dcterms:modified>
</cp:coreProperties>
</file>