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05"/>
        <w:gridCol w:w="1084"/>
        <w:gridCol w:w="1389"/>
        <w:gridCol w:w="1080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Variável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Threshold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PLhist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OK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PLcor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OK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RLhist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OK</w:t>
            </w:r>
          </w:p>
        </w:tc>
      </w:tr>
      <w:tr>
        <w:trPr>
          <w:trHeight w:val="57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RLcor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OK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Nota: VIF abaixo de 5 sugere baixa multicolinearidade. CUMP: Distância entre a emissão e a meta proporcional ao valor emitido reescalonado para ter média igual a zero e desvio-padrão igual a 1. TAM: Logaritimo natural dos ativo total. ROA: Retorno dos ativos.</w:t>
            </w:r>
          </w:p>
        </w:tc>
      </w:tr>
      <w:tr>
        <w:trPr>
          <w:trHeight w:val="360" w:hRule="auto"/>
        </w:trPr>
        footer2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Fonte: Elaborado pelo autor.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2026-01-12T11:02:59Z</dcterms:modified>
  <cp:category/>
</cp:coreProperties>
</file>