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05"/>
        <w:gridCol w:w="1206"/>
        <w:gridCol w:w="1389"/>
        <w:gridCol w:w="1218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Variável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</w:tr>
      <w:tr>
        <w:trPr>
          <w:trHeight w:val="61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PLhist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50.5316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Atenção</w:t>
            </w:r>
          </w:p>
        </w:tc>
      </w:tr>
      <w:tr>
        <w:trPr>
          <w:trHeight w:val="6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PLcor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Atenção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RLhist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RLcor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VIF abaixo de 5 sugere baixa multicolinearidade. CUMP: Distância entre a emissão e a meta proporcional ao valor emitido reescalonado para ter média igual a zero e desvio-padrão igual a 1. TAM: Logaritimo natural dos ativo total. ROA: Retorno dos ativos.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2026-01-14T13:40:36Z</dcterms:modified>
  <cp:category/>
</cp:coreProperties>
</file>