
<file path=[Content_Types].xml><?xml version="1.0" encoding="utf-8"?>
<Types xmlns="http://schemas.openxmlformats.org/package/2006/content-types">
  <Default ContentType="image/jpeg" Extension="jpeg"/>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ackground w:color="272b2d"/>
  <w:body>
    <w:p>
      <w:pPr>
        <w:spacing w:after="120" w:before="120" w:line="336" w:lineRule="auto"/>
        <w:ind w:firstLine="0" w:start="0"/>
        <w:jc w:val="start"/>
      </w:pPr>
      <w:r>
        <w:rPr>
          <w:rFonts w:ascii="Arimo Bold" w:hAnsi="Arimo Bold" w:cs="Arimo Bold" w:eastAsia="Arimo Bold"/>
          <w:b/>
          <w:bCs/>
          <w:color w:val="fff2cc"/>
          <w:sz w:val="24"/>
          <w:szCs w:val="24"/>
        </w:rPr>
        <w:t xml:space="preserve">
</w:t>
      </w:r>
    </w:p>
    <w:p>
      <w:pPr>
        <w:spacing w:after="120" w:before="120"/>
      </w:pPr>
      <w:r>
        <w:br w:type="page"/>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4214"/>
        <w:gridCol w:w="2408"/>
        <w:gridCol w:w="2408"/>
      </w:tblGrid>
      <w:tr>
        <w:tc>
          <w:tcPr>
            <w:tcW w:w="4214" w:type="dxa"/>
            <w:tcMar>
              <w:top w:w="0"/>
              <w:start w:w="0"/>
              <w:bottom w:w="0"/>
              <w:end w:w="0"/>
            </w:tcMar>
          </w:tcPr>
          <w:p>
            <w:pPr>
              <w:spacing w:after="120" w:before="120" w:line="336" w:lineRule="auto"/>
              <w:ind w:firstLine="0" w:start="0"/>
              <w:jc w:val="both"/>
            </w:pPr>
            <w:r>
              <w:rPr>
                <w:rFonts w:ascii="Archivo Black" w:hAnsi="Archivo Black" w:cs="Archivo Black" w:eastAsia="Archivo Black"/>
                <w:color w:val="fff2cc"/>
                <w:sz w:val="26"/>
                <w:szCs w:val="26"/>
              </w:rPr>
              <w:t>Executive Summary</w:t>
            </w:r>
            <w:r>
              <w:rPr>
                <w:rFonts w:ascii="Archivo Black" w:hAnsi="Archivo Black" w:cs="Archivo Black" w:eastAsia="Archivo Black"/>
                <w:color w:val="fff2cc"/>
                <w:sz w:val="26"/>
                <w:szCs w:val="26"/>
              </w:rPr>
              <w:t xml:space="preserve">
</w:t>
            </w:r>
          </w:p>
        </w:tc>
        <w:tc>
          <w:tcPr>
            <w:tcW w:w="2408" w:type="dxa"/>
            <w:tcMar>
              <w:top w:w="0"/>
              <w:start w:w="0"/>
              <w:bottom w:w="0"/>
              <w:end w:w="0"/>
            </w:tcMar>
          </w:tcPr>
          <w:p>
            <w:pPr>
              <w:spacing w:after="120" w:before="120" w:line="336" w:lineRule="auto"/>
              <w:ind w:firstLine="0" w:start="0"/>
              <w:jc w:val="start"/>
            </w:pPr>
            <w:r>
              <w:rPr>
                <w:rFonts w:ascii="Arimo Bold" w:hAnsi="Arimo Bold" w:cs="Arimo Bold" w:eastAsia="Arimo Bold"/>
                <w:b/>
                <w:bCs/>
                <w:color w:val="fff2cc"/>
                <w:sz w:val="24"/>
                <w:szCs w:val="24"/>
              </w:rPr>
              <w:t xml:space="preserve">
</w:t>
            </w:r>
          </w:p>
        </w:tc>
        <w:tc>
          <w:tcPr>
            <w:tcW w:w="2408" w:type="dxa"/>
            <w:tcMar>
              <w:top w:w="0"/>
              <w:start w:w="0"/>
              <w:bottom w:w="0"/>
              <w:end w:w="0"/>
            </w:tcMar>
          </w:tcPr>
          <w:p>
            <w:pPr>
              <w:spacing w:after="120" w:before="120"/>
              <w:jc w:val="end"/>
            </w:pPr>
            <w:r>
              <w:drawing>
                <wp:inline>
                  <wp:extent cx="532080" cy="532080"/>
                  <wp:docPr id="0" name="Drawing 0" descr="022859f72a7c38caaa7f2074213644fa.jpg"/>
                  <wp:cNvGraphicFramePr>
                    <a:graphicFrameLocks noChangeAspect="true"/>
                  </wp:cNvGraphicFramePr>
                  <a:graphic>
                    <a:graphicData uri="http://schemas.openxmlformats.org/drawingml/2006/picture">
                      <pic:pic xmlns:pic="http://schemas.openxmlformats.org/drawingml/2006/picture">
                        <pic:nvPicPr>
                          <pic:cNvPr id="0" name="Picture 0" descr="022859f72a7c38caaa7f2074213644fa.jpg"/>
                          <pic:cNvPicPr>
                            <a:picLocks noChangeAspect="true"/>
                          </pic:cNvPicPr>
                        </pic:nvPicPr>
                        <pic:blipFill>
                          <a:blip r:embed="rId3"/>
                          <a:stretch>
                            <a:fillRect/>
                          </a:stretch>
                        </pic:blipFill>
                        <pic:spPr>
                          <a:xfrm flipH="false" flipV="false">
                            <a:off x="0" y="0"/>
                            <a:ext cx="532080" cy="532080"/>
                          </a:xfrm>
                          <a:prstGeom prst="rect">
                            <a:avLst/>
                          </a:prstGeom>
                        </pic:spPr>
                      </pic:pic>
                    </a:graphicData>
                  </a:graphic>
                </wp:inline>
              </w:drawing>
            </w:r>
          </w:p>
          <w:p>
            <w:pPr>
              <w:spacing w:after="120" w:before="120" w:line="336" w:lineRule="auto"/>
              <w:ind w:firstLine="0" w:start="0"/>
              <w:jc w:val="start"/>
            </w:pPr>
            <w:r>
              <w:rPr>
                <w:rFonts w:ascii="Arimo Bold" w:hAnsi="Arimo Bold" w:cs="Arimo Bold" w:eastAsia="Arimo Bold"/>
                <w:b/>
                <w:bCs/>
                <w:color w:val="fff2cc"/>
                <w:sz w:val="24"/>
                <w:szCs w:val="24"/>
              </w:rPr>
              <w:t xml:space="preserve">
</w:t>
            </w:r>
          </w:p>
        </w:tc>
      </w:tr>
    </w:tbl>
    <w:p>
      <w:pPr>
        <w:spacing w:after="120" w:before="120" w:line="336" w:lineRule="auto"/>
        <w:ind w:firstLine="0" w:start="0"/>
        <w:jc w:val="both"/>
      </w:pPr>
      <w:r>
        <w:rPr>
          <w:rFonts w:ascii="Arimo" w:hAnsi="Arimo" w:cs="Arimo" w:eastAsia="Arimo"/>
          <w:color w:val="fff2cc"/>
          <w:sz w:val="22"/>
          <w:szCs w:val="22"/>
        </w:rPr>
        <w:t xml:space="preserve">Per-Imhotep is a space settlement designed to support </w:t>
      </w:r>
      <w:r>
        <w:rPr>
          <w:rFonts w:ascii="Arimo Bold" w:hAnsi="Arimo Bold" w:cs="Arimo Bold" w:eastAsia="Arimo Bold"/>
          <w:b/>
          <w:bCs/>
          <w:color w:val="fff2cc"/>
          <w:sz w:val="22"/>
          <w:szCs w:val="22"/>
        </w:rPr>
        <w:t>180,000 inhabitants</w:t>
      </w:r>
      <w:r>
        <w:rPr>
          <w:rFonts w:ascii="Arimo" w:hAnsi="Arimo" w:cs="Arimo" w:eastAsia="Arimo"/>
          <w:color w:val="fff2cc"/>
          <w:sz w:val="22"/>
          <w:szCs w:val="22"/>
        </w:rPr>
        <w:t xml:space="preserve"> in orbit around Saturn's moon Titan. The settlement features a central cylindrical spine (300 m radius, 2,200 m height) supporting three toroidal habitation rings (major radius 1,825 m, minor radius 1,625 m, elliptical cross-section with 200 m semi-major and 100 m semi-minor axes) rotating at 0.7 RPM to generate approximately 1g of centrifugal gravity.</w:t>
      </w:r>
      <w:r>
        <w:rPr>
          <w:rFonts w:ascii="Arimo" w:hAnsi="Arimo" w:cs="Arimo" w:eastAsia="Arimo"/>
          <w:color w:val="fff2cc"/>
          <w:sz w:val="22"/>
          <w:szCs w:val="22"/>
        </w:rPr>
        <w:t xml:space="preserve">
</w:t>
      </w:r>
    </w:p>
    <w:p>
      <w:pPr>
        <w:spacing w:after="120" w:before="120" w:line="336" w:lineRule="auto"/>
        <w:ind w:firstLine="0" w:start="0"/>
        <w:jc w:val="both"/>
      </w:pPr>
      <w:r>
        <w:rPr>
          <w:rFonts w:ascii="Arimo" w:hAnsi="Arimo" w:cs="Arimo" w:eastAsia="Arimo"/>
          <w:color w:val="fff2cc"/>
          <w:sz w:val="22"/>
          <w:szCs w:val="22"/>
        </w:rPr>
        <w:t>Torus T1 and T3 serve as primary habitation zones encompassing residential areas, entertainment, transportation networks, and daily amenities. Torus T2 is dedicated to agriculture and industrial operations. The central spine houses nuclear energy production facilities, while transport side panels (1,900 m tall, 100 m wide) provide inter-torus connectivity for both human and robotic transit.</w:t>
      </w:r>
      <w:r>
        <w:rPr>
          <w:rFonts w:ascii="Arimo" w:hAnsi="Arimo" w:cs="Arimo" w:eastAsia="Arimo"/>
          <w:color w:val="fff2cc"/>
          <w:sz w:val="22"/>
          <w:szCs w:val="22"/>
        </w:rPr>
        <w:t xml:space="preserve">
</w:t>
      </w:r>
    </w:p>
    <w:p>
      <w:pPr>
        <w:spacing w:after="120" w:before="120" w:line="336" w:lineRule="auto"/>
        <w:ind w:firstLine="0" w:start="0"/>
        <w:jc w:val="both"/>
      </w:pPr>
      <w:r>
        <w:rPr>
          <w:rFonts w:ascii="Arimo" w:hAnsi="Arimo" w:cs="Arimo" w:eastAsia="Arimo"/>
          <w:color w:val="fff2cc"/>
          <w:sz w:val="22"/>
          <w:szCs w:val="22"/>
        </w:rPr>
        <w:t>The settlement's location near Titan offers strategic advantages: access to methane and nitrogen resources from Titan's atmosphere, water ice from Saturn's rings, and proximity to a rich system of moons for mining operations. Per-Imhotep represents a self-sustaining ecosystem engineered to support long-term human life in the outer solar system.</w:t>
      </w:r>
      <w:r>
        <w:rPr>
          <w:rFonts w:ascii="Arimo" w:hAnsi="Arimo" w:cs="Arimo" w:eastAsia="Arimo"/>
          <w:color w:val="fff2cc"/>
          <w:sz w:val="22"/>
          <w:szCs w:val="22"/>
        </w:rPr>
        <w:t xml:space="preserve">
</w:t>
      </w:r>
    </w:p>
    <w:p>
      <w:pPr>
        <w:spacing w:after="120" w:before="120"/>
      </w:pPr>
      <w:r>
        <w:br w:type="page"/>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Archivo Black" w:hAnsi="Archivo Black" w:cs="Archivo Black" w:eastAsia="Archivo Black"/>
                <w:color w:val="ffd966"/>
                <w:sz w:val="26"/>
                <w:szCs w:val="26"/>
              </w:rPr>
              <w:t>Construction Phases</w:t>
            </w:r>
            <w:r>
              <w:rPr>
                <w:rFonts w:ascii="Archivo Black" w:hAnsi="Archivo Black" w:cs="Archivo Black" w:eastAsia="Archivo Black"/>
                <w:color w:val="ffd966"/>
                <w:sz w:val="26"/>
                <w:szCs w:val="26"/>
              </w:rPr>
              <w:t xml:space="preserve">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5525"/>
        <w:gridCol w:w="1526"/>
        <w:gridCol w:w="1977"/>
      </w:tblGrid>
      <w:tr>
        <w:tc>
          <w:tcPr>
            <w:tcW w:w="5525" w:type="dxa"/>
            <w:tcMar>
              <w:top w:w="0"/>
              <w:start w:w="0"/>
              <w:bottom w:w="0"/>
              <w:end w:w="0"/>
            </w:tcMar>
          </w:tcPr>
          <w:p>
            <w:pPr>
              <w:spacing w:after="120" w:before="120" w:line="336" w:lineRule="auto"/>
              <w:ind w:firstLine="0" w:start="0"/>
              <w:jc w:val="both"/>
            </w:pPr>
            <w:r>
              <w:rPr>
                <w:rFonts w:ascii="Arimo Bold" w:hAnsi="Arimo Bold" w:cs="Arimo Bold" w:eastAsia="Arimo Bold"/>
                <w:b/>
                <w:bCs/>
                <w:color w:val="fff2cc"/>
                <w:sz w:val="22"/>
                <w:szCs w:val="22"/>
              </w:rPr>
              <w:t>Phase 1: Core Spine Assembly:</w:t>
            </w:r>
            <w:r>
              <w:rPr>
                <w:rFonts w:ascii="Arimo" w:hAnsi="Arimo" w:cs="Arimo" w:eastAsia="Arimo"/>
                <w:color w:val="fff2cc"/>
                <w:sz w:val="22"/>
                <w:szCs w:val="22"/>
              </w:rPr>
              <w:t xml:space="preserve"> The central cylindrical spine is constructed first, establishing the structural backbone of the settlement. This 2,200 m tall, 300 m radius cylinder houses the nuclear reactors and provides the central axis around which all other components are organized. The spine's structural framework includes mounting points for all subsequent attachments.</w:t>
            </w:r>
            <w:r>
              <w:rPr>
                <w:rFonts w:ascii="Arimo" w:hAnsi="Arimo" w:cs="Arimo" w:eastAsia="Arimo"/>
                <w:color w:val="fff2cc"/>
                <w:sz w:val="22"/>
                <w:szCs w:val="22"/>
              </w:rPr>
              <w:t xml:space="preserve">
</w:t>
            </w:r>
          </w:p>
          <w:p>
            <w:pPr>
              <w:spacing w:after="120" w:before="120" w:line="336" w:lineRule="auto"/>
              <w:ind w:firstLine="0" w:start="0"/>
              <w:jc w:val="both"/>
            </w:pPr>
            <w:r>
              <w:rPr>
                <w:rFonts w:ascii="Arimo Bold" w:hAnsi="Arimo Bold" w:cs="Arimo Bold" w:eastAsia="Arimo Bold"/>
                <w:b/>
                <w:bCs/>
                <w:color w:val="fff2cc"/>
                <w:sz w:val="22"/>
                <w:szCs w:val="22"/>
              </w:rPr>
              <w:t>Phase 2: Transport Connectors:</w:t>
            </w:r>
            <w:r>
              <w:rPr>
                <w:rFonts w:ascii="Arimo" w:hAnsi="Arimo" w:cs="Arimo" w:eastAsia="Arimo"/>
                <w:color w:val="fff2cc"/>
                <w:sz w:val="22"/>
                <w:szCs w:val="22"/>
              </w:rPr>
              <w:t xml:space="preserve"> The side panel transport connectors are installed, extending outward from the spine. These 1,900 m tall, 100 m wide panels will serve as the primary transit corridors between tori, accommodating both human pathways and robotic logistics lanes. Conveyor systems with operational speeds of 2.5-2.8 m/s are integrated during this phase.</w:t>
            </w:r>
            <w:r>
              <w:rPr>
                <w:rFonts w:ascii="Arimo" w:hAnsi="Arimo" w:cs="Arimo" w:eastAsia="Arimo"/>
                <w:color w:val="fff2cc"/>
                <w:sz w:val="22"/>
                <w:szCs w:val="22"/>
              </w:rPr>
              <w:t xml:space="preserve">
</w:t>
            </w:r>
          </w:p>
        </w:tc>
        <w:tc>
          <w:tcPr>
            <w:tcW w:w="1526" w:type="dxa"/>
            <w:tcMar>
              <w:top w:w="0"/>
              <w:start w:w="0"/>
              <w:bottom w:w="0"/>
              <w:end w:w="0"/>
            </w:tcMar>
          </w:tcPr>
          <w:p>
            <w:pPr>
              <w:spacing w:after="120" w:before="120"/>
              <w:jc w:val="center"/>
            </w:pPr>
            <w:r>
              <w:drawing>
                <wp:inline>
                  <wp:extent cx="969010" cy="2751357"/>
                  <wp:docPr id="1" name="Drawing 1" descr="2cfb28f24d1605165283d7c382452691.png"/>
                  <wp:cNvGraphicFramePr>
                    <a:graphicFrameLocks noChangeAspect="true"/>
                  </wp:cNvGraphicFramePr>
                  <a:graphic>
                    <a:graphicData uri="http://schemas.openxmlformats.org/drawingml/2006/picture">
                      <pic:pic xmlns:pic="http://schemas.openxmlformats.org/drawingml/2006/picture">
                        <pic:nvPicPr>
                          <pic:cNvPr id="0" name="Picture 1" descr="2cfb28f24d1605165283d7c382452691.png"/>
                          <pic:cNvPicPr>
                            <a:picLocks noChangeAspect="true"/>
                          </pic:cNvPicPr>
                        </pic:nvPicPr>
                        <pic:blipFill>
                          <a:blip r:embed="rId4"/>
                          <a:srcRect l="24323" t="8212" r="20696" b="1361"/>
                          <a:stretch>
                            <a:fillRect/>
                          </a:stretch>
                        </pic:blipFill>
                        <pic:spPr>
                          <a:xfrm flipH="false" flipV="false">
                            <a:off x="0" y="0"/>
                            <a:ext cx="969010" cy="2751357"/>
                          </a:xfrm>
                          <a:prstGeom prst="rect">
                            <a:avLst/>
                          </a:prstGeom>
                        </pic:spPr>
                      </pic:pic>
                    </a:graphicData>
                  </a:graphic>
                </wp:inline>
              </w:drawing>
            </w:r>
          </w:p>
          <w:p>
            <w:pPr>
              <w:spacing w:after="120" w:before="120" w:line="336" w:lineRule="auto"/>
              <w:ind w:firstLine="0" w:start="0"/>
              <w:jc w:val="start"/>
            </w:pPr>
            <w:r>
              <w:rPr>
                <w:rFonts w:ascii="Arimo" w:hAnsi="Arimo" w:cs="Arimo" w:eastAsia="Arimo"/>
                <w:color w:val="fff2cc"/>
                <w:sz w:val="24"/>
                <w:szCs w:val="24"/>
              </w:rPr>
              <w:t xml:space="preserve">
</w:t>
            </w:r>
          </w:p>
        </w:tc>
        <w:tc>
          <w:tcPr>
            <w:tcW w:w="1977" w:type="dxa"/>
            <w:tcMar>
              <w:top w:w="0"/>
              <w:start w:w="0"/>
              <w:bottom w:w="0"/>
              <w:end w:w="0"/>
            </w:tcMar>
          </w:tcPr>
          <w:p>
            <w:pPr>
              <w:spacing w:after="120" w:before="120"/>
              <w:jc w:val="center"/>
            </w:pPr>
            <w:r>
              <w:drawing>
                <wp:inline>
                  <wp:extent cx="1255395" cy="2753499"/>
                  <wp:docPr id="2" name="Drawing 2" descr="a43b14045652d317e993c0d196837ba0.png"/>
                  <wp:cNvGraphicFramePr>
                    <a:graphicFrameLocks noChangeAspect="true"/>
                  </wp:cNvGraphicFramePr>
                  <a:graphic>
                    <a:graphicData uri="http://schemas.openxmlformats.org/drawingml/2006/picture">
                      <pic:pic xmlns:pic="http://schemas.openxmlformats.org/drawingml/2006/picture">
                        <pic:nvPicPr>
                          <pic:cNvPr id="0" name="Picture 2" descr="a43b14045652d317e993c0d196837ba0.png"/>
                          <pic:cNvPicPr>
                            <a:picLocks noChangeAspect="true"/>
                          </pic:cNvPicPr>
                        </pic:nvPicPr>
                        <pic:blipFill>
                          <a:blip r:embed="rId5"/>
                          <a:srcRect l="16473" t="4895" r="13064" b="0"/>
                          <a:stretch>
                            <a:fillRect/>
                          </a:stretch>
                        </pic:blipFill>
                        <pic:spPr>
                          <a:xfrm flipH="false" flipV="false">
                            <a:off x="0" y="0"/>
                            <a:ext cx="1255395" cy="2753499"/>
                          </a:xfrm>
                          <a:prstGeom prst="rect">
                            <a:avLst/>
                          </a:prstGeom>
                        </pic:spPr>
                      </pic:pic>
                    </a:graphicData>
                  </a:graphic>
                </wp:inline>
              </w:drawing>
            </w:r>
          </w:p>
          <w:p>
            <w:pPr>
              <w:spacing w:after="120" w:before="120" w:line="336" w:lineRule="auto"/>
              <w:ind w:firstLine="0" w:start="0"/>
              <w:jc w:val="start"/>
            </w:pPr>
            <w:r>
              <w:rPr>
                <w:rFonts w:ascii="Arimo" w:hAnsi="Arimo" w:cs="Arimo" w:eastAsia="Arimo"/>
                <w:color w:val="fff2cc"/>
                <w:sz w:val="24"/>
                <w:szCs w:val="24"/>
              </w:rPr>
              <w:t xml:space="preserve">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4515"/>
        <w:gridCol w:w="4515"/>
      </w:tblGrid>
      <w:tr>
        <w:tc>
          <w:tcPr>
            <w:tcW w:w="4515" w:type="dxa"/>
            <w:tcMar>
              <w:top w:w="0"/>
              <w:start w:w="0"/>
              <w:bottom w:w="0"/>
              <w:end w:w="0"/>
            </w:tcMar>
          </w:tcPr>
          <w:p>
            <w:pPr>
              <w:spacing w:after="120" w:before="120"/>
              <w:jc w:val="center"/>
            </w:pPr>
            <w:r>
              <w:drawing>
                <wp:inline>
                  <wp:extent cx="2867025" cy="2861014"/>
                  <wp:docPr id="3" name="Drawing 3" descr="53c2d8082da8a038c28bdbb9cbc6e07f.png"/>
                  <wp:cNvGraphicFramePr>
                    <a:graphicFrameLocks noChangeAspect="true"/>
                  </wp:cNvGraphicFramePr>
                  <a:graphic>
                    <a:graphicData uri="http://schemas.openxmlformats.org/drawingml/2006/picture">
                      <pic:pic xmlns:pic="http://schemas.openxmlformats.org/drawingml/2006/picture">
                        <pic:nvPicPr>
                          <pic:cNvPr id="0" name="Picture 3" descr="53c2d8082da8a038c28bdbb9cbc6e07f.png"/>
                          <pic:cNvPicPr>
                            <a:picLocks noChangeAspect="true"/>
                          </pic:cNvPicPr>
                        </pic:nvPicPr>
                        <pic:blipFill>
                          <a:blip r:embed="rId6"/>
                          <a:srcRect l="0" t="9239" r="0" b="3260"/>
                          <a:stretch>
                            <a:fillRect/>
                          </a:stretch>
                        </pic:blipFill>
                        <pic:spPr>
                          <a:xfrm flipH="false" flipV="false">
                            <a:off x="0" y="0"/>
                            <a:ext cx="2867025" cy="2861014"/>
                          </a:xfrm>
                          <a:prstGeom prst="rect">
                            <a:avLst/>
                          </a:prstGeom>
                        </pic:spPr>
                      </pic:pic>
                    </a:graphicData>
                  </a:graphic>
                </wp:inline>
              </w:drawing>
            </w:r>
          </w:p>
          <w:p>
            <w:pPr>
              <w:spacing w:after="120" w:before="120" w:line="336" w:lineRule="auto"/>
              <w:ind w:firstLine="0" w:start="0"/>
              <w:jc w:val="start"/>
            </w:pPr>
            <w:r>
              <w:rPr>
                <w:rFonts w:ascii="Arimo Bold" w:hAnsi="Arimo Bold" w:cs="Arimo Bold" w:eastAsia="Arimo Bold"/>
                <w:b/>
                <w:bCs/>
                <w:color w:val="fff2cc"/>
                <w:sz w:val="24"/>
                <w:szCs w:val="24"/>
              </w:rPr>
              <w:t xml:space="preserve">
</w:t>
            </w:r>
          </w:p>
        </w:tc>
        <w:tc>
          <w:tcPr>
            <w:tcW w:w="4515" w:type="dxa"/>
            <w:tcMar>
              <w:top w:w="0"/>
              <w:start w:w="0"/>
              <w:bottom w:w="0"/>
              <w:end w:w="0"/>
            </w:tcMar>
          </w:tcPr>
          <w:p>
            <w:pPr>
              <w:spacing w:after="120" w:before="120" w:line="336" w:lineRule="auto"/>
              <w:ind w:firstLine="0" w:start="0"/>
              <w:jc w:val="both"/>
            </w:pPr>
            <w:r>
              <w:rPr>
                <w:rFonts w:ascii="Arimo Bold" w:hAnsi="Arimo Bold" w:cs="Arimo Bold" w:eastAsia="Arimo Bold"/>
                <w:b/>
                <w:bCs/>
                <w:color w:val="fff2cc"/>
                <w:sz w:val="22"/>
                <w:szCs w:val="22"/>
              </w:rPr>
              <w:t>Phase 3: Structural Integrity Torii:</w:t>
            </w:r>
            <w:r>
              <w:rPr>
                <w:rFonts w:ascii="Arimo" w:hAnsi="Arimo" w:cs="Arimo" w:eastAsia="Arimo"/>
                <w:color w:val="fff2cc"/>
                <w:sz w:val="22"/>
                <w:szCs w:val="22"/>
              </w:rPr>
              <w:t xml:space="preserve"> Smaller structural torii are assembled and attached to the spine framework. These rings serve as the skeletal foundation that will bear the loads of the main habitation tori. They establish the rotational geometry and provide the mounting infrastructure for the full-scale rings.</w:t>
            </w:r>
            <w:r>
              <w:rPr>
                <w:rFonts w:ascii="Arimo" w:hAnsi="Arimo" w:cs="Arimo" w:eastAsia="Arimo"/>
                <w:color w:val="fff2cc"/>
                <w:sz w:val="22"/>
                <w:szCs w:val="22"/>
              </w:rPr>
              <w:t xml:space="preserve">
</w:t>
            </w:r>
          </w:p>
          <w:p>
            <w:pPr>
              <w:spacing w:after="120" w:before="120" w:line="336" w:lineRule="auto"/>
              <w:ind w:firstLine="0" w:start="0"/>
              <w:jc w:val="both"/>
            </w:pPr>
            <w:r>
              <w:rPr>
                <w:rFonts w:ascii="Arimo Bold" w:hAnsi="Arimo Bold" w:cs="Arimo Bold" w:eastAsia="Arimo Bold"/>
                <w:b/>
                <w:bCs/>
                <w:color w:val="fff2cc"/>
                <w:sz w:val="22"/>
                <w:szCs w:val="22"/>
              </w:rPr>
              <w:t>Phase 4: Structural Integrity and Transport Connectors Integration:</w:t>
            </w:r>
            <w:r>
              <w:rPr>
                <w:rFonts w:ascii="Arimo" w:hAnsi="Arimo" w:cs="Arimo" w:eastAsia="Arimo"/>
                <w:color w:val="fff2cc"/>
                <w:sz w:val="22"/>
                <w:szCs w:val="22"/>
              </w:rPr>
              <w:t xml:space="preserve"> The structural torii are connected to the transport panels, creating a unified rigid framework. This integration phase ensures that centrifugal forces from torus rotation are properly distributed through the entire structure. Stress testing and alignment verification occur before proceeding.</w:t>
            </w:r>
            <w:r>
              <w:rPr>
                <w:rFonts w:ascii="Arimo" w:hAnsi="Arimo" w:cs="Arimo" w:eastAsia="Arimo"/>
                <w:color w:val="fff2cc"/>
                <w:sz w:val="22"/>
                <w:szCs w:val="22"/>
              </w:rPr>
              <w:t xml:space="preserve">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4515"/>
        <w:gridCol w:w="4515"/>
      </w:tblGrid>
      <w:tr>
        <w:tc>
          <w:tcPr>
            <w:tcW w:w="4515" w:type="dxa"/>
            <w:tcMar>
              <w:top w:w="0"/>
              <w:start w:w="0"/>
              <w:bottom w:w="0"/>
              <w:end w:w="0"/>
            </w:tcMar>
          </w:tcPr>
          <w:p>
            <w:pPr>
              <w:spacing w:after="120" w:before="120" w:line="336" w:lineRule="auto"/>
              <w:ind w:firstLine="0" w:start="0"/>
              <w:jc w:val="both"/>
            </w:pPr>
            <w:r>
              <w:rPr>
                <w:rFonts w:ascii="Arimo Bold" w:hAnsi="Arimo Bold" w:cs="Arimo Bold" w:eastAsia="Arimo Bold"/>
                <w:b/>
                <w:bCs/>
                <w:color w:val="fff2cc"/>
                <w:sz w:val="22"/>
                <w:szCs w:val="22"/>
              </w:rPr>
              <w:t>Phase 5 — Main Torii Installation:</w:t>
            </w:r>
            <w:r>
              <w:rPr>
                <w:rFonts w:ascii="Arimo" w:hAnsi="Arimo" w:cs="Arimo" w:eastAsia="Arimo"/>
                <w:color w:val="fff2cc"/>
                <w:sz w:val="22"/>
                <w:szCs w:val="22"/>
              </w:rPr>
              <w:t xml:space="preserve"> The three primary toroidal habitation rings (T1, T2, T3) are constructed and mounted at 400 m intervals along the spine. Each torus features an elliptical cross-section (200 m × 100 m) and is engineered to rotate at 0.7 RPM. Interior buildout begins: T1 and T3 receive residential and civic infrastructure, while T2 is fitted for agricultural and industrial use.</w:t>
            </w:r>
            <w:r>
              <w:rPr>
                <w:rFonts w:ascii="Arimo" w:hAnsi="Arimo" w:cs="Arimo" w:eastAsia="Arimo"/>
                <w:color w:val="fff2cc"/>
                <w:sz w:val="22"/>
                <w:szCs w:val="22"/>
              </w:rPr>
              <w:t xml:space="preserve">
</w:t>
            </w:r>
          </w:p>
        </w:tc>
        <w:tc>
          <w:tcPr>
            <w:tcW w:w="4515" w:type="dxa"/>
            <w:tcMar>
              <w:top w:w="0"/>
              <w:start w:w="0"/>
              <w:bottom w:w="0"/>
              <w:end w:w="0"/>
            </w:tcMar>
          </w:tcPr>
          <w:p>
            <w:pPr>
              <w:spacing w:after="120" w:before="120"/>
              <w:jc w:val="center"/>
            </w:pPr>
            <w:r>
              <w:drawing>
                <wp:inline>
                  <wp:extent cx="2867025" cy="2120822"/>
                  <wp:docPr id="4" name="Drawing 4" descr="0892dedc06b3d00a548071246fbe3183.png"/>
                  <wp:cNvGraphicFramePr>
                    <a:graphicFrameLocks noChangeAspect="true"/>
                  </wp:cNvGraphicFramePr>
                  <a:graphic>
                    <a:graphicData uri="http://schemas.openxmlformats.org/drawingml/2006/picture">
                      <pic:pic xmlns:pic="http://schemas.openxmlformats.org/drawingml/2006/picture">
                        <pic:nvPicPr>
                          <pic:cNvPr id="0" name="Picture 4" descr="0892dedc06b3d00a548071246fbe3183.png"/>
                          <pic:cNvPicPr>
                            <a:picLocks noChangeAspect="true"/>
                          </pic:cNvPicPr>
                        </pic:nvPicPr>
                        <pic:blipFill>
                          <a:blip r:embed="rId7"/>
                          <a:srcRect l="0" t="10943" r="0" b="10943"/>
                          <a:stretch>
                            <a:fillRect/>
                          </a:stretch>
                        </pic:blipFill>
                        <pic:spPr>
                          <a:xfrm flipH="false" flipV="false">
                            <a:off x="0" y="0"/>
                            <a:ext cx="2867025" cy="2120822"/>
                          </a:xfrm>
                          <a:prstGeom prst="rect">
                            <a:avLst/>
                          </a:prstGeom>
                        </pic:spPr>
                      </pic:pic>
                    </a:graphicData>
                  </a:graphic>
                </wp:inline>
              </w:drawing>
            </w:r>
          </w:p>
          <w:p>
            <w:pPr>
              <w:spacing w:after="120" w:before="120" w:line="336" w:lineRule="auto"/>
              <w:ind w:firstLine="0" w:start="0"/>
              <w:jc w:val="start"/>
            </w:pPr>
            <w:r>
              <w:rPr>
                <w:rFonts w:ascii="Arimo Bold" w:hAnsi="Arimo Bold" w:cs="Arimo Bold" w:eastAsia="Arimo Bold"/>
                <w:b/>
                <w:bCs/>
                <w:color w:val="fff2cc"/>
                <w:sz w:val="22"/>
                <w:szCs w:val="22"/>
              </w:rPr>
              <w:t xml:space="preserve">
</w:t>
            </w:r>
          </w:p>
        </w:tc>
      </w:tr>
    </w:tbl>
    <w:p>
      <w:pPr>
        <w:spacing w:after="120" w:before="120" w:line="336" w:lineRule="auto"/>
        <w:ind w:firstLine="0" w:start="0"/>
        <w:jc w:val="start"/>
      </w:pPr>
      <w:r>
        <w:rPr>
          <w:rFonts w:ascii="Arimo Bold" w:hAnsi="Arimo Bold" w:cs="Arimo Bold" w:eastAsia="Arimo Bold"/>
          <w:b/>
          <w:bCs/>
          <w:color w:val="fff2cc"/>
          <w:sz w:val="22"/>
          <w:szCs w:val="22"/>
        </w:rPr>
        <w:t xml:space="preserve">
</w:t>
      </w:r>
    </w:p>
    <w:p>
      <w:pPr>
        <w:spacing w:after="120" w:before="120" w:line="336" w:lineRule="auto"/>
        <w:ind w:firstLine="0" w:start="0"/>
        <w:jc w:val="start"/>
      </w:pPr>
      <w:r>
        <w:rPr>
          <w:rFonts w:ascii="Arimo Bold" w:hAnsi="Arimo Bold" w:cs="Arimo Bold" w:eastAsia="Arimo Bold"/>
          <w:b/>
          <w:bCs/>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w:panose1 w:val="020B0604020202020204"/>
    <w:charset w:characterSet="1"/>
    <w:embedRegular r:id="rId2"/>
  </w:font>
  <w:font w:name="Arimo Italics">
    <w:panose1 w:val="020B0604020202090204"/>
    <w:charset w:characterSet="1"/>
    <w:embedItalic r:id="rId3"/>
  </w:font>
  <w:font w:name="Arimo Bold">
    <w:panose1 w:val="020B0704020202020204"/>
    <w:charset w:characterSet="1"/>
    <w:embedBold r:id="rId4"/>
  </w:font>
  <w:font w:name="Archivo Black">
    <w:panose1 w:val="020B0A03020202020B04"/>
    <w:charset w:characterSet="1"/>
    <w:embedRegular r:id="rId5"/>
  </w:font>
</w:fonts>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jpeg" Type="http://schemas.openxmlformats.org/officeDocument/2006/relationships/image"/><Relationship Id="rId4" Target="media/image2.png" Type="http://schemas.openxmlformats.org/officeDocument/2006/relationships/image"/><Relationship Id="rId5" Target="media/image3.png" Type="http://schemas.openxmlformats.org/officeDocument/2006/relationships/image"/><Relationship Id="rId6" Target="media/image4.png" Type="http://schemas.openxmlformats.org/officeDocument/2006/relationships/image"/><Relationship Id="rId7" Target="media/image5.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2026-02-15T09:38:56Z</dcterms:created>
  <dc:creator>Apache POI</dc:creator>
</cp:coreProperties>
</file>