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FA7E" w14:textId="77777777" w:rsidR="007960B8" w:rsidRDefault="00000000">
      <w:pPr>
        <w:spacing w:after="60"/>
        <w:jc w:val="center"/>
      </w:pPr>
      <w:r>
        <w:rPr>
          <w:b/>
          <w:bCs/>
          <w:color w:val="1A1A1A"/>
          <w:sz w:val="44"/>
          <w:szCs w:val="44"/>
        </w:rPr>
        <w:t>RANJITH R</w:t>
      </w:r>
    </w:p>
    <w:p w14:paraId="3B7EB16E" w14:textId="77777777" w:rsidR="007960B8" w:rsidRDefault="00000000">
      <w:pPr>
        <w:spacing w:after="80"/>
        <w:jc w:val="center"/>
      </w:pPr>
      <w:r>
        <w:rPr>
          <w:color w:val="444444"/>
          <w:sz w:val="22"/>
          <w:szCs w:val="22"/>
        </w:rPr>
        <w:t>GRC Analyst  |  Risk &amp; Compliance  |  IT Governance</w:t>
      </w:r>
    </w:p>
    <w:p w14:paraId="066993E5" w14:textId="77777777" w:rsidR="007960B8" w:rsidRDefault="00000000">
      <w:pPr>
        <w:spacing w:after="200"/>
        <w:jc w:val="center"/>
      </w:pPr>
      <w:r>
        <w:rPr>
          <w:color w:val="1A1A1A"/>
          <w:sz w:val="19"/>
          <w:szCs w:val="19"/>
        </w:rPr>
        <w:t>Coimbatore, Tamil Nadu  |  rranjithh16@gmail.com  |  +91 8072882285  |  linkedin.com/in/ranjith-r-1ab858184  |  github.com/rranjithh/grc-projects-portfolio</w:t>
      </w:r>
    </w:p>
    <w:p w14:paraId="1B5B5DE2" w14:textId="77777777" w:rsidR="007960B8" w:rsidRDefault="00000000">
      <w:pPr>
        <w:pBdr>
          <w:bottom w:val="single" w:sz="8" w:space="4" w:color="1F4E79"/>
        </w:pBdr>
        <w:spacing w:before="240" w:after="80"/>
      </w:pPr>
      <w:r>
        <w:rPr>
          <w:b/>
          <w:bCs/>
          <w:color w:val="1F4E79"/>
          <w:sz w:val="22"/>
          <w:szCs w:val="22"/>
        </w:rPr>
        <w:t>PROFESSIONAL SUMMARY</w:t>
      </w:r>
    </w:p>
    <w:p w14:paraId="1B2D6897" w14:textId="77777777" w:rsidR="007960B8" w:rsidRDefault="00000000">
      <w:pPr>
        <w:spacing w:before="60" w:after="60"/>
      </w:pPr>
      <w:r>
        <w:rPr>
          <w:color w:val="1A1A1A"/>
        </w:rPr>
        <w:t>GRC professional with 5+ years of experience in project management, operations, and audit documentation. Hands-on experience delivering ISO 27001:2022-based risk assessments, ISMS gap analysis, incident response planning, vendor risk evaluations, and audit evidence mapping through structured portfolio projects. Strong in control documentation, compliance tracking, stakeholder coordination, and audit readiness aligned with GRC analyst responsibilities.</w:t>
      </w:r>
    </w:p>
    <w:p w14:paraId="38123941" w14:textId="77777777" w:rsidR="007960B8" w:rsidRDefault="00000000">
      <w:pPr>
        <w:pBdr>
          <w:bottom w:val="single" w:sz="8" w:space="4" w:color="1F4E79"/>
        </w:pBdr>
        <w:spacing w:before="240" w:after="80"/>
      </w:pPr>
      <w:r>
        <w:rPr>
          <w:b/>
          <w:bCs/>
          <w:color w:val="1F4E79"/>
          <w:sz w:val="22"/>
          <w:szCs w:val="22"/>
        </w:rPr>
        <w:t>CORE SKILLS</w:t>
      </w:r>
    </w:p>
    <w:p w14:paraId="2E2B48A2" w14:textId="77777777" w:rsidR="007960B8" w:rsidRDefault="007960B8">
      <w:pPr>
        <w:spacing w:after="40"/>
      </w:pPr>
    </w:p>
    <w:p w14:paraId="4D8E3668" w14:textId="77777777" w:rsidR="007960B8" w:rsidRDefault="00000000">
      <w:pPr>
        <w:pStyle w:val="ListParagraph"/>
        <w:numPr>
          <w:ilvl w:val="0"/>
          <w:numId w:val="2"/>
        </w:numPr>
        <w:spacing w:before="40" w:after="40"/>
      </w:pPr>
      <w:r>
        <w:rPr>
          <w:color w:val="1A1A1A"/>
        </w:rPr>
        <w:t>Risk Assessment &amp; Risk Register Management (5×5 Matrix, Heat Maps, RAG Reporting)</w:t>
      </w:r>
    </w:p>
    <w:p w14:paraId="63CA1F87" w14:textId="77777777" w:rsidR="007960B8" w:rsidRDefault="00000000">
      <w:pPr>
        <w:pStyle w:val="ListParagraph"/>
        <w:numPr>
          <w:ilvl w:val="0"/>
          <w:numId w:val="2"/>
        </w:numPr>
        <w:spacing w:before="40" w:after="40"/>
      </w:pPr>
      <w:r>
        <w:rPr>
          <w:color w:val="1A1A1A"/>
        </w:rPr>
        <w:t>ISO 27001:2022 ISMS Implementation, Annex A Controls (A.5–A.8), Gap Analysis</w:t>
      </w:r>
    </w:p>
    <w:p w14:paraId="5C285F86" w14:textId="77777777" w:rsidR="007960B8" w:rsidRDefault="00000000">
      <w:pPr>
        <w:pStyle w:val="ListParagraph"/>
        <w:numPr>
          <w:ilvl w:val="0"/>
          <w:numId w:val="2"/>
        </w:numPr>
        <w:spacing w:before="40" w:after="40"/>
      </w:pPr>
      <w:r>
        <w:rPr>
          <w:color w:val="1A1A1A"/>
        </w:rPr>
        <w:t>Statement of Applicability (SoA) — Control Justification &amp; Audit-Ready Documentation</w:t>
      </w:r>
    </w:p>
    <w:p w14:paraId="13E57D96" w14:textId="77777777" w:rsidR="007960B8" w:rsidRDefault="00000000">
      <w:pPr>
        <w:pStyle w:val="ListParagraph"/>
        <w:numPr>
          <w:ilvl w:val="0"/>
          <w:numId w:val="2"/>
        </w:numPr>
        <w:spacing w:before="40" w:after="40"/>
      </w:pPr>
      <w:r>
        <w:rPr>
          <w:color w:val="1A1A1A"/>
        </w:rPr>
        <w:t>Audit Evidence Mapping &amp; Internal Audit Readiness</w:t>
      </w:r>
    </w:p>
    <w:p w14:paraId="660F982A" w14:textId="77777777" w:rsidR="007960B8" w:rsidRDefault="00000000">
      <w:pPr>
        <w:pStyle w:val="ListParagraph"/>
        <w:numPr>
          <w:ilvl w:val="0"/>
          <w:numId w:val="2"/>
        </w:numPr>
        <w:spacing w:before="40" w:after="40"/>
      </w:pPr>
      <w:r>
        <w:rPr>
          <w:color w:val="1A1A1A"/>
        </w:rPr>
        <w:t>Incident Response — NIST SP 800-61 Rev.2, ISO 27035, RACI, Playbooks, Tabletop Exercises</w:t>
      </w:r>
    </w:p>
    <w:p w14:paraId="7F4D77B1" w14:textId="77777777" w:rsidR="007960B8" w:rsidRDefault="00000000">
      <w:pPr>
        <w:pStyle w:val="ListParagraph"/>
        <w:numPr>
          <w:ilvl w:val="0"/>
          <w:numId w:val="2"/>
        </w:numPr>
        <w:spacing w:before="40" w:after="40"/>
      </w:pPr>
      <w:r>
        <w:rPr>
          <w:color w:val="1A1A1A"/>
        </w:rPr>
        <w:t>Vendor Risk &amp; Third-Party Risk Management (TPRM) — Scoring, Tiering, DPA Clauses</w:t>
      </w:r>
    </w:p>
    <w:p w14:paraId="59F5CBD8" w14:textId="77777777" w:rsidR="007960B8" w:rsidRDefault="00000000">
      <w:pPr>
        <w:pStyle w:val="ListParagraph"/>
        <w:numPr>
          <w:ilvl w:val="0"/>
          <w:numId w:val="2"/>
        </w:numPr>
        <w:spacing w:before="40" w:after="40"/>
      </w:pPr>
      <w:r>
        <w:rPr>
          <w:color w:val="1A1A1A"/>
        </w:rPr>
        <w:t>NIST CSF 2.0 &amp; Regulatory Compliance: DPDP Act 2023, SOC 2 Awareness</w:t>
      </w:r>
    </w:p>
    <w:p w14:paraId="4599F1C3" w14:textId="77777777" w:rsidR="007960B8" w:rsidRDefault="00000000">
      <w:pPr>
        <w:pStyle w:val="ListParagraph"/>
        <w:numPr>
          <w:ilvl w:val="0"/>
          <w:numId w:val="2"/>
        </w:numPr>
        <w:spacing w:before="40" w:after="40"/>
      </w:pPr>
      <w:r>
        <w:rPr>
          <w:color w:val="1A1A1A"/>
        </w:rPr>
        <w:t>ITGC Controls &amp; Control Effectiveness Testing (Design &amp; Operating Effectiveness)</w:t>
      </w:r>
    </w:p>
    <w:p w14:paraId="3DDCACF1" w14:textId="77777777" w:rsidR="007960B8" w:rsidRDefault="00000000">
      <w:pPr>
        <w:pStyle w:val="ListParagraph"/>
        <w:numPr>
          <w:ilvl w:val="0"/>
          <w:numId w:val="2"/>
        </w:numPr>
        <w:spacing w:before="40" w:after="40"/>
      </w:pPr>
      <w:r>
        <w:rPr>
          <w:color w:val="1A1A1A"/>
        </w:rPr>
        <w:t>Stakeholder Communication &amp; Documentation Governance</w:t>
      </w:r>
    </w:p>
    <w:p w14:paraId="55E370FE" w14:textId="77777777" w:rsidR="007960B8" w:rsidRDefault="007960B8">
      <w:pPr>
        <w:spacing w:after="40"/>
      </w:pPr>
    </w:p>
    <w:p w14:paraId="11729924" w14:textId="77777777" w:rsidR="007960B8" w:rsidRDefault="00000000">
      <w:pPr>
        <w:spacing w:before="60" w:after="40"/>
      </w:pPr>
      <w:r>
        <w:rPr>
          <w:b/>
          <w:bCs/>
          <w:color w:val="1A1A1A"/>
        </w:rPr>
        <w:t xml:space="preserve">Tools: </w:t>
      </w:r>
      <w:r>
        <w:rPr>
          <w:color w:val="1A1A1A"/>
        </w:rPr>
        <w:t>Excel, Google Sheets, PowerPoint, GitHub</w:t>
      </w:r>
    </w:p>
    <w:p w14:paraId="7469BDE3" w14:textId="77777777" w:rsidR="007960B8" w:rsidRDefault="00000000">
      <w:pPr>
        <w:spacing w:before="40" w:after="40"/>
      </w:pPr>
      <w:r>
        <w:rPr>
          <w:b/>
          <w:bCs/>
          <w:color w:val="1A1A1A"/>
        </w:rPr>
        <w:t xml:space="preserve">Currently Learning: </w:t>
      </w:r>
      <w:r>
        <w:rPr>
          <w:color w:val="1A1A1A"/>
        </w:rPr>
        <w:t>ServiceNow GRC, Jira</w:t>
      </w:r>
    </w:p>
    <w:p w14:paraId="17A69611" w14:textId="77777777" w:rsidR="007960B8" w:rsidRDefault="00000000">
      <w:pPr>
        <w:pBdr>
          <w:bottom w:val="single" w:sz="8" w:space="4" w:color="1F4E79"/>
        </w:pBdr>
        <w:spacing w:before="240" w:after="80"/>
      </w:pPr>
      <w:r>
        <w:rPr>
          <w:b/>
          <w:bCs/>
          <w:color w:val="1F4E79"/>
          <w:sz w:val="22"/>
          <w:szCs w:val="22"/>
        </w:rPr>
        <w:t>GRC PORTFOLIO PROJECTS</w:t>
      </w:r>
    </w:p>
    <w:p w14:paraId="6CD7D387" w14:textId="77777777" w:rsidR="007960B8" w:rsidRDefault="00000000">
      <w:pPr>
        <w:spacing w:before="60" w:after="60"/>
      </w:pPr>
      <w:r>
        <w:rPr>
          <w:i/>
          <w:iCs/>
          <w:color w:val="444444"/>
          <w:sz w:val="18"/>
          <w:szCs w:val="18"/>
        </w:rPr>
        <w:t>All projects are independently developed portfolio simulations using fictional SaaS organisations.</w:t>
      </w:r>
    </w:p>
    <w:p w14:paraId="2EDADB94" w14:textId="322CA722" w:rsidR="007960B8" w:rsidRDefault="00000000">
      <w:pPr>
        <w:tabs>
          <w:tab w:val="right" w:pos="9360"/>
        </w:tabs>
        <w:spacing w:before="160" w:after="40"/>
      </w:pPr>
      <w:r>
        <w:rPr>
          <w:b/>
          <w:bCs/>
          <w:color w:val="1A1A1A"/>
          <w:sz w:val="21"/>
          <w:szCs w:val="21"/>
        </w:rPr>
        <w:t>Risk Assessment &amp; Risk Register — BrightPay Fintech</w:t>
      </w:r>
      <w:r>
        <w:tab/>
      </w:r>
      <w:r>
        <w:rPr>
          <w:i/>
          <w:iCs/>
          <w:color w:val="444444"/>
          <w:sz w:val="19"/>
          <w:szCs w:val="19"/>
        </w:rPr>
        <w:t>2025</w:t>
      </w:r>
      <w:r w:rsidR="007E4E27">
        <w:rPr>
          <w:i/>
          <w:iCs/>
          <w:color w:val="444444"/>
          <w:sz w:val="19"/>
          <w:szCs w:val="19"/>
        </w:rPr>
        <w:t>-2026</w:t>
      </w:r>
    </w:p>
    <w:p w14:paraId="1D268839" w14:textId="77777777" w:rsidR="007960B8" w:rsidRDefault="00000000">
      <w:pPr>
        <w:pStyle w:val="ListParagraph"/>
        <w:numPr>
          <w:ilvl w:val="0"/>
          <w:numId w:val="2"/>
        </w:numPr>
        <w:spacing w:before="40" w:after="40"/>
      </w:pPr>
      <w:r>
        <w:rPr>
          <w:color w:val="1A1A1A"/>
        </w:rPr>
        <w:t>Performed risk assessment across cloud infrastructure, payment APIs, user data stores, admin accounts, third-party integrations, and employee endpoints using a 5×5 likelihood-impact matrix aligned to ISO 27001:2022 Annex A.</w:t>
      </w:r>
    </w:p>
    <w:p w14:paraId="6A44A2CF" w14:textId="77777777" w:rsidR="007960B8" w:rsidRDefault="00000000">
      <w:pPr>
        <w:pStyle w:val="ListParagraph"/>
        <w:numPr>
          <w:ilvl w:val="0"/>
          <w:numId w:val="2"/>
        </w:numPr>
        <w:spacing w:before="40" w:after="40"/>
      </w:pPr>
      <w:r>
        <w:rPr>
          <w:color w:val="1A1A1A"/>
        </w:rPr>
        <w:t>Identified and prioritised 10 risks; implemented controls (MFA, RBAC, AES-256 encryption, WAF, rate limiting) reducing average residual risk score from ~18 to ~10 and high-risk exposure by ~60%.</w:t>
      </w:r>
    </w:p>
    <w:p w14:paraId="6626D090" w14:textId="77777777" w:rsidR="007960B8" w:rsidRDefault="00000000">
      <w:pPr>
        <w:pStyle w:val="ListParagraph"/>
        <w:numPr>
          <w:ilvl w:val="0"/>
          <w:numId w:val="2"/>
        </w:numPr>
        <w:spacing w:before="40" w:after="40"/>
      </w:pPr>
      <w:r>
        <w:rPr>
          <w:color w:val="1A1A1A"/>
        </w:rPr>
        <w:t>Developed risk register with named risk owners (CISO, IT Manager, Compliance Lead, DevOps Lead), quarterly/bi-annual review cadence, escalation paths, and a colour-coded RAG heat map for executive reporting.</w:t>
      </w:r>
    </w:p>
    <w:p w14:paraId="7A1C1DB1" w14:textId="28FC51B1" w:rsidR="007960B8" w:rsidRDefault="00000000">
      <w:pPr>
        <w:tabs>
          <w:tab w:val="right" w:pos="9360"/>
        </w:tabs>
        <w:spacing w:before="160" w:after="40"/>
      </w:pPr>
      <w:r>
        <w:rPr>
          <w:b/>
          <w:bCs/>
          <w:color w:val="1A1A1A"/>
          <w:sz w:val="21"/>
          <w:szCs w:val="21"/>
        </w:rPr>
        <w:t>ISO 27001:2022 ISMS Implementation — CloudVault SaaS</w:t>
      </w:r>
      <w:r>
        <w:tab/>
      </w:r>
      <w:r>
        <w:rPr>
          <w:i/>
          <w:iCs/>
          <w:color w:val="444444"/>
          <w:sz w:val="19"/>
          <w:szCs w:val="19"/>
        </w:rPr>
        <w:t>2025</w:t>
      </w:r>
      <w:r w:rsidR="007E4E27">
        <w:rPr>
          <w:i/>
          <w:iCs/>
          <w:color w:val="444444"/>
          <w:sz w:val="19"/>
          <w:szCs w:val="19"/>
        </w:rPr>
        <w:t>-2026</w:t>
      </w:r>
    </w:p>
    <w:p w14:paraId="23AC1965" w14:textId="77777777" w:rsidR="007960B8" w:rsidRDefault="00000000">
      <w:pPr>
        <w:pStyle w:val="ListParagraph"/>
        <w:numPr>
          <w:ilvl w:val="0"/>
          <w:numId w:val="2"/>
        </w:numPr>
        <w:spacing w:before="40" w:after="40"/>
      </w:pPr>
      <w:r>
        <w:rPr>
          <w:color w:val="1A1A1A"/>
        </w:rPr>
        <w:t>Conducted full gap analysis across all 93 Annex A controls (A.5–A.8); identified 12 control gaps and reduced to 4 through a phased 30/60/90-day remediation roadmap (~70% gap reduction).</w:t>
      </w:r>
    </w:p>
    <w:p w14:paraId="1C57088B" w14:textId="77777777" w:rsidR="007960B8" w:rsidRDefault="00000000">
      <w:pPr>
        <w:pStyle w:val="ListParagraph"/>
        <w:numPr>
          <w:ilvl w:val="0"/>
          <w:numId w:val="2"/>
        </w:numPr>
        <w:spacing w:before="40" w:after="40"/>
      </w:pPr>
      <w:r>
        <w:rPr>
          <w:color w:val="1A1A1A"/>
        </w:rPr>
        <w:t>Developed Statement of Applicability (SoA) documenting inclusion/exclusion justification for each control; drafted Access Control Policy (A.8), Incident Response Policy (A.5.26), and HR Security Policy (A.6).</w:t>
      </w:r>
    </w:p>
    <w:p w14:paraId="51EF6F99" w14:textId="77777777" w:rsidR="007960B8" w:rsidRPr="007E4E27" w:rsidRDefault="00000000">
      <w:pPr>
        <w:pStyle w:val="ListParagraph"/>
        <w:numPr>
          <w:ilvl w:val="0"/>
          <w:numId w:val="2"/>
        </w:numPr>
        <w:spacing w:before="40" w:after="40"/>
      </w:pPr>
      <w:r>
        <w:rPr>
          <w:color w:val="1A1A1A"/>
        </w:rPr>
        <w:t>Prepared audit evidence map linking each control to its documentation owner and review date, structured for auditor walkthrough and internal audit readiness.</w:t>
      </w:r>
    </w:p>
    <w:p w14:paraId="0B02AC02" w14:textId="77777777" w:rsidR="007E4E27" w:rsidRDefault="007E4E27" w:rsidP="007E4E27">
      <w:pPr>
        <w:spacing w:before="40" w:after="40"/>
      </w:pPr>
    </w:p>
    <w:p w14:paraId="4EB22534" w14:textId="77777777" w:rsidR="007E4E27" w:rsidRDefault="007E4E27" w:rsidP="007E4E27">
      <w:pPr>
        <w:spacing w:before="40" w:after="40"/>
      </w:pPr>
    </w:p>
    <w:p w14:paraId="6A4AAE76" w14:textId="77777777" w:rsidR="007E4E27" w:rsidRDefault="007E4E27" w:rsidP="007E4E27">
      <w:pPr>
        <w:spacing w:before="40" w:after="40"/>
      </w:pPr>
    </w:p>
    <w:p w14:paraId="699915C6" w14:textId="284B0820" w:rsidR="007960B8" w:rsidRDefault="00000000">
      <w:pPr>
        <w:tabs>
          <w:tab w:val="right" w:pos="9360"/>
        </w:tabs>
        <w:spacing w:before="160" w:after="40"/>
      </w:pPr>
      <w:r>
        <w:rPr>
          <w:b/>
          <w:bCs/>
          <w:color w:val="1A1A1A"/>
          <w:sz w:val="21"/>
          <w:szCs w:val="21"/>
        </w:rPr>
        <w:lastRenderedPageBreak/>
        <w:t>Incident Response Plan — NovaPay SaaS</w:t>
      </w:r>
      <w:r>
        <w:tab/>
      </w:r>
      <w:r>
        <w:rPr>
          <w:i/>
          <w:iCs/>
          <w:color w:val="444444"/>
          <w:sz w:val="19"/>
          <w:szCs w:val="19"/>
        </w:rPr>
        <w:t>2025</w:t>
      </w:r>
      <w:r w:rsidR="007E4E27">
        <w:rPr>
          <w:i/>
          <w:iCs/>
          <w:color w:val="444444"/>
          <w:sz w:val="19"/>
          <w:szCs w:val="19"/>
        </w:rPr>
        <w:t>-2026</w:t>
      </w:r>
    </w:p>
    <w:p w14:paraId="30E53AED" w14:textId="77777777" w:rsidR="007960B8" w:rsidRDefault="00000000">
      <w:pPr>
        <w:pStyle w:val="ListParagraph"/>
        <w:numPr>
          <w:ilvl w:val="0"/>
          <w:numId w:val="2"/>
        </w:numPr>
        <w:spacing w:before="40" w:after="40"/>
      </w:pPr>
      <w:r>
        <w:rPr>
          <w:color w:val="1A1A1A"/>
        </w:rPr>
        <w:t>Designed end-to-end incident response lifecycle aligned to NIST SP 800-61 Rev.2 and ISO 27035, covering preparation, detection and analysis, containment (including forensic evidence preservation), eradication, recovery, and post-incident review.</w:t>
      </w:r>
    </w:p>
    <w:p w14:paraId="65126273" w14:textId="77777777" w:rsidR="007960B8" w:rsidRDefault="00000000">
      <w:pPr>
        <w:pStyle w:val="ListParagraph"/>
        <w:numPr>
          <w:ilvl w:val="0"/>
          <w:numId w:val="2"/>
        </w:numPr>
        <w:spacing w:before="40" w:after="40"/>
      </w:pPr>
      <w:r>
        <w:rPr>
          <w:color w:val="1A1A1A"/>
        </w:rPr>
        <w:t>Developed severity matrix (P1–P4) with response SLAs, RACI model, and scenario playbooks for ransomware, phishing, and data breach incidents.</w:t>
      </w:r>
    </w:p>
    <w:p w14:paraId="0D57B324" w14:textId="77777777" w:rsidR="007960B8" w:rsidRDefault="00000000">
      <w:pPr>
        <w:pStyle w:val="ListParagraph"/>
        <w:numPr>
          <w:ilvl w:val="0"/>
          <w:numId w:val="2"/>
        </w:numPr>
        <w:spacing w:before="40" w:after="40"/>
      </w:pPr>
      <w:r>
        <w:rPr>
          <w:color w:val="1A1A1A"/>
        </w:rPr>
        <w:t>Executed ransomware tabletop exercise improving MTTR by ~50% through pre-defined escalation paths and playbook-driven decisions; incorporated DPDP Act 2023 breach notification obligations into recovery procedures.</w:t>
      </w:r>
    </w:p>
    <w:p w14:paraId="78802BFD" w14:textId="5D2B3D7A" w:rsidR="007960B8" w:rsidRDefault="00000000">
      <w:pPr>
        <w:tabs>
          <w:tab w:val="right" w:pos="9360"/>
        </w:tabs>
        <w:spacing w:before="160" w:after="40"/>
      </w:pPr>
      <w:r>
        <w:rPr>
          <w:b/>
          <w:bCs/>
          <w:color w:val="1A1A1A"/>
          <w:sz w:val="21"/>
          <w:szCs w:val="21"/>
        </w:rPr>
        <w:t>Vendor Risk Assessment — TrustLine SaaS</w:t>
      </w:r>
      <w:r>
        <w:tab/>
      </w:r>
      <w:r>
        <w:rPr>
          <w:i/>
          <w:iCs/>
          <w:color w:val="444444"/>
          <w:sz w:val="19"/>
          <w:szCs w:val="19"/>
        </w:rPr>
        <w:t>2025</w:t>
      </w:r>
      <w:r w:rsidR="007E4E27">
        <w:rPr>
          <w:i/>
          <w:iCs/>
          <w:color w:val="444444"/>
          <w:sz w:val="19"/>
          <w:szCs w:val="19"/>
        </w:rPr>
        <w:t>-2026</w:t>
      </w:r>
    </w:p>
    <w:p w14:paraId="682486CA" w14:textId="77777777" w:rsidR="007960B8" w:rsidRDefault="00000000">
      <w:pPr>
        <w:pStyle w:val="ListParagraph"/>
        <w:numPr>
          <w:ilvl w:val="0"/>
          <w:numId w:val="2"/>
        </w:numPr>
        <w:spacing w:before="40" w:after="40"/>
      </w:pPr>
      <w:r>
        <w:rPr>
          <w:color w:val="1A1A1A"/>
        </w:rPr>
        <w:t>Designed vendor risk assessment (VRA) framework with a 20-question security questionnaire across 5 domains (Data Handling, Access Controls, IR, Compliance, BCP), aligned to ISO 27001:2022 Annex A supplier controls (A.5.19–A.5.22).</w:t>
      </w:r>
    </w:p>
    <w:p w14:paraId="5C53D337" w14:textId="77777777" w:rsidR="007960B8" w:rsidRDefault="00000000">
      <w:pPr>
        <w:pStyle w:val="ListParagraph"/>
        <w:numPr>
          <w:ilvl w:val="0"/>
          <w:numId w:val="2"/>
        </w:numPr>
        <w:spacing w:before="40" w:after="40"/>
      </w:pPr>
      <w:r>
        <w:rPr>
          <w:color w:val="1A1A1A"/>
        </w:rPr>
        <w:t>Evaluated three vendors on a 0–100 scoring model; classified into High/Medium/Low risk tiers and recommended SLA clauses, DPA controls aligned to DPDP Act 2023, and a dual-vendor strategy for high-risk dependencies.</w:t>
      </w:r>
    </w:p>
    <w:p w14:paraId="16DACB09" w14:textId="77777777" w:rsidR="007960B8" w:rsidRDefault="00000000">
      <w:pPr>
        <w:pStyle w:val="ListParagraph"/>
        <w:numPr>
          <w:ilvl w:val="0"/>
          <w:numId w:val="2"/>
        </w:numPr>
        <w:spacing w:before="40" w:after="40"/>
      </w:pPr>
      <w:r>
        <w:rPr>
          <w:color w:val="1A1A1A"/>
        </w:rPr>
        <w:t>Integrated vendor risk outcomes into the enterprise risk register with defined reassessment triggers (material change, breach, contract renewal) and assigned control ownership to Procurement and Legal.</w:t>
      </w:r>
    </w:p>
    <w:p w14:paraId="62ABDAE1" w14:textId="77777777" w:rsidR="007960B8" w:rsidRDefault="00000000">
      <w:pPr>
        <w:pBdr>
          <w:bottom w:val="single" w:sz="8" w:space="4" w:color="1F4E79"/>
        </w:pBdr>
        <w:spacing w:before="240" w:after="80"/>
      </w:pPr>
      <w:r>
        <w:rPr>
          <w:b/>
          <w:bCs/>
          <w:color w:val="1F4E79"/>
          <w:sz w:val="22"/>
          <w:szCs w:val="22"/>
        </w:rPr>
        <w:t>PROFESSIONAL EXPERIENCE</w:t>
      </w:r>
    </w:p>
    <w:p w14:paraId="75F8D5EF" w14:textId="77777777" w:rsidR="007960B8" w:rsidRDefault="00000000">
      <w:pPr>
        <w:tabs>
          <w:tab w:val="right" w:pos="9360"/>
        </w:tabs>
        <w:spacing w:before="160" w:after="40"/>
      </w:pPr>
      <w:r>
        <w:rPr>
          <w:b/>
          <w:bCs/>
          <w:color w:val="1A1A1A"/>
          <w:sz w:val="21"/>
          <w:szCs w:val="21"/>
        </w:rPr>
        <w:t>Perfect Digital Media Resources</w:t>
      </w:r>
      <w:r>
        <w:rPr>
          <w:color w:val="1A1A1A"/>
        </w:rPr>
        <w:t xml:space="preserve">  —  Project Manager / Operations Lead</w:t>
      </w:r>
      <w:r>
        <w:tab/>
      </w:r>
      <w:r>
        <w:rPr>
          <w:i/>
          <w:iCs/>
          <w:color w:val="444444"/>
          <w:sz w:val="19"/>
          <w:szCs w:val="19"/>
        </w:rPr>
        <w:t>Apr 2025 – Mar 2026</w:t>
      </w:r>
    </w:p>
    <w:p w14:paraId="663416C0" w14:textId="77777777" w:rsidR="007960B8" w:rsidRDefault="00000000">
      <w:pPr>
        <w:pStyle w:val="ListParagraph"/>
        <w:numPr>
          <w:ilvl w:val="0"/>
          <w:numId w:val="2"/>
        </w:numPr>
        <w:spacing w:before="40" w:after="40"/>
      </w:pPr>
      <w:r>
        <w:rPr>
          <w:color w:val="1A1A1A"/>
        </w:rPr>
        <w:t>Managed 15+ client projects ensuring SLA compliance, delivery governance, and quality standards across global accounts.</w:t>
      </w:r>
    </w:p>
    <w:p w14:paraId="7759B75C" w14:textId="77777777" w:rsidR="007960B8" w:rsidRDefault="00000000">
      <w:pPr>
        <w:pStyle w:val="ListParagraph"/>
        <w:numPr>
          <w:ilvl w:val="0"/>
          <w:numId w:val="2"/>
        </w:numPr>
        <w:spacing w:before="40" w:after="40"/>
      </w:pPr>
      <w:r>
        <w:rPr>
          <w:color w:val="1A1A1A"/>
        </w:rPr>
        <w:t>Maintained risk logs, tracked operational issues, and supported mitigation planning directly analogous to GRC risk management workflows.</w:t>
      </w:r>
    </w:p>
    <w:p w14:paraId="47DC4F0A" w14:textId="77777777" w:rsidR="007960B8" w:rsidRDefault="00000000">
      <w:pPr>
        <w:pStyle w:val="ListParagraph"/>
        <w:numPr>
          <w:ilvl w:val="0"/>
          <w:numId w:val="2"/>
        </w:numPr>
        <w:spacing w:before="40" w:after="40"/>
      </w:pPr>
      <w:r>
        <w:rPr>
          <w:color w:val="1A1A1A"/>
        </w:rPr>
        <w:t>Prepared audit-ready documentation, status reports, and compliance records for internal and client reviews.</w:t>
      </w:r>
    </w:p>
    <w:p w14:paraId="69D10DF8" w14:textId="77777777" w:rsidR="007960B8" w:rsidRDefault="00000000">
      <w:pPr>
        <w:pStyle w:val="ListParagraph"/>
        <w:numPr>
          <w:ilvl w:val="0"/>
          <w:numId w:val="2"/>
        </w:numPr>
        <w:spacing w:before="40" w:after="40"/>
      </w:pPr>
      <w:r>
        <w:rPr>
          <w:color w:val="1A1A1A"/>
        </w:rPr>
        <w:t>Coordinated cross-functional teams and third-party vendors, managing escalations and delivery risks.</w:t>
      </w:r>
    </w:p>
    <w:p w14:paraId="1411CD0C" w14:textId="77777777" w:rsidR="007960B8" w:rsidRDefault="00000000">
      <w:pPr>
        <w:tabs>
          <w:tab w:val="right" w:pos="9360"/>
        </w:tabs>
        <w:spacing w:before="160" w:after="40"/>
      </w:pPr>
      <w:r>
        <w:rPr>
          <w:b/>
          <w:bCs/>
          <w:color w:val="1A1A1A"/>
          <w:sz w:val="21"/>
          <w:szCs w:val="21"/>
        </w:rPr>
        <w:t>Straive</w:t>
      </w:r>
      <w:r>
        <w:rPr>
          <w:color w:val="1A1A1A"/>
        </w:rPr>
        <w:t xml:space="preserve">  —  Senior Associate / Project Coordinator</w:t>
      </w:r>
      <w:r>
        <w:tab/>
      </w:r>
      <w:r>
        <w:rPr>
          <w:i/>
          <w:iCs/>
          <w:color w:val="444444"/>
          <w:sz w:val="19"/>
          <w:szCs w:val="19"/>
        </w:rPr>
        <w:t>Oct 2023 – Mar 2025</w:t>
      </w:r>
    </w:p>
    <w:p w14:paraId="09F3F2B2" w14:textId="77777777" w:rsidR="007960B8" w:rsidRDefault="00000000">
      <w:pPr>
        <w:pStyle w:val="ListParagraph"/>
        <w:numPr>
          <w:ilvl w:val="0"/>
          <w:numId w:val="2"/>
        </w:numPr>
        <w:spacing w:before="40" w:after="40"/>
      </w:pPr>
      <w:r>
        <w:rPr>
          <w:color w:val="1A1A1A"/>
        </w:rPr>
        <w:t>Managed multi-client workflows while maintaining structured documentation aligned with audit and compliance requirements.</w:t>
      </w:r>
    </w:p>
    <w:p w14:paraId="6EB24604" w14:textId="77777777" w:rsidR="007960B8" w:rsidRDefault="00000000">
      <w:pPr>
        <w:pStyle w:val="ListParagraph"/>
        <w:numPr>
          <w:ilvl w:val="0"/>
          <w:numId w:val="2"/>
        </w:numPr>
        <w:spacing w:before="40" w:after="40"/>
      </w:pPr>
      <w:r>
        <w:rPr>
          <w:color w:val="1A1A1A"/>
        </w:rPr>
        <w:t>Supported audit readiness by ensuring documentation accuracy, completeness, and traceability across 8+ global publishing accounts.</w:t>
      </w:r>
    </w:p>
    <w:p w14:paraId="4834FFDD" w14:textId="77777777" w:rsidR="007960B8" w:rsidRDefault="00000000">
      <w:pPr>
        <w:pStyle w:val="ListParagraph"/>
        <w:numPr>
          <w:ilvl w:val="0"/>
          <w:numId w:val="2"/>
        </w:numPr>
        <w:spacing w:before="40" w:after="40"/>
      </w:pPr>
      <w:r>
        <w:rPr>
          <w:color w:val="1A1A1A"/>
        </w:rPr>
        <w:t>Acted as escalation point for operational risks, ensuring timely resolution and formal reporting.</w:t>
      </w:r>
    </w:p>
    <w:p w14:paraId="3448973B" w14:textId="77777777" w:rsidR="007960B8" w:rsidRDefault="00000000">
      <w:pPr>
        <w:tabs>
          <w:tab w:val="right" w:pos="9360"/>
        </w:tabs>
        <w:spacing w:before="160" w:after="40"/>
      </w:pPr>
      <w:r>
        <w:rPr>
          <w:b/>
          <w:bCs/>
          <w:color w:val="1A1A1A"/>
          <w:sz w:val="21"/>
          <w:szCs w:val="21"/>
        </w:rPr>
        <w:t>TNQ Technologies</w:t>
      </w:r>
      <w:r>
        <w:rPr>
          <w:color w:val="1A1A1A"/>
        </w:rPr>
        <w:t xml:space="preserve">  —  Team Lead / Senior Associate</w:t>
      </w:r>
      <w:r>
        <w:tab/>
      </w:r>
      <w:r>
        <w:rPr>
          <w:i/>
          <w:iCs/>
          <w:color w:val="444444"/>
          <w:sz w:val="19"/>
          <w:szCs w:val="19"/>
        </w:rPr>
        <w:t>2020 – 2023</w:t>
      </w:r>
    </w:p>
    <w:p w14:paraId="5FDE7305" w14:textId="77777777" w:rsidR="007960B8" w:rsidRDefault="00000000">
      <w:pPr>
        <w:pStyle w:val="ListParagraph"/>
        <w:numPr>
          <w:ilvl w:val="0"/>
          <w:numId w:val="2"/>
        </w:numPr>
        <w:spacing w:before="40" w:after="40"/>
      </w:pPr>
      <w:r>
        <w:rPr>
          <w:color w:val="1A1A1A"/>
        </w:rPr>
        <w:t>Led a team of 8 delivering 700+ journal articles monthly with 99%+ quality compliance and full SLA adherence.</w:t>
      </w:r>
    </w:p>
    <w:p w14:paraId="73EF76AE" w14:textId="77777777" w:rsidR="007960B8" w:rsidRDefault="00000000">
      <w:pPr>
        <w:pStyle w:val="ListParagraph"/>
        <w:numPr>
          <w:ilvl w:val="0"/>
          <w:numId w:val="2"/>
        </w:numPr>
        <w:spacing w:before="40" w:after="40"/>
      </w:pPr>
      <w:r>
        <w:rPr>
          <w:color w:val="1A1A1A"/>
        </w:rPr>
        <w:t>Managed reporting, governance processes, and operational risk tracking for STM publishing workflows.</w:t>
      </w:r>
    </w:p>
    <w:p w14:paraId="44A8F8AE" w14:textId="77777777" w:rsidR="007960B8" w:rsidRDefault="00000000">
      <w:pPr>
        <w:pBdr>
          <w:bottom w:val="single" w:sz="8" w:space="4" w:color="1F4E79"/>
        </w:pBdr>
        <w:spacing w:before="240" w:after="80"/>
      </w:pPr>
      <w:r>
        <w:rPr>
          <w:b/>
          <w:bCs/>
          <w:color w:val="1F4E79"/>
          <w:sz w:val="22"/>
          <w:szCs w:val="22"/>
        </w:rPr>
        <w:t>EDUCATION</w:t>
      </w:r>
    </w:p>
    <w:p w14:paraId="215914A3" w14:textId="77777777" w:rsidR="007960B8" w:rsidRDefault="00000000">
      <w:pPr>
        <w:tabs>
          <w:tab w:val="right" w:pos="9360"/>
        </w:tabs>
        <w:spacing w:before="100" w:after="60"/>
      </w:pPr>
      <w:r>
        <w:rPr>
          <w:b/>
          <w:bCs/>
          <w:color w:val="1A1A1A"/>
        </w:rPr>
        <w:t>Bachelor of Science in Physics</w:t>
      </w:r>
      <w:r>
        <w:rPr>
          <w:color w:val="1A1A1A"/>
        </w:rPr>
        <w:t xml:space="preserve">  —  Karpagam University, Coimbatore</w:t>
      </w:r>
      <w:r>
        <w:tab/>
      </w:r>
      <w:r>
        <w:rPr>
          <w:i/>
          <w:iCs/>
          <w:color w:val="444444"/>
          <w:sz w:val="19"/>
          <w:szCs w:val="19"/>
        </w:rPr>
        <w:t>2016 – 2019</w:t>
      </w:r>
    </w:p>
    <w:p w14:paraId="71797A7E" w14:textId="77777777" w:rsidR="007960B8" w:rsidRDefault="00000000">
      <w:pPr>
        <w:pBdr>
          <w:bottom w:val="single" w:sz="8" w:space="4" w:color="1F4E79"/>
        </w:pBdr>
        <w:spacing w:before="240" w:after="80"/>
      </w:pPr>
      <w:r>
        <w:rPr>
          <w:b/>
          <w:bCs/>
          <w:color w:val="1F4E79"/>
          <w:sz w:val="22"/>
          <w:szCs w:val="22"/>
        </w:rPr>
        <w:t>CERTIFICATIONS &amp; PROFESSIONAL DEVELOPMENT</w:t>
      </w:r>
    </w:p>
    <w:p w14:paraId="5C5D2656" w14:textId="77777777" w:rsidR="007960B8" w:rsidRDefault="00000000">
      <w:pPr>
        <w:pStyle w:val="ListParagraph"/>
        <w:numPr>
          <w:ilvl w:val="0"/>
          <w:numId w:val="2"/>
        </w:numPr>
        <w:spacing w:before="40" w:after="40"/>
      </w:pPr>
      <w:r>
        <w:rPr>
          <w:color w:val="1A1A1A"/>
        </w:rPr>
        <w:t>Google Cybersecurity Professional Certificate — Completed</w:t>
      </w:r>
    </w:p>
    <w:p w14:paraId="7C94A71A" w14:textId="77777777" w:rsidR="007960B8" w:rsidRDefault="00000000">
      <w:pPr>
        <w:pStyle w:val="ListParagraph"/>
        <w:numPr>
          <w:ilvl w:val="0"/>
          <w:numId w:val="2"/>
        </w:numPr>
        <w:spacing w:before="40" w:after="40"/>
      </w:pPr>
      <w:r>
        <w:rPr>
          <w:color w:val="1A1A1A"/>
        </w:rPr>
        <w:t>CCNA — Completed</w:t>
      </w:r>
    </w:p>
    <w:p w14:paraId="6DDB85EE" w14:textId="77777777" w:rsidR="007960B8" w:rsidRDefault="00000000">
      <w:pPr>
        <w:pStyle w:val="ListParagraph"/>
        <w:numPr>
          <w:ilvl w:val="0"/>
          <w:numId w:val="2"/>
        </w:numPr>
        <w:spacing w:before="40" w:after="40"/>
      </w:pPr>
      <w:r>
        <w:rPr>
          <w:color w:val="1A1A1A"/>
        </w:rPr>
        <w:t>ISC2 Certified in Cybersecurity (CC) — Exam Scheduled  |  Pre-Assessment Score: 93%</w:t>
      </w:r>
    </w:p>
    <w:p w14:paraId="19ADF479" w14:textId="77777777" w:rsidR="007960B8" w:rsidRDefault="00000000">
      <w:pPr>
        <w:pStyle w:val="ListParagraph"/>
        <w:numPr>
          <w:ilvl w:val="0"/>
          <w:numId w:val="2"/>
        </w:numPr>
        <w:spacing w:before="40" w:after="40"/>
      </w:pPr>
      <w:r>
        <w:rPr>
          <w:color w:val="1A1A1A"/>
        </w:rPr>
        <w:t>CompTIA Security+ — In Progress</w:t>
      </w:r>
    </w:p>
    <w:sectPr w:rsidR="007960B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61399"/>
    <w:multiLevelType w:val="hybridMultilevel"/>
    <w:tmpl w:val="EC169718"/>
    <w:lvl w:ilvl="0" w:tplc="F6B65E20">
      <w:start w:val="1"/>
      <w:numFmt w:val="bullet"/>
      <w:lvlText w:val="•"/>
      <w:lvlJc w:val="left"/>
      <w:pPr>
        <w:ind w:left="480" w:hanging="300"/>
      </w:pPr>
    </w:lvl>
    <w:lvl w:ilvl="1" w:tplc="6CBE1006">
      <w:numFmt w:val="decimal"/>
      <w:lvlText w:val=""/>
      <w:lvlJc w:val="left"/>
    </w:lvl>
    <w:lvl w:ilvl="2" w:tplc="0660026E">
      <w:numFmt w:val="decimal"/>
      <w:lvlText w:val=""/>
      <w:lvlJc w:val="left"/>
    </w:lvl>
    <w:lvl w:ilvl="3" w:tplc="7B7CB8C8">
      <w:numFmt w:val="decimal"/>
      <w:lvlText w:val=""/>
      <w:lvlJc w:val="left"/>
    </w:lvl>
    <w:lvl w:ilvl="4" w:tplc="878ED086">
      <w:numFmt w:val="decimal"/>
      <w:lvlText w:val=""/>
      <w:lvlJc w:val="left"/>
    </w:lvl>
    <w:lvl w:ilvl="5" w:tplc="4CF0E76C">
      <w:numFmt w:val="decimal"/>
      <w:lvlText w:val=""/>
      <w:lvlJc w:val="left"/>
    </w:lvl>
    <w:lvl w:ilvl="6" w:tplc="D21624B4">
      <w:numFmt w:val="decimal"/>
      <w:lvlText w:val=""/>
      <w:lvlJc w:val="left"/>
    </w:lvl>
    <w:lvl w:ilvl="7" w:tplc="933E274A">
      <w:numFmt w:val="decimal"/>
      <w:lvlText w:val=""/>
      <w:lvlJc w:val="left"/>
    </w:lvl>
    <w:lvl w:ilvl="8" w:tplc="CC046546">
      <w:numFmt w:val="decimal"/>
      <w:lvlText w:val=""/>
      <w:lvlJc w:val="left"/>
    </w:lvl>
  </w:abstractNum>
  <w:abstractNum w:abstractNumId="1" w15:restartNumberingAfterBreak="0">
    <w:nsid w:val="775B23BB"/>
    <w:multiLevelType w:val="hybridMultilevel"/>
    <w:tmpl w:val="08564796"/>
    <w:lvl w:ilvl="0" w:tplc="B8F04CF0">
      <w:start w:val="1"/>
      <w:numFmt w:val="bullet"/>
      <w:lvlText w:val="●"/>
      <w:lvlJc w:val="left"/>
      <w:pPr>
        <w:ind w:left="720" w:hanging="360"/>
      </w:pPr>
    </w:lvl>
    <w:lvl w:ilvl="1" w:tplc="01BE14F0">
      <w:start w:val="1"/>
      <w:numFmt w:val="bullet"/>
      <w:lvlText w:val="○"/>
      <w:lvlJc w:val="left"/>
      <w:pPr>
        <w:ind w:left="1440" w:hanging="360"/>
      </w:pPr>
    </w:lvl>
    <w:lvl w:ilvl="2" w:tplc="8DDC9A9A">
      <w:start w:val="1"/>
      <w:numFmt w:val="bullet"/>
      <w:lvlText w:val="■"/>
      <w:lvlJc w:val="left"/>
      <w:pPr>
        <w:ind w:left="2160" w:hanging="360"/>
      </w:pPr>
    </w:lvl>
    <w:lvl w:ilvl="3" w:tplc="9E70B68C">
      <w:start w:val="1"/>
      <w:numFmt w:val="bullet"/>
      <w:lvlText w:val="●"/>
      <w:lvlJc w:val="left"/>
      <w:pPr>
        <w:ind w:left="2880" w:hanging="360"/>
      </w:pPr>
    </w:lvl>
    <w:lvl w:ilvl="4" w:tplc="85B4D422">
      <w:start w:val="1"/>
      <w:numFmt w:val="bullet"/>
      <w:lvlText w:val="○"/>
      <w:lvlJc w:val="left"/>
      <w:pPr>
        <w:ind w:left="3600" w:hanging="360"/>
      </w:pPr>
    </w:lvl>
    <w:lvl w:ilvl="5" w:tplc="C9E61F96">
      <w:start w:val="1"/>
      <w:numFmt w:val="bullet"/>
      <w:lvlText w:val="■"/>
      <w:lvlJc w:val="left"/>
      <w:pPr>
        <w:ind w:left="4320" w:hanging="360"/>
      </w:pPr>
    </w:lvl>
    <w:lvl w:ilvl="6" w:tplc="43C2ECCE">
      <w:start w:val="1"/>
      <w:numFmt w:val="bullet"/>
      <w:lvlText w:val="●"/>
      <w:lvlJc w:val="left"/>
      <w:pPr>
        <w:ind w:left="5040" w:hanging="360"/>
      </w:pPr>
    </w:lvl>
    <w:lvl w:ilvl="7" w:tplc="5BFE7D58">
      <w:start w:val="1"/>
      <w:numFmt w:val="bullet"/>
      <w:lvlText w:val="●"/>
      <w:lvlJc w:val="left"/>
      <w:pPr>
        <w:ind w:left="5760" w:hanging="360"/>
      </w:pPr>
    </w:lvl>
    <w:lvl w:ilvl="8" w:tplc="102CE770">
      <w:start w:val="1"/>
      <w:numFmt w:val="bullet"/>
      <w:lvlText w:val="●"/>
      <w:lvlJc w:val="left"/>
      <w:pPr>
        <w:ind w:left="6480" w:hanging="360"/>
      </w:pPr>
    </w:lvl>
  </w:abstractNum>
  <w:num w:numId="1" w16cid:durableId="166793637">
    <w:abstractNumId w:val="1"/>
    <w:lvlOverride w:ilvl="0">
      <w:startOverride w:val="1"/>
    </w:lvlOverride>
  </w:num>
  <w:num w:numId="2" w16cid:durableId="637225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0B8"/>
    <w:rsid w:val="007960B8"/>
    <w:rsid w:val="007E4E27"/>
    <w:rsid w:val="00C60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B744"/>
  <w15:docId w15:val="{6861D801-23A9-452B-9E41-DCC8FD1E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Ranjith R</cp:lastModifiedBy>
  <cp:revision>2</cp:revision>
  <dcterms:created xsi:type="dcterms:W3CDTF">2026-04-22T18:45:00Z</dcterms:created>
  <dcterms:modified xsi:type="dcterms:W3CDTF">2026-04-22T20:12:00Z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ab968aa1-7c38-4d75-890d-c946846357ff</vt:lpwstr>
  </property>
</Properties>
</file>