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52"/>
                <w:szCs w:val="52"/>
              </w:rPr>
              <w:t xml:space="preserve">GRC PORTFOLIO</w:t>
            </w:r>
          </w:p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8"/>
                <w:szCs w:val="28"/>
              </w:rPr>
              <w:t xml:space="preserve">Governance · Risk · Compliance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AECDE8"/>
                <w:sz w:val="24"/>
                <w:szCs w:val="24"/>
              </w:rPr>
              <w:t xml:space="preserve">2025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RANJITH 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GRC Analyst  |  Risk &amp; Compliance  |  IT Governance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rranjithh16@gmail.com  |  +91 8072882285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github.com/rranjithh/grc-projects-portfolio</w:t>
      </w:r>
    </w:p>
    <w:p>
      <w:pPr>
        <w:spacing w:after="160" w:before="0"/>
      </w:pPr>
      <w:r>
        <w:t xml:space="preserve"/>
      </w:r>
    </w:p>
    <w:p>
      <w:pPr>
        <w:pBdr>
          <w:top w:val="single" w:color="2E75B6" w:sz="6" w:space="6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4 Projects  |  ISO 27001:2022  |  NIST SP 800-61  |  DPDP Act 2023  |  Vendor Risk  |  Incident Response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All projects are independently developed portfolio simulations using fictional SaaS organisations.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ECDE8"/>
                <w:spacing w:val="80"/>
                <w:sz w:val="18"/>
                <w:szCs w:val="18"/>
              </w:rPr>
              <w:t xml:space="preserve">PROJECT 01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Risk Assessment &amp; Risk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BrightPay Fintech  |  ISO 27001:2022 Annex A  |  5×5 Risk Matrix  |  Excel Heat Map  |  RBAC  |  MFA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PROJECT OVERVIEW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Fintech SaaS — customer data, payment processing, cloud infrastructure, third-party APIs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27001:2022 (Annex A), 5×5 Risk Scoring Matrix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Asset Categories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infrastructure, payment APIs, user data stores, admin accounts, third-party integrations, employee endpoints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Register (Excel), Colour-Coded Heat Map, Control Mapping (Annex A), Risk Owner Assignment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Risk Owners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CISO, IT Manager, Compliance Lead, DevOps Lead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Cadence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Quarterly — High risks  |  Bi-annually — Medium/Low risks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KEY OUTCOMES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"/>
        <w:gridCol w:w="2340"/>
        <w:gridCol w:w="20"/>
        <w:gridCol w:w="2340"/>
        <w:gridCol w:w="2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10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Risks Identified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~18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Avg. Inherent Risk Score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~10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Avg. Residual Risk Score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~60%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Reduction in High-Risk Exposure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Conducted threat-asset mapping across 6 asset categories. Each asset was assessed against realistic threat scenarios (e.g., credential stuffing against APIs, insider privilege abuse, DDoS on payment gateway).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Risk Identification: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Applied a 5×5 matrix — Likelihood (1–5) × Impact (1–5) = Inherent Risk Score (1–25). Risks ≥15 classified as High; 8–14 as Medium; &lt;8 as Low.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Scoring: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Mapped controls to ISO 27001:2022 Annex A domains. Prioritised MFA (A.8.5), RBAC (A.8.2), AES-256 encryption (A.8.24), WAF and rate limiting (A.8.20), and vendor risk assessment (A.5.19).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Control Selection: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Re-scored each risk after control implementation. Average inherent score dropped from ~18 to ~10. High-risk exposure reduced by approximately 60%.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Residual Risk Scoring: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Colour-coded RAG Excel heat map (Red/Amber/Green) produced for executive reporting — enabling at-a-glance risk posture communication to senior stakeholders.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Heat Map Visualisation: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Each risk assigned a named owner with defined review dates and escalation path to CISO for P1-equivalent risks.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Risk Ownership: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RISK REGISTER — SAMPLE ENTRIES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800"/>
        <w:gridCol w:w="700"/>
        <w:gridCol w:w="800"/>
        <w:gridCol w:w="2100"/>
        <w:gridCol w:w="700"/>
        <w:gridCol w:w="76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Description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Inherent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Applied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Residual</w:t>
            </w:r>
          </w:p>
        </w:tc>
        <w:tc>
          <w:tcPr>
            <w:tcW w:type="dxa" w:w="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Unauthorised access to payment APIs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MFA + RBAC (A.8.2)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 breach via unencrypted storage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AES-256 Encryption (A.8.24)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Privilege escalation by insider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RBAC + Access Review (A.8.2)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DDoS attack on payment gateway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WAF + Rate Limiting (A.8.20)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Third-party API compromise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Vendor Risk Assessment (A.5.19)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ECDE8"/>
                <w:spacing w:val="80"/>
                <w:sz w:val="18"/>
                <w:szCs w:val="18"/>
              </w:rPr>
              <w:t xml:space="preserve">PROJECT 02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ISO 27001:2022 ISMS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CloudVault SaaS  |  93 Annex A Controls  |  Gap Analysis  |  Statement of Applicability  |  Audit Evidence Mapping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PROJECT OVERVIEW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storage platform — data classification, access controls, infrastructure, supplier management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Standard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27001:2022 — 93 Annex A controls across 4 themes (Organisational, People, Physical, Technological)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 Analysis Report, Statement of Applicability (SoA), Remediation Roadmap, 3 Core Policies, Audit Evidence Map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Gap Result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 control gaps identified — 4 remaining after remediation roadmap (~70% reduction)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Policies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 Control Policy (A.8), Incident Response Policy (A.5.26), HR Security Policy (A.6)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KEY OUTCOMES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"/>
        <w:gridCol w:w="2340"/>
        <w:gridCol w:w="20"/>
        <w:gridCol w:w="2340"/>
        <w:gridCol w:w="2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93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Annex A Controls Reviewed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12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Gaps Identified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4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Gaps Remaining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~70%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Gap Reduction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ISMS IMPLEMENTATION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Defined ISMS boundary covering cloud infrastructure, data processing systems, and supplier interfaces. Physical office infrastructure formally excluded (out of scope for SaaS-only certification).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1 — Scoping: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Assessed all 93 controls across 4 Annex A themes. Rated each as Implemented / Partially Implemented / Not Implemented. Identified 12 control gaps across A.5 (4 gaps) and A.8 (6 gaps).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2 — Gap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Documented applicability of all 93 controls with written justification for inclusion or exclusion. Controls excluded due to physical-only scope (A.7) were formally documented with rationale — audit-ready.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3 — Statement of Applicability (SoA):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Prioritised 12 gaps by risk severity. Created a phased 30/60/90-day roadmap. Eight gaps closed in Phase 1; four lower-risk gaps deferred to Phase 2 with defined owners and due dates.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4 — Remediation Roadmap: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Drafted Access Control Policy (A.8), Incident Response Policy (A.5.26), and HR Security Policy (A.6) — each with scope definition, roles and responsibilities, and review cycle.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5 — Policy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Prepared an audit evidence map linking each Annex A control to its supporting documentation, control owner, and review date — structured for auditor walkthrough and internal audit readiness.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6 — Audit Evidence Mapping: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GAP ANALYSIS SUMMARY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300"/>
        <w:gridCol w:w="900"/>
        <w:gridCol w:w="780"/>
        <w:gridCol w:w="138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Domain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Controls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Gaps</w:t>
            </w:r>
          </w:p>
        </w:tc>
        <w:tc>
          <w:tcPr>
            <w:tcW w:type="dxa" w:w="13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A.5 Organisational Controls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Organisational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A.6 People Controls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People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A.7 Physical Controls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A.8 Technological Controls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Technological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ECDE8"/>
                <w:spacing w:val="80"/>
                <w:sz w:val="18"/>
                <w:szCs w:val="18"/>
              </w:rPr>
              <w:t xml:space="preserve">PROJECT 03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Incident Response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NovaPay SaaS  |  NIST SP 800-61 Rev.2  |  ISO 27035  |  RACI  |  Playbooks  |  Tabletop Exercise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PROJECT OVERVIEW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NIST SP 800-61 Rev.2  |  ISO 27035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SaaS — all digital assets, customer data, cloud infrastructure, third-party integrations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 Plan, Severity Matrix (P1–P4), RACI Chart, 3 Scenario Playbooks, Tabletop Exercise Report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Playbooks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Ransomware  |  Phishing Campaign  |  Data Breach — each covering Detection → Containment → Recovery → Lessons Learned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Tabletop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Simulated ransomware scenario — ~50% MTTR improvement over uncoordinated baseline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Regulatory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DPDP Act 2023 breach notification obligations incorporated into the Recovery phase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KEY OUTCOMES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"/>
        <w:gridCol w:w="2340"/>
        <w:gridCol w:w="20"/>
        <w:gridCol w:w="2340"/>
        <w:gridCol w:w="2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4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Severity Tiers (P1–P4)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3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Scenario Playbooks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~50%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MTTR Improvement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1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Tabletop Exercise Run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INCIDENT RESPONSE LIFECYCLE — NIST SP 800-61 REV.2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Defined IR team roles and responsibilities (RACI). Established communication channels, deployed logging and SIEM alerting, created three scenario playbooks, scheduled tabletop exercises, and maintained an up-to-date asset inventory.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1. Preparation: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Monitored SIEM alerts for anomalous activity. Classified incident severity against P1–P4 matrix. Confirmed true positive, assigned Incident Commander per tier, and initiated the communication tree.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2. Detection &amp;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Short-term: isolated affected systems from the network. Long-term: patched vulnerabilities, rotated compromised credentials, blocked known IOCs. Forensic evidence preserved before eradication to support post-incident investigation.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3. Containment: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Removed malware and backdoors. Rebuilt compromised systems from verified clean images. Validated system integrity. Confirmed IOC clearance via threat intelligence sources.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4. Eradication: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Restored services in phased order (P1 assets first). Monitored for re-infection post-restoration. Validated business functions with stakeholders. Initiated DPDP Act 2023 breach notification assessment where required.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5. Recovery: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Documented full incident timeline and root cause. Identified response gaps. Updated playbooks with lessons learned. Filed a formal lessons-learned report within 5 business days of closure.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6. Post-Incident Review: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SEVERITY MATRIX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660"/>
        <w:gridCol w:w="1100"/>
        <w:gridCol w:w="290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 SLA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Incident Commander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A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7"/>
                <w:szCs w:val="17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A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system outage, active data breach, ransomware encryption in progress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 min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Partial outage, suspected breach, significant data exposure risk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hour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 Security Lead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Isolated malware, phishing click (no payload), policy violation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 hours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Security Analyst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P4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Failed login attempts, suspicious email (no click), minor anomaly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24 hours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 Analyst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RANSOMWARE TABLETOP EXERCISE — TIMELINE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960"/>
      </w:tblGrid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T+00:00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Employee opens phishing email attachment. Ransomware begins encrypting shared drives. SIEM alert fires.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T+00:05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Detection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 Analyst identifies anomalous mass file encryption activity. Escalates to P1 — Incident Commander (CISO) engaged.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T+00:20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Containment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Affected endpoints isolated from network. Backup systems verified intact. Forensic image taken before eradication.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T+02:00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Eradication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Ransomware variant confirmed via VirusTotal IOC match. Infected machines reimaged from clean baseline. Credentials rotated.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T+04:00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Recovery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Services restored from validated backups in P1-first phased order. Business functions confirmed. DPDP Act 2023 breach notification assessment initiated.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Outcome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Post-Incident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Pre-defined escalation paths and playbook decisions delivered ~50% MTTR improvement vs. uncoordinated baseline. Lessons-learned report filed.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ECDE8"/>
                <w:spacing w:val="80"/>
                <w:sz w:val="18"/>
                <w:szCs w:val="18"/>
              </w:rPr>
              <w:t xml:space="preserve">PROJECT 04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Vendor Risk Assessment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TrustLine SaaS  |  ISO 27001:2022 A.5.19–A.5.22  |  0–100 Scoring  |  Risk Tiering  |  DPDP Act 2023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PROJECT OVERVIEW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Three vendors assessed: cloud hosting provider, payment gateway, identity verification API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VRA aligned to ISO 27001:2022 Annex A — Supplier Relationships (A.5.19–A.5.22)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Questionnaire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 questions across 5 domains: Data Handling, Access Controls, Incident Response, Compliance, Business Continuity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Scoring Model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0–100  |  High (&lt;60)  |  Medium (60–79)  |  Low (80–100)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 scorecards, risk tier classification, SLA clause recommendations, enterprise risk register entries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Regulatory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DPDP Act 2023 — DPA clause recommendations for medium-risk data processors (VendorC)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KEY OUTCOMES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"/>
        <w:gridCol w:w="2340"/>
        <w:gridCol w:w="20"/>
        <w:gridCol w:w="2340"/>
        <w:gridCol w:w="2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3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Vendors Assessed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20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Question Questionnaire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0–100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Scoring Model</w:t>
            </w:r>
          </w:p>
        </w:tc>
        <w:tc>
          <w:tcPr>
            <w:tcW w:type="dxa" w:w="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E75B6"/>
                <w:sz w:val="10"/>
                <w:szCs w:val="10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3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Risk Tiers Defined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ASSESSMENT FRAMEWORK — 5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classification, encryption at rest and in transit, data retention policy, and cross-border transfer controls.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Data Handling (4 Qs):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MFA enforcement, RBAC implementation, privileged access management (PAM), and frequency of access reviews.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Access Controls (4 Qs):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IR plan existence and currency, breach notification SLA, historical incident review, and tabletop exercise frequency.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Incident Response (4 Qs):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ISO 27001 certification status, SOC 2 Type II report availability, GDPR/DPDP Act 2023 applicability, and audit history.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Regulatory Compliance (4 Qs):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BCP/DRP existence and currency, RTO/RPO targets, DR test frequency, and backup validation cadence.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Business Continuity (4 Qs):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VENDOR SCORECARD RESULTS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100"/>
        <w:gridCol w:w="1200"/>
        <w:gridCol w:w="680"/>
        <w:gridCol w:w="1060"/>
        <w:gridCol w:w="680"/>
        <w:gridCol w:w="780"/>
        <w:gridCol w:w="116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Vendor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 Handling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Access Controls</w:t>
            </w:r>
          </w:p>
        </w:tc>
        <w:tc>
          <w:tcPr>
            <w:tcW w:type="dxa" w:w="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IR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Compliance</w:t>
            </w:r>
          </w:p>
        </w:tc>
        <w:tc>
          <w:tcPr>
            <w:tcW w:type="dxa" w:w="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BCP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VendorA (Cloud Hosting)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90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75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VendorB (Payment Gateway)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45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52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A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VendorC (ID Verify API)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 Processor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75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65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70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68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pacing w:val="40"/>
          <w:sz w:val="20"/>
          <w:szCs w:val="20"/>
        </w:rPr>
        <w:t xml:space="preserve">RECOMMENDATIONS &amp;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 ISO 27001 certification or SOC 2 Type II within 90 days as a binding contract condition. Add breach notification SLA clause (≤72 hours, aligned to DPDP Act 2023). Conduct annual on-site security audit. Implement a dual-vendor strategy to reduce single-vendor dependency and business continuity risk.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VendorB — High Risk (Score: 52):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Request an updated IR plan and documented evidence of annual tabletop exercise. Add Data Processing Agreement (DPA) clauses aligned to DPDP Act 2023 requirements. Reassess in 6 months or on any material change.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VendorC — Medium Risk (Score: 68):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Maintain standard annual reassessment cadence. Monitor for ISO 27001 certification renewal. No immediate remediation required.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VendorA — Low Risk (Score: 80):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Each vendor added as a discrete risk register entry with score, tier classification, control owner (Procurement / Legal), and reassessment triggers: material change event, security incident, or contract renewal milestone.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Enterprise Risk Register Integration:</w:t>
      </w:r>
    </w:p>
    <w:p>
      <w:pPr>
        <w:spacing w:after="12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2026-04-22T18:21:57.408Z</dcterms:created>
  <dcterms:modified xsi:type="dcterms:W3CDTF">2026-04-22T18:21:57.410Z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