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00"/>
        <w:jc w:val="center"/>
      </w:pPr>
      <w:r>
        <w:rPr>
          <w:b/>
          <w:bCs/>
          <w:color w:val="B8860B"/>
          <w:sz w:val="30"/>
          <w:szCs w:val="30"/>
        </w:rPr>
        <w:t xml:space="preserve">BLUESTOCK FINTECH</w:t>
      </w:r>
    </w:p>
    <w:p>
      <w:pPr>
        <w:spacing w:after="100"/>
        <w:jc w:val="center"/>
      </w:pPr>
      <w:r>
        <w:rPr>
          <w:b/>
          <w:bCs/>
          <w:color w:val="0A2540"/>
          <w:sz w:val="54"/>
          <w:szCs w:val="54"/>
        </w:rPr>
        <w:t xml:space="preserve">Mutual Fund Analytics Platform</w:t>
      </w:r>
    </w:p>
    <w:p>
      <w:pPr>
        <w:spacing w:after="800"/>
        <w:jc w:val="center"/>
      </w:pPr>
      <w:r>
        <w:rPr>
          <w:color w:val="4B5A70"/>
          <w:sz w:val="26"/>
          <w:szCs w:val="26"/>
        </w:rPr>
        <w:t xml:space="preserve">End-to-End Data Engineering, ETL Pipeline &amp; Interactive Dashboard — Final Report</w:t>
      </w:r>
    </w:p>
    <w:p>
      <w:pPr>
        <w:spacing w:after="2400"/>
        <w:jc w:val="center"/>
      </w:pPr>
      <w:r>
        <w:rPr>
          <w:i/>
          <w:iCs/>
          <w:sz w:val="22"/>
          <w:szCs w:val="22"/>
        </w:rPr>
        <w:t xml:space="preserve">Capstone Project · Mutual Fund / Fintech Domain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Company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8"/>
                <w:szCs w:val="18"/>
              </w:rPr>
              <w:t xml:space="preserve">Bluestock Fintech Pvt. Ltd.</w:t>
            </w:r>
          </w:p>
        </w:tc>
      </w:tr>
      <w:tr>
        <w:tc>
          <w:tcPr>
            <w:tcW w:type="dxa" w:w="3000"/>
            <w:shd w:fill="F3F6FA" w:val="clear"/>
          </w:tcPr>
          <w:p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tcW w:type="dxa" w:w="6000"/>
            <w:shd w:fill="F3F6FA" w:val="clear"/>
          </w:tcPr>
          <w:p>
            <w:r>
              <w:rPr>
                <w:sz w:val="18"/>
                <w:szCs w:val="18"/>
              </w:rPr>
              <w:t xml:space="preserve">Mutual Fund / Fintech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Data Source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8"/>
                <w:szCs w:val="18"/>
              </w:rPr>
              <w:t xml:space="preserve">AMFI India (Public), mfapi.in, NSE/BSE Public Data</w:t>
            </w:r>
          </w:p>
        </w:tc>
      </w:tr>
      <w:tr>
        <w:tc>
          <w:tcPr>
            <w:tcW w:type="dxa" w:w="3000"/>
            <w:shd w:fill="F3F6FA" w:val="clear"/>
          </w:tcPr>
          <w:p>
            <w:r>
              <w:rPr>
                <w:sz w:val="18"/>
                <w:szCs w:val="18"/>
              </w:rPr>
              <w:t xml:space="preserve">Technologies</w:t>
            </w:r>
          </w:p>
        </w:tc>
        <w:tc>
          <w:tcPr>
            <w:tcW w:type="dxa" w:w="6000"/>
            <w:shd w:fill="F3F6FA" w:val="clear"/>
          </w:tcPr>
          <w:p>
            <w:r>
              <w:rPr>
                <w:sz w:val="18"/>
                <w:szCs w:val="18"/>
              </w:rPr>
              <w:t xml:space="preserve">Python, SQL (SQLite), Interactive Web Dashboard, Pandas, Matplotlib, Seaborn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Schemes Tracked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8"/>
                <w:szCs w:val="18"/>
              </w:rPr>
              <w:t xml:space="preserve">40 real mutual fund schemes</w:t>
            </w:r>
          </w:p>
        </w:tc>
      </w:tr>
      <w:tr>
        <w:tc>
          <w:tcPr>
            <w:tcW w:type="dxa" w:w="3000"/>
            <w:shd w:fill="F3F6FA" w:val="clear"/>
          </w:tcPr>
          <w:p>
            <w:r>
              <w:rPr>
                <w:sz w:val="18"/>
                <w:szCs w:val="18"/>
              </w:rPr>
              <w:t xml:space="preserve">NAV History</w:t>
            </w:r>
          </w:p>
        </w:tc>
        <w:tc>
          <w:tcPr>
            <w:tcW w:type="dxa" w:w="6000"/>
            <w:shd w:fill="F3F6FA" w:val="clear"/>
          </w:tcPr>
          <w:p>
            <w:r>
              <w:rPr>
                <w:sz w:val="18"/>
                <w:szCs w:val="18"/>
              </w:rPr>
              <w:t xml:space="preserve">46,000 rows · Jan 2022 – May 2026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Investor Transactions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8"/>
                <w:szCs w:val="18"/>
              </w:rPr>
              <w:t xml:space="preserve">32,778 rows across 5,000 investors</w:t>
            </w:r>
          </w:p>
        </w:tc>
      </w:tr>
      <w:tr>
        <w:tc>
          <w:tcPr>
            <w:tcW w:type="dxa" w:w="3000"/>
            <w:shd w:fill="F3F6FA" w:val="clear"/>
          </w:tcPr>
          <w:p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dxa" w:w="6000"/>
            <w:shd w:fill="F3F6FA" w:val="clear"/>
          </w:tcPr>
          <w:p>
            <w:r>
              <w:rPr>
                <w:sz w:val="18"/>
                <w:szCs w:val="18"/>
              </w:rPr>
              <w:t xml:space="preserve">Data Analyst — Bluestock Fintech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8"/>
                <w:szCs w:val="18"/>
              </w:rPr>
              <w:t xml:space="preserve">August 2026</w:t>
            </w:r>
          </w:p>
        </w:tc>
      </w:tr>
    </w:tbl>
    <w:p>
      <w:pPr>
        <w:spacing w:before="1200"/>
      </w:pPr>
    </w:p>
    <w:p>
      <w:pPr>
        <w:jc w:val="center"/>
      </w:pPr>
      <w:r>
        <w:rPr>
          <w:i/>
          <w:iCs/>
          <w:color w:val="4B5A70"/>
          <w:sz w:val="18"/>
          <w:szCs w:val="18"/>
        </w:rPr>
        <w:t xml:space="preserve">All data sourced from publicly available AMFI India, NSE, BSE and open API (mfapi.in) information. This project is for educational purposes only and does not constitute financial advice.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40"/>
      </w:pPr>
      <w:r>
        <w:t xml:space="preserve">Bluestock Fintech commissioned this capstone project to build a full-stack Mutual Fund Analytics Platform covering 40 real mutual fund schemes across 10 major Indian AMCs. The project ingests publicly available AMFI/mfapi.in-anchored data, runs it through a Python ETL pipeline, loads it into a normalised SQLite star-schema database, and surfaces the results through 15+ EDA charts, a full performance &amp; risk analytics suite, advanced investor-behaviour analytics, and a 5-page interactive web dashboard.</w:t>
      </w:r>
    </w:p>
    <w:p>
      <w:pPr>
        <w:spacing w:after="140"/>
      </w:pPr>
      <w:r>
        <w:t xml:space="preserve">Headline findings: the tracked fund universe broadly mirrors real Indian market cycles (2022 correction, 2023-24 rally); SBI Mutual Fund remains the largest AMC by AUM; monthly SIP inflows trend upward, closing near the real Rs. 31,002 crore all-time high; and small/mid-cap funds carry materially higher volatility, VaR, and drawdown than large-cap or liquid funds — consistent with textbook risk-return expectations. A composite Fund Scorecard (0–100) ranks all 40 schemes on a blended return/risk/cost basis to support fund selection.</w:t>
      </w:r>
    </w:p>
    <w:p>
      <w:pPr>
        <w:spacing w:after="140"/>
      </w:pPr>
      <w:r>
        <w:t xml:space="preserve">Deliverables: ETL scripts, a SQLite database with an 11-table schema, 10 analytical SQL queries, an 18-chart EDA notebook equivalent, a fund performance/risk engine (CAGR, Sharpe, Sortino, Alpha, Beta, Max Drawdown, tracking error), advanced analytics (VaR/CVaR, rolling Sharpe, investor cohorts, SIP-continuity risk, a rule-based recommender, sector HHI concentration), and an interactive 5-page HTML dashboard replicating a Power BI-style experience with live filtering, sorting, and drill-down.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pStyle w:val="Heading3"/>
        <w:spacing w:after="90" w:before="200"/>
      </w:pPr>
      <w:r>
        <w:t xml:space="preserve">P1 — Data Fragmentation</w:t>
      </w:r>
    </w:p>
    <w:p>
      <w:pPr>
        <w:spacing w:after="140"/>
      </w:pPr>
      <w:r>
        <w:t xml:space="preserve">NAV, AUM, SIP-flow, and portfolio-holdings data are scattered across different AMFI website sections in different formats. Solution: a single consolidated SQLite database built by an automated ETL pipeline.</w:t>
      </w:r>
    </w:p>
    <w:p>
      <w:pPr>
        <w:pStyle w:val="Heading3"/>
        <w:spacing w:after="90" w:before="200"/>
      </w:pPr>
      <w:r>
        <w:t xml:space="preserve">P2 — Performance Comparison Gap</w:t>
      </w:r>
    </w:p>
    <w:p>
      <w:pPr>
        <w:spacing w:after="140"/>
      </w:pPr>
      <w:r>
        <w:t xml:space="preserve">Investors struggle to compare funds across AMCs on a risk-adjusted basis. Solution: a computed Sharpe / Sortino / Alpha / Beta / Max-Drawdown suite plus a composite Fund Scorecard, all visualised in one dashboard.</w:t>
      </w:r>
    </w:p>
    <w:p>
      <w:pPr>
        <w:pStyle w:val="Heading3"/>
        <w:spacing w:after="90" w:before="200"/>
      </w:pPr>
      <w:r>
        <w:t xml:space="preserve">P3 — No Benchmark Tracking</w:t>
      </w:r>
    </w:p>
    <w:p>
      <w:pPr>
        <w:spacing w:after="140"/>
      </w:pPr>
      <w:r>
        <w:t xml:space="preserve">Most retail investors don't know if their fund beats its benchmark. Solution: NAV joined with benchmark index prices to compute rolling alpha and tracking error for the top-scoring funds.</w:t>
      </w:r>
    </w:p>
    <w:p>
      <w:pPr>
        <w:pStyle w:val="Heading3"/>
        <w:spacing w:after="90" w:before="200"/>
      </w:pPr>
      <w:r>
        <w:t xml:space="preserve">P4 — Investor Behaviour Blind Spot</w:t>
      </w:r>
    </w:p>
    <w:p>
      <w:pPr>
        <w:spacing w:after="140"/>
      </w:pPr>
      <w:r>
        <w:t xml:space="preserve">AMCs have limited visibility into how demographics and geography drive SIP behaviour. Solution: investor transaction analysis producing demographic and geographic segmentation, plus a SIP-continuity 'at-risk' flag.</w:t>
      </w:r>
    </w:p>
    <w:p>
      <w:pPr>
        <w:pStyle w:val="Heading3"/>
        <w:spacing w:after="90" w:before="200"/>
      </w:pPr>
      <w:r>
        <w:t xml:space="preserve">P5 — Slow Reporting</w:t>
      </w:r>
    </w:p>
    <w:p>
      <w:pPr>
        <w:spacing w:after="140"/>
      </w:pPr>
      <w:r>
        <w:t xml:space="preserve">Monthly MF reports are static PDFs. Solution: a live, filterable, self-service web dashboard fed directly by the ETL pipeline's output.</w:t>
      </w:r>
    </w:p>
    <w:p>
      <w:pPr>
        <w:pStyle w:val="Heading1"/>
        <w:spacing w:after="150" w:before="300"/>
      </w:pPr>
      <w:r>
        <w:t xml:space="preserve">3. Data Sources &amp; Datasets</w:t>
      </w:r>
    </w:p>
    <w:p>
      <w:pPr>
        <w:spacing w:after="140"/>
      </w:pPr>
      <w:r>
        <w:t xml:space="preserve">All datasets are derived from publicly available AMFI India, mfapi.in, and NSE/BSE information, anchored to real published figures (e.g., SBI MF AUM Rs. 12.50 lakh crore, Dec 2025; industry AUM Rs. 81 lakh crore; SIP inflow Rs. 31,002 crore, Dec 2025 all-time high; 26.12 crore total folios).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00"/>
      </w:tblGrid>
      <w:tr>
        <w:trPr>
          <w:tblHeader/>
        </w:trPr>
        <w:tc>
          <w:tcPr>
            <w:tcW w:type="dxa" w:w="32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2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46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01_fund_master.csv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Scheme master: AMFI code, AMC, category, expense ratio, risk grade</w:t>
            </w:r>
          </w:p>
        </w:tc>
      </w:tr>
      <w:tr>
        <w:tc>
          <w:tcPr>
            <w:tcW w:type="dxa" w:w="3200"/>
            <w:shd w:fill="F3F6FA" w:val="clear"/>
          </w:tcPr>
          <w:p>
            <w:r>
              <w:rPr>
                <w:sz w:val="18"/>
                <w:szCs w:val="18"/>
              </w:rPr>
              <w:t xml:space="preserve">02_nav_history.csv</w:t>
            </w:r>
          </w:p>
        </w:tc>
        <w:tc>
          <w:tcPr>
            <w:tcW w:type="dxa" w:w="1200"/>
            <w:shd w:fill="F3F6FA" w:val="clear"/>
          </w:tcPr>
          <w:p>
            <w:r>
              <w:rPr>
                <w:sz w:val="18"/>
                <w:szCs w:val="18"/>
              </w:rPr>
              <w:t xml:space="preserve">46,000</w:t>
            </w:r>
          </w:p>
        </w:tc>
        <w:tc>
          <w:tcPr>
            <w:tcW w:type="dxa" w:w="4600"/>
            <w:shd w:fill="F3F6FA" w:val="clear"/>
          </w:tcPr>
          <w:p>
            <w:r>
              <w:rPr>
                <w:sz w:val="18"/>
                <w:szCs w:val="18"/>
              </w:rPr>
              <w:t xml:space="preserve">Daily NAV, Jan 2022 – May 2026, anchored to real mfapi.in values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03_aum_by_fund_house.csv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Quarterly AUM by fund house, 2022–2025</w:t>
            </w:r>
          </w:p>
        </w:tc>
      </w:tr>
      <w:tr>
        <w:tc>
          <w:tcPr>
            <w:tcW w:type="dxa" w:w="3200"/>
            <w:shd w:fill="F3F6FA" w:val="clear"/>
          </w:tcPr>
          <w:p>
            <w:r>
              <w:rPr>
                <w:sz w:val="18"/>
                <w:szCs w:val="18"/>
              </w:rPr>
              <w:t xml:space="preserve">04_monthly_sip_inflows.csv</w:t>
            </w:r>
          </w:p>
        </w:tc>
        <w:tc>
          <w:tcPr>
            <w:tcW w:type="dxa" w:w="1200"/>
            <w:shd w:fill="F3F6FA" w:val="clear"/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4600"/>
            <w:shd w:fill="F3F6FA" w:val="clear"/>
          </w:tcPr>
          <w:p>
            <w:r>
              <w:rPr>
                <w:sz w:val="18"/>
                <w:szCs w:val="18"/>
              </w:rPr>
              <w:t xml:space="preserve">Monthly SIP inflow, active accounts, new registrations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05_category_inflows.csv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Net inflow by category, FY 2024-25</w:t>
            </w:r>
          </w:p>
        </w:tc>
      </w:tr>
      <w:tr>
        <w:tc>
          <w:tcPr>
            <w:tcW w:type="dxa" w:w="3200"/>
            <w:shd w:fill="F3F6FA" w:val="clear"/>
          </w:tcPr>
          <w:p>
            <w:r>
              <w:rPr>
                <w:sz w:val="18"/>
                <w:szCs w:val="18"/>
              </w:rPr>
              <w:t xml:space="preserve">06_industry_folio_count.csv</w:t>
            </w:r>
          </w:p>
        </w:tc>
        <w:tc>
          <w:tcPr>
            <w:tcW w:type="dxa" w:w="1200"/>
            <w:shd w:fill="F3F6FA" w:val="clea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4600"/>
            <w:shd w:fill="F3F6FA" w:val="clear"/>
          </w:tcPr>
          <w:p>
            <w:r>
              <w:rPr>
                <w:sz w:val="18"/>
                <w:szCs w:val="18"/>
              </w:rPr>
              <w:t xml:space="preserve">Industry folio counts by Equity/Debt/Hybrid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07_scheme_performance.csv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1/3/5yr returns, Sharpe, Sortino, Alpha, Beta, Max DD</w:t>
            </w:r>
          </w:p>
        </w:tc>
      </w:tr>
      <w:tr>
        <w:tc>
          <w:tcPr>
            <w:tcW w:type="dxa" w:w="3200"/>
            <w:shd w:fill="F3F6FA" w:val="clear"/>
          </w:tcPr>
          <w:p>
            <w:r>
              <w:rPr>
                <w:sz w:val="18"/>
                <w:szCs w:val="18"/>
              </w:rPr>
              <w:t xml:space="preserve">08_investor_transactions.csv</w:t>
            </w:r>
          </w:p>
        </w:tc>
        <w:tc>
          <w:tcPr>
            <w:tcW w:type="dxa" w:w="1200"/>
            <w:shd w:fill="F3F6FA" w:val="clear"/>
          </w:tcPr>
          <w:p>
            <w:r>
              <w:rPr>
                <w:sz w:val="18"/>
                <w:szCs w:val="18"/>
              </w:rPr>
              <w:t xml:space="preserve">32,778</w:t>
            </w:r>
          </w:p>
        </w:tc>
        <w:tc>
          <w:tcPr>
            <w:tcW w:type="dxa" w:w="4600"/>
            <w:shd w:fill="F3F6FA" w:val="clear"/>
          </w:tcPr>
          <w:p>
            <w:r>
              <w:rPr>
                <w:sz w:val="18"/>
                <w:szCs w:val="18"/>
              </w:rPr>
              <w:t xml:space="preserve">SIP/Lumpsum/Redemption transactions, 5,000 investors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09_portfolio_holdings.csv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322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Top equity holdings by fund, sector, weight %</w:t>
            </w:r>
          </w:p>
        </w:tc>
      </w:tr>
      <w:tr>
        <w:tc>
          <w:tcPr>
            <w:tcW w:type="dxa" w:w="3200"/>
            <w:shd w:fill="F3F6FA" w:val="clear"/>
          </w:tcPr>
          <w:p>
            <w:r>
              <w:rPr>
                <w:sz w:val="18"/>
                <w:szCs w:val="18"/>
              </w:rPr>
              <w:t xml:space="preserve">10_benchmark_indices.csv</w:t>
            </w:r>
          </w:p>
        </w:tc>
        <w:tc>
          <w:tcPr>
            <w:tcW w:type="dxa" w:w="1200"/>
            <w:shd w:fill="F3F6FA" w:val="clear"/>
          </w:tcPr>
          <w:p>
            <w:r>
              <w:rPr>
                <w:sz w:val="18"/>
                <w:szCs w:val="18"/>
              </w:rPr>
              <w:t xml:space="preserve">8,050</w:t>
            </w:r>
          </w:p>
        </w:tc>
        <w:tc>
          <w:tcPr>
            <w:tcW w:type="dxa" w:w="4600"/>
            <w:shd w:fill="F3F6FA" w:val="clear"/>
          </w:tcPr>
          <w:p>
            <w:r>
              <w:rPr>
                <w:sz w:val="18"/>
                <w:szCs w:val="18"/>
              </w:rPr>
              <w:t xml:space="preserve">Daily closes: Nifty 50/100/Midcap150, BSE SmallCap, CRISIL</w:t>
            </w:r>
          </w:p>
        </w:tc>
      </w:tr>
    </w:tbl>
    <w:p>
      <w:pPr>
        <w:pStyle w:val="Heading1"/>
        <w:spacing w:after="150" w:before="300"/>
      </w:pPr>
      <w:r>
        <w:t xml:space="preserve">4. System Architecture &amp; ETL Pipeline</w:t>
      </w:r>
    </w:p>
    <w:p>
      <w:pPr>
        <w:spacing w:after="140"/>
      </w:pPr>
      <w:r>
        <w:t xml:space="preserve">The pipeline follows a standard Extract → Transform → Load → Analyse → Visualise architecture, the same pattern used by real fintech platforms such as Zerodha and Groww.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1 (Extract): 10 pre-packaged CSVs, structured to mirror AMFI's NAVAll.txt, Historical NAV API, mfapi.in REST API, and AMFI Monthly Notes.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2 (Transform): Pandas cleaning — date parsing, holiday forward-fill on NAV, duplicate removal, AMFI-code validation, numeric coercion, and derived fields (daily returns, CAGR).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3 (Load): SQLite database with an 11-table star schema (dim_fund, dim_date, fact_nav, fact_transactions, fact_performance, fact_portfolio, fact_aum, fact_sip_industry, fact_category_inflows, fact_folio_count, fact_benchmark), indexed on amfi_code + 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4 (Analyse): Python risk/performance engine — Sharpe, Sortino, Alpha/Beta via OLS regression, Max Drawdown, VaR/CVaR, rolling Sharpe, sector HHI, investor cohorts.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5 (Visualise): A 5-page interactive HTML/JS dashboard (Chart.js) with live slicers, sortable tables, and drill-down — delivered as a standalone, browser-based alternative to Power BI Desktop.</w:t>
      </w:r>
    </w:p>
    <w:p>
      <w:pPr>
        <w:pStyle w:val="Heading2"/>
        <w:spacing w:after="120" w:before="260"/>
      </w:pPr>
      <w:r>
        <w:t xml:space="preserve">4.1 Database Schema (Star Schema)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tcW w:type="dxa" w:w="40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5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dim_fund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Dimension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000"/>
            <w:shd w:fill="F3F6FA" w:val="clear"/>
          </w:tcPr>
          <w:p>
            <w:r>
              <w:rPr>
                <w:sz w:val="18"/>
                <w:szCs w:val="18"/>
              </w:rPr>
              <w:t xml:space="preserve">dim_date</w:t>
            </w:r>
          </w:p>
        </w:tc>
        <w:tc>
          <w:tcPr>
            <w:tcW w:type="dxa" w:w="2500"/>
            <w:shd w:fill="F3F6FA" w:val="clear"/>
          </w:tcPr>
          <w:p>
            <w:r>
              <w:rPr>
                <w:sz w:val="18"/>
                <w:szCs w:val="18"/>
              </w:rPr>
              <w:t xml:space="preserve">Dimension</w:t>
            </w:r>
          </w:p>
        </w:tc>
        <w:tc>
          <w:tcPr>
            <w:tcW w:type="dxa" w:w="2500"/>
            <w:shd w:fill="F3F6FA" w:val="clear"/>
          </w:tcPr>
          <w:p>
            <w:r>
              <w:rPr>
                <w:sz w:val="18"/>
                <w:szCs w:val="18"/>
              </w:rPr>
              <w:t xml:space="preserve">1,608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fact_nav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Fact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46,000</w:t>
            </w:r>
          </w:p>
        </w:tc>
      </w:tr>
      <w:tr>
        <w:tc>
          <w:tcPr>
            <w:tcW w:type="dxa" w:w="4000"/>
            <w:shd w:fill="F3F6FA" w:val="clear"/>
          </w:tcPr>
          <w:p>
            <w:r>
              <w:rPr>
                <w:sz w:val="18"/>
                <w:szCs w:val="18"/>
              </w:rPr>
              <w:t xml:space="preserve">fact_transactions</w:t>
            </w:r>
          </w:p>
        </w:tc>
        <w:tc>
          <w:tcPr>
            <w:tcW w:type="dxa" w:w="2500"/>
            <w:shd w:fill="F3F6FA" w:val="clear"/>
          </w:tcPr>
          <w:p>
            <w:r>
              <w:rPr>
                <w:sz w:val="18"/>
                <w:szCs w:val="18"/>
              </w:rPr>
              <w:t xml:space="preserve">Fact</w:t>
            </w:r>
          </w:p>
        </w:tc>
        <w:tc>
          <w:tcPr>
            <w:tcW w:type="dxa" w:w="2500"/>
            <w:shd w:fill="F3F6FA" w:val="clear"/>
          </w:tcPr>
          <w:p>
            <w:r>
              <w:rPr>
                <w:sz w:val="18"/>
                <w:szCs w:val="18"/>
              </w:rPr>
              <w:t xml:space="preserve">32,778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fact_performance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Fact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000"/>
            <w:shd w:fill="F3F6FA" w:val="clear"/>
          </w:tcPr>
          <w:p>
            <w:r>
              <w:rPr>
                <w:sz w:val="18"/>
                <w:szCs w:val="18"/>
              </w:rPr>
              <w:t xml:space="preserve">fact_portfolio</w:t>
            </w:r>
          </w:p>
        </w:tc>
        <w:tc>
          <w:tcPr>
            <w:tcW w:type="dxa" w:w="2500"/>
            <w:shd w:fill="F3F6FA" w:val="clear"/>
          </w:tcPr>
          <w:p>
            <w:r>
              <w:rPr>
                <w:sz w:val="18"/>
                <w:szCs w:val="18"/>
              </w:rPr>
              <w:t xml:space="preserve">Fact</w:t>
            </w:r>
          </w:p>
        </w:tc>
        <w:tc>
          <w:tcPr>
            <w:tcW w:type="dxa" w:w="2500"/>
            <w:shd w:fill="F3F6FA" w:val="clear"/>
          </w:tcPr>
          <w:p>
            <w:r>
              <w:rPr>
                <w:sz w:val="18"/>
                <w:szCs w:val="18"/>
              </w:rPr>
              <w:t xml:space="preserve">322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fact_aum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Fact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4000"/>
            <w:shd w:fill="F3F6FA" w:val="clear"/>
          </w:tcPr>
          <w:p>
            <w:r>
              <w:rPr>
                <w:sz w:val="18"/>
                <w:szCs w:val="18"/>
              </w:rPr>
              <w:t xml:space="preserve">fact_sip_industry</w:t>
            </w:r>
          </w:p>
        </w:tc>
        <w:tc>
          <w:tcPr>
            <w:tcW w:type="dxa" w:w="2500"/>
            <w:shd w:fill="F3F6FA" w:val="clear"/>
          </w:tcPr>
          <w:p>
            <w:r>
              <w:rPr>
                <w:sz w:val="18"/>
                <w:szCs w:val="18"/>
              </w:rPr>
              <w:t xml:space="preserve">Fact</w:t>
            </w:r>
          </w:p>
        </w:tc>
        <w:tc>
          <w:tcPr>
            <w:tcW w:type="dxa" w:w="2500"/>
            <w:shd w:fill="F3F6FA" w:val="clear"/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fact_category_inflows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Fact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144</w:t>
            </w:r>
          </w:p>
        </w:tc>
      </w:tr>
      <w:tr>
        <w:tc>
          <w:tcPr>
            <w:tcW w:type="dxa" w:w="4000"/>
            <w:shd w:fill="F3F6FA" w:val="clear"/>
          </w:tcPr>
          <w:p>
            <w:r>
              <w:rPr>
                <w:sz w:val="18"/>
                <w:szCs w:val="18"/>
              </w:rPr>
              <w:t xml:space="preserve">fact_folio_count</w:t>
            </w:r>
          </w:p>
        </w:tc>
        <w:tc>
          <w:tcPr>
            <w:tcW w:type="dxa" w:w="2500"/>
            <w:shd w:fill="F3F6FA" w:val="clear"/>
          </w:tcPr>
          <w:p>
            <w:r>
              <w:rPr>
                <w:sz w:val="18"/>
                <w:szCs w:val="18"/>
              </w:rPr>
              <w:t xml:space="preserve">Fact</w:t>
            </w:r>
          </w:p>
        </w:tc>
        <w:tc>
          <w:tcPr>
            <w:tcW w:type="dxa" w:w="2500"/>
            <w:shd w:fill="F3F6FA" w:val="clea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fact_benchmark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Fact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8,050</w:t>
            </w:r>
          </w:p>
        </w:tc>
      </w:tr>
    </w:tbl>
    <w:p>
      <w:pPr>
        <w:pStyle w:val="Heading1"/>
        <w:spacing w:after="150" w:before="300"/>
      </w:pPr>
      <w:r>
        <w:t xml:space="preserve">5. Data Cleaning &amp;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 history reindexed to a full business-day calendar; holiday gaps forward-filled — 0 invalid (≤0/null) NAV rows found in the final dataset.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of AMFI codes in nav_history, scheme_performance, investor_transactions and portfolio_holdings validated against fund_master — no orphan codes.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 negative Sharpe ratios and 0 out-of-range expense ratios (0.1%–2.5%) found in the provided performance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 transactions with non-positive amounts; transaction_type and kyc_status values standardised.</w:t>
      </w:r>
    </w:p>
    <w:p>
      <w:pPr>
        <w:spacing w:after="140"/>
      </w:pPr>
      <w:r>
        <w:t xml:space="preserve">Full column-level documentation is provided in the accompanying data_dictionary.md.</w:t>
      </w:r>
    </w:p>
    <w:p>
      <w:pPr>
        <w:pStyle w:val="Heading1"/>
        <w:spacing w:after="150" w:before="300"/>
      </w:pPr>
      <w:r>
        <w:t xml:space="preserve">6. Exploratory Data Analysis — Key Charts</w:t>
      </w:r>
    </w:p>
    <w:p>
      <w:pPr>
        <w:spacing w:after="140"/>
      </w:pPr>
      <w:r>
        <w:t xml:space="preserve">18 charts were produced (exceeding the 15+ target). Selected exhibits below; the complete set ships in reports/charts/.</w:t>
      </w:r>
    </w:p>
    <w:p>
      <w:pPr>
        <w:pStyle w:val="Heading3"/>
        <w:spacing w:after="90" w:before="200"/>
      </w:pPr>
      <w:r>
        <w:t xml:space="preserve">6.1 NAV Trend — All 40 Schemes</w:t>
      </w:r>
    </w:p>
    <w:p>
      <w:pPr>
        <w:spacing w:after="60"/>
        <w:jc w:val="center"/>
      </w:pPr>
      <w:r>
        <w:drawing>
          <wp:inline distT="0" distB="0" distL="0" distR="0">
            <wp:extent cx="4762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1. Indexed NAV (base=100) for all 40 tracked schemes, 2022–2026, with 5 schemes highlighted.</w:t>
      </w:r>
    </w:p>
    <w:p>
      <w:pPr>
        <w:pStyle w:val="Heading3"/>
        <w:spacing w:after="90" w:before="200"/>
      </w:pPr>
      <w:r>
        <w:t xml:space="preserve">6.2 AUM by Fund House</w:t>
      </w:r>
    </w:p>
    <w:p>
      <w:pPr>
        <w:spacing w:after="60"/>
        <w:jc w:val="center"/>
      </w:pPr>
      <w:r>
        <w:drawing>
          <wp:inline distT="0" distB="0" distL="0" distR="0">
            <wp:extent cx="47625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2. Year-end peak AUM by fund house — SBI Mutual Fund leads throughout, consistent with its real ~Rs.12.5L Cr AUM (Dec 2025).</w:t>
      </w:r>
    </w:p>
    <w:p>
      <w:pPr>
        <w:pStyle w:val="Heading3"/>
        <w:spacing w:after="90" w:before="200"/>
      </w:pPr>
      <w:r>
        <w:t xml:space="preserve">6.3 SIP Inflow Trend</w:t>
      </w:r>
    </w:p>
    <w:p>
      <w:pPr>
        <w:spacing w:after="6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3. Monthly SIP inflow, closing near the real Rs. 31,002 Cr all-time high (Dec 2025).</w:t>
      </w:r>
    </w:p>
    <w:p>
      <w:pPr>
        <w:pStyle w:val="Heading3"/>
        <w:spacing w:after="90" w:before="200"/>
      </w:pPr>
      <w:r>
        <w:t xml:space="preserve">6.4 Category-wise Inflow Heatmap</w:t>
      </w:r>
    </w:p>
    <w:p>
      <w:pPr>
        <w:spacing w:after="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4. Net inflow by category, FY 2024-25.</w:t>
      </w:r>
    </w:p>
    <w:p>
      <w:pPr>
        <w:pStyle w:val="Heading3"/>
        <w:spacing w:after="90" w:before="200"/>
      </w:pPr>
      <w:r>
        <w:t xml:space="preserve">6.5 Risk vs Return</w:t>
      </w:r>
    </w:p>
    <w:p>
      <w:pPr>
        <w:spacing w:after="60"/>
        <w:jc w:val="center"/>
      </w:pPr>
      <w:r>
        <w:drawing>
          <wp:inline distT="0" distB="0" distL="0" distR="0">
            <wp:extent cx="4572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5. 3-year return vs annualised std. dev, bubble size = AUM. Higher-return funds cluster at higher volatility, as expected.</w:t>
      </w:r>
    </w:p>
    <w:p>
      <w:pPr>
        <w:pStyle w:val="Heading3"/>
        <w:spacing w:after="90" w:before="200"/>
      </w:pPr>
      <w:r>
        <w:t xml:space="preserve">6.6 Return Correlation Matrix</w:t>
      </w:r>
    </w:p>
    <w:p>
      <w:pPr>
        <w:spacing w:after="60"/>
        <w:jc w:val="center"/>
      </w:pPr>
      <w:r>
        <w:drawing>
          <wp:inline distT="0" distB="0" distL="0" distR="0">
            <wp:extent cx="4000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6. Daily-return correlation across 10 selected funds — large-cap-heavy funds move together; liquid/debt funds are near-uncorrelated with equity.</w:t>
      </w:r>
    </w:p>
    <w:p>
      <w:pPr>
        <w:pStyle w:val="Heading3"/>
        <w:spacing w:after="90" w:before="200"/>
      </w:pPr>
      <w:r>
        <w:t xml:space="preserve">6.7 Investor Geography &amp; Demographics</w:t>
      </w:r>
    </w:p>
    <w:p>
      <w:pPr>
        <w:spacing w:after="60"/>
        <w:jc w:val="center"/>
      </w:pPr>
      <w:r>
        <w:drawing>
          <wp:inline distT="0" distB="0" distL="0" distR="0">
            <wp:extent cx="4000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7. Transaction amount by state.</w:t>
      </w:r>
    </w:p>
    <w:p>
      <w:pPr>
        <w:spacing w:after="60"/>
        <w:jc w:val="center"/>
      </w:pPr>
      <w:r>
        <w:drawing>
          <wp:inline distT="0" distB="0" distL="0" distR="0">
            <wp:extent cx="4381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8. SIP amount distribution by age group — the 26–45 cohort shows the widest spread.</w:t>
      </w:r>
    </w:p>
    <w:p>
      <w:pPr>
        <w:pStyle w:val="Heading3"/>
        <w:spacing w:after="90" w:before="200"/>
      </w:pPr>
      <w:r>
        <w:t xml:space="preserve">6.8 Folio Count Growth</w:t>
      </w:r>
    </w:p>
    <w:p>
      <w:pPr>
        <w:spacing w:after="60"/>
        <w:jc w:val="center"/>
      </w:pPr>
      <w:r>
        <w:drawing>
          <wp:inline distT="0" distB="0" distL="0" distR="0">
            <wp:extent cx="4572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9. Total MF folios growing from 13.26 Cr to 26.12 Cr over the data window, matching real AMFI milestones.</w:t>
      </w:r>
    </w:p>
    <w:p>
      <w:pPr>
        <w:pStyle w:val="Heading2"/>
        <w:spacing w:after="120" w:before="260"/>
      </w:pPr>
      <w:r>
        <w:t xml:space="preserve">6.9 EDA — 10 Key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40 schemes track the real equity cycle: 2022 correction, 2023–24 rally, 2024-end pullback.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SBI Mutual Fund is the largest AMC by AUM throughout the sample period.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SIP inflows trend upward, closing near the real Dec-2025 all-time 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Small/Mid Cap categories show the most volatile but generally highest FY24-25 net inflows.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Investors aged 26–45 drive the bulk of SIP volume and show the widest SIP-amount variance.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T30 cities contribute disproportionately to transaction value vs. B30, mirroring AMFI's real T30/B30 skew.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folios grew from 13.26 Cr to 26.12 Cr across the data window; equity folios dominate the mix.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Large-cap-heavy funds show high return correlation (&gt;0.85); cross-category correlation is much lower, useful for diversification.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Banking, IT and FMCG are consistently the top-weighted sectors across equity portfolios.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Higher-return funds cluster at higher volatility, confirming the expected risk-return tradeoff.</w:t>
      </w:r>
    </w:p>
    <w:p>
      <w:pPr>
        <w:pStyle w:val="Heading1"/>
        <w:spacing w:after="150" w:before="300"/>
      </w:pPr>
      <w:r>
        <w:t xml:space="preserve">7. Fund Performance Analytics</w:t>
      </w:r>
    </w:p>
    <w:p>
      <w:pPr>
        <w:spacing w:after="140"/>
      </w:pPr>
      <w:r>
        <w:t xml:space="preserve">All 40 schemes were independently re-computed from raw NAV history (annualised Sharpe with Rf = 6.5%, Sortino with downside deviation only, Alpha/Beta via OLS regression on Nifty 100 daily returns, and Max Drawdown from running-peak NAV) and cross-checked against the provided scheme_performance.csv. The two sources broadly agree in direction and ranking; point-in-time differences reflect methodology (our CAGR windows are 'trailing N years from the latest NAV date' vs. the source file's fixed as-of date) — see Section 11, Limitations.</w:t>
      </w:r>
    </w:p>
    <w:p>
      <w:pPr>
        <w:pStyle w:val="Heading3"/>
        <w:spacing w:after="90" w:before="200"/>
      </w:pPr>
      <w:r>
        <w:t xml:space="preserve">7.1 Fund Scorecard — Top 10 (of 40)</w:t>
      </w:r>
    </w:p>
    <w:p>
      <w:pPr>
        <w:spacing w:after="140"/>
      </w:pPr>
      <w:r>
        <w:t xml:space="preserve">Composite Score = 30%×(3yr return rank) + 25%×(Sharpe rank) + 20%×(Alpha rank) + 15%×(low-expense rank) + 10%×(low-max-drawdown rank), all percentile-ranked 0–100.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400"/>
        <w:gridCol w:w="1400"/>
        <w:gridCol w:w="1400"/>
      </w:tblGrid>
      <w:tr>
        <w:trPr>
          <w:tblHeader/>
        </w:trPr>
        <w:tc>
          <w:tcPr>
            <w:tcW w:type="dxa" w:w="42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Scheme</w:t>
            </w:r>
          </w:p>
        </w:tc>
        <w:tc>
          <w:tcPr>
            <w:tcW w:type="dxa" w:w="16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3Y Return %</w:t>
            </w:r>
          </w:p>
        </w:tc>
        <w:tc>
          <w:tcPr>
            <w:tcW w:type="dxa" w:w="14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14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Alpha</w:t>
            </w:r>
          </w:p>
        </w:tc>
        <w:tc>
          <w:tcPr>
            <w:tcW w:type="dxa" w:w="14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18"/>
                <w:szCs w:val="18"/>
              </w:rPr>
              <w:t xml:space="preserve">Kotak Flexicap Fund - Regular - Growth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15.65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0.98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1.85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71.8</w:t>
            </w:r>
          </w:p>
        </w:tc>
      </w:tr>
      <w:tr>
        <w:tc>
          <w:tcPr>
            <w:tcW w:type="dxa" w:w="4200"/>
            <w:shd w:fill="F3F6FA" w:val="clear"/>
          </w:tcPr>
          <w:p>
            <w:r>
              <w:rPr>
                <w:sz w:val="18"/>
                <w:szCs w:val="18"/>
              </w:rPr>
              <w:t xml:space="preserve">SBI Small Cap Fund - Regular Plan - Gr…</w:t>
            </w:r>
          </w:p>
        </w:tc>
        <w:tc>
          <w:tcPr>
            <w:tcW w:type="dxa" w:w="1600"/>
            <w:shd w:fill="F3F6FA" w:val="clear"/>
          </w:tcPr>
          <w:p>
            <w:r>
              <w:rPr>
                <w:sz w:val="18"/>
                <w:szCs w:val="18"/>
              </w:rPr>
              <w:t xml:space="preserve">23.39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0.94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1.23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70.6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18"/>
                <w:szCs w:val="18"/>
              </w:rPr>
              <w:t xml:space="preserve">ICICI Pru Liquid Fund - Regular - Grow…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7.68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7.68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1.85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70.5</w:t>
            </w:r>
          </w:p>
        </w:tc>
      </w:tr>
      <w:tr>
        <w:tc>
          <w:tcPr>
            <w:tcW w:type="dxa" w:w="4200"/>
            <w:shd w:fill="F3F6FA" w:val="clear"/>
          </w:tcPr>
          <w:p>
            <w:r>
              <w:rPr>
                <w:sz w:val="18"/>
                <w:szCs w:val="18"/>
              </w:rPr>
              <w:t xml:space="preserve">HDFC Short Term Debt Fund - Regular - …</w:t>
            </w:r>
          </w:p>
        </w:tc>
        <w:tc>
          <w:tcPr>
            <w:tcW w:type="dxa" w:w="1600"/>
            <w:shd w:fill="F3F6FA" w:val="clear"/>
          </w:tcPr>
          <w:p>
            <w:r>
              <w:rPr>
                <w:sz w:val="18"/>
                <w:szCs w:val="18"/>
              </w:rPr>
              <w:t xml:space="preserve">7.37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1.84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1.98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70.3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18"/>
                <w:szCs w:val="18"/>
              </w:rPr>
              <w:t xml:space="preserve">Kotak Emerging Equity Fund - Regular -…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18.23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0.96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1.91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68.3</w:t>
            </w:r>
          </w:p>
        </w:tc>
      </w:tr>
      <w:tr>
        <w:tc>
          <w:tcPr>
            <w:tcW w:type="dxa" w:w="4200"/>
            <w:shd w:fill="F3F6FA" w:val="clear"/>
          </w:tcPr>
          <w:p>
            <w:r>
              <w:rPr>
                <w:sz w:val="18"/>
                <w:szCs w:val="18"/>
              </w:rPr>
              <w:t xml:space="preserve">SBI Small Cap Fund - Direct Plan - Gro…</w:t>
            </w:r>
          </w:p>
        </w:tc>
        <w:tc>
          <w:tcPr>
            <w:tcW w:type="dxa" w:w="1600"/>
            <w:shd w:fill="F3F6FA" w:val="clear"/>
          </w:tcPr>
          <w:p>
            <w:r>
              <w:rPr>
                <w:sz w:val="18"/>
                <w:szCs w:val="18"/>
              </w:rPr>
              <w:t xml:space="preserve">23.14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0.93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1.13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68.0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18"/>
                <w:szCs w:val="18"/>
              </w:rPr>
              <w:t xml:space="preserve">Mirae Asset Large Cap Fund - Regular -…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14.81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1.06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1.62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66.7</w:t>
            </w:r>
          </w:p>
        </w:tc>
      </w:tr>
      <w:tr>
        <w:tc>
          <w:tcPr>
            <w:tcW w:type="dxa" w:w="4200"/>
            <w:shd w:fill="F3F6FA" w:val="clear"/>
          </w:tcPr>
          <w:p>
            <w:r>
              <w:rPr>
                <w:sz w:val="18"/>
                <w:szCs w:val="18"/>
              </w:rPr>
              <w:t xml:space="preserve">ABSL Small Cap Fund - Regular - Growth</w:t>
            </w:r>
          </w:p>
        </w:tc>
        <w:tc>
          <w:tcPr>
            <w:tcW w:type="dxa" w:w="1600"/>
            <w:shd w:fill="F3F6FA" w:val="clear"/>
          </w:tcPr>
          <w:p>
            <w:r>
              <w:rPr>
                <w:sz w:val="18"/>
                <w:szCs w:val="18"/>
              </w:rPr>
              <w:t xml:space="preserve">22.38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0.9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1.84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65.0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18"/>
                <w:szCs w:val="18"/>
              </w:rPr>
              <w:t xml:space="preserve">Kotak Liquid Fund - Regular - Growth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6.18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6.18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1.52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64.1</w:t>
            </w:r>
          </w:p>
        </w:tc>
      </w:tr>
      <w:tr>
        <w:tc>
          <w:tcPr>
            <w:tcW w:type="dxa" w:w="4200"/>
            <w:shd w:fill="F3F6FA" w:val="clear"/>
          </w:tcPr>
          <w:p>
            <w:r>
              <w:rPr>
                <w:sz w:val="18"/>
                <w:szCs w:val="18"/>
              </w:rPr>
              <w:t xml:space="preserve">UTI Flexi Cap Fund - Regular - Growth</w:t>
            </w:r>
          </w:p>
        </w:tc>
        <w:tc>
          <w:tcPr>
            <w:tcW w:type="dxa" w:w="1600"/>
            <w:shd w:fill="F3F6FA" w:val="clear"/>
          </w:tcPr>
          <w:p>
            <w:r>
              <w:rPr>
                <w:sz w:val="18"/>
                <w:szCs w:val="18"/>
              </w:rPr>
              <w:t xml:space="preserve">15.34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0.96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1.79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62.8</w:t>
            </w:r>
          </w:p>
        </w:tc>
      </w:tr>
    </w:tbl>
    <w:p>
      <w:pPr>
        <w:pStyle w:val="Heading3"/>
        <w:spacing w:after="90" w:before="200"/>
      </w:pPr>
      <w:r>
        <w:t xml:space="preserve">7.2 Benchmark Comparison — Top 5 Scorecard Funds vs Nifty 50/100</w:t>
      </w:r>
    </w:p>
    <w:p>
      <w:pPr>
        <w:spacing w:after="60"/>
        <w:jc w:val="center"/>
      </w:pPr>
      <w:r>
        <w:drawing>
          <wp:inline distT="0" distB="0" distL="0" distR="0">
            <wp:extent cx="4762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10. Indexed NAV of the top 5 scorecard funds vs Nifty 50 and Nifty 100. All 5 substantially outperform both benchmarks over the data window.</w:t>
      </w:r>
    </w:p>
    <w:p>
      <w:pPr>
        <w:pStyle w:val="Heading1"/>
        <w:spacing w:after="150" w:before="300"/>
      </w:pPr>
      <w:r>
        <w:t xml:space="preserve">8. Advanced Analytics &amp; Risk Metrics</w:t>
      </w:r>
    </w:p>
    <w:p>
      <w:pPr>
        <w:pStyle w:val="Heading3"/>
        <w:spacing w:after="90" w:before="200"/>
      </w:pPr>
      <w:r>
        <w:t xml:space="preserve">8.1 Value at Risk (95%) — Riskiest Funds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000"/>
      </w:tblGrid>
      <w:tr>
        <w:trPr>
          <w:tblHeader/>
        </w:trPr>
        <w:tc>
          <w:tcPr>
            <w:tcW w:type="dxa" w:w="55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Scheme</w:t>
            </w:r>
          </w:p>
        </w:tc>
        <w:tc>
          <w:tcPr>
            <w:tcW w:type="dxa" w:w="20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 VaR 95% (%)</w:t>
            </w:r>
          </w:p>
        </w:tc>
        <w:tc>
          <w:tcPr>
            <w:tcW w:type="dxa" w:w="20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 CVaR 95% (%)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rPr>
                <w:sz w:val="18"/>
                <w:szCs w:val="18"/>
              </w:rPr>
              <w:t xml:space="preserve">SBI Small Cap Fund - Direct Plan - Growth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-2.69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-3.24</w:t>
            </w:r>
          </w:p>
        </w:tc>
      </w:tr>
      <w:tr>
        <w:tc>
          <w:tcPr>
            <w:tcW w:type="dxa" w:w="5500"/>
            <w:shd w:fill="F3F6FA" w:val="clear"/>
          </w:tcPr>
          <w:p>
            <w:r>
              <w:rPr>
                <w:sz w:val="18"/>
                <w:szCs w:val="18"/>
              </w:rPr>
              <w:t xml:space="preserve">Axis Small Cap Fund - Regular - Growth</w:t>
            </w:r>
          </w:p>
        </w:tc>
        <w:tc>
          <w:tcPr>
            <w:tcW w:type="dxa" w:w="2000"/>
            <w:shd w:fill="F3F6FA" w:val="clear"/>
          </w:tcPr>
          <w:p>
            <w:r>
              <w:rPr>
                <w:sz w:val="18"/>
                <w:szCs w:val="18"/>
              </w:rPr>
              <w:t xml:space="preserve">-2.62</w:t>
            </w:r>
          </w:p>
        </w:tc>
        <w:tc>
          <w:tcPr>
            <w:tcW w:type="dxa" w:w="2000"/>
            <w:shd w:fill="F3F6FA" w:val="clear"/>
          </w:tcPr>
          <w:p>
            <w:r>
              <w:rPr>
                <w:sz w:val="18"/>
                <w:szCs w:val="18"/>
              </w:rPr>
              <w:t xml:space="preserve">-3.17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rPr>
                <w:sz w:val="18"/>
                <w:szCs w:val="18"/>
              </w:rPr>
              <w:t xml:space="preserve">ABSL Small Cap Fund - Regular - Growth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-2.60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-3.25</w:t>
            </w:r>
          </w:p>
        </w:tc>
      </w:tr>
      <w:tr>
        <w:tc>
          <w:tcPr>
            <w:tcW w:type="dxa" w:w="5500"/>
            <w:shd w:fill="F3F6FA" w:val="clear"/>
          </w:tcPr>
          <w:p>
            <w:r>
              <w:rPr>
                <w:sz w:val="18"/>
                <w:szCs w:val="18"/>
              </w:rPr>
              <w:t xml:space="preserve">Nippon India Small Cap Fund - Regular - Growth</w:t>
            </w:r>
          </w:p>
        </w:tc>
        <w:tc>
          <w:tcPr>
            <w:tcW w:type="dxa" w:w="2000"/>
            <w:shd w:fill="F3F6FA" w:val="clear"/>
          </w:tcPr>
          <w:p>
            <w:r>
              <w:rPr>
                <w:sz w:val="18"/>
                <w:szCs w:val="18"/>
              </w:rPr>
              <w:t xml:space="preserve">-2.54</w:t>
            </w:r>
          </w:p>
        </w:tc>
        <w:tc>
          <w:tcPr>
            <w:tcW w:type="dxa" w:w="2000"/>
            <w:shd w:fill="F3F6FA" w:val="clear"/>
          </w:tcPr>
          <w:p>
            <w:r>
              <w:rPr>
                <w:sz w:val="18"/>
                <w:szCs w:val="18"/>
              </w:rPr>
              <w:t xml:space="preserve">-3.23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rPr>
                <w:sz w:val="18"/>
                <w:szCs w:val="18"/>
              </w:rPr>
              <w:t xml:space="preserve">SBI Small Cap Fund - Regular Plan - Growth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-2.45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-3.06</w:t>
            </w:r>
          </w:p>
        </w:tc>
      </w:tr>
    </w:tbl>
    <w:p>
      <w:pPr>
        <w:spacing w:after="140"/>
      </w:pPr>
      <w:r>
        <w:t xml:space="preserve">Small-cap equity funds dominate the highest-VaR list, confirming they carry the largest one-day tail-risk exposure in the tracked universe.</w:t>
      </w:r>
    </w:p>
    <w:p>
      <w:pPr>
        <w:pStyle w:val="Heading3"/>
        <w:spacing w:after="90" w:before="200"/>
      </w:pPr>
      <w:r>
        <w:t xml:space="preserve">8.2 Rolling 90-Day Sharpe Ratio</w:t>
      </w:r>
    </w:p>
    <w:p>
      <w:pPr>
        <w:spacing w:after="60"/>
        <w:jc w:val="center"/>
      </w:pPr>
      <w:r>
        <w:drawing>
          <wp:inline distT="0" distB="0" distL="0" distR="0">
            <wp:extent cx="4762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11. Rolling 90-day Sharpe for 5 sample funds — Sharpe is highly time-varying; funds attractive on a full-period basis can go through extended negative-Sharpe stretches.</w:t>
      </w:r>
    </w:p>
    <w:p>
      <w:pPr>
        <w:pStyle w:val="Heading3"/>
        <w:spacing w:after="90" w:before="200"/>
      </w:pPr>
      <w:r>
        <w:t xml:space="preserve">8.3 Investor Cohort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1400"/>
        <w:gridCol w:w="1800"/>
      </w:tblGrid>
      <w:tr>
        <w:trPr>
          <w:tblHeader/>
        </w:trPr>
        <w:tc>
          <w:tcPr>
            <w:tcW w:type="dxa" w:w="26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Cohort (First-Tx Year)</w:t>
            </w:r>
          </w:p>
        </w:tc>
        <w:tc>
          <w:tcPr>
            <w:tcW w:type="dxa" w:w="20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SIP Amount (INR)</w:t>
            </w:r>
          </w:p>
        </w:tc>
        <w:tc>
          <w:tcPr>
            <w:tcW w:type="dxa" w:w="22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Invested (INR)</w:t>
            </w:r>
          </w:p>
        </w:tc>
        <w:tc>
          <w:tcPr>
            <w:tcW w:type="dxa" w:w="14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Investors</w:t>
            </w:r>
          </w:p>
        </w:tc>
        <w:tc>
          <w:tcPr>
            <w:tcW w:type="dxa" w:w="18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 Category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2024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10,997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21,49,78,121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4624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Equity</w:t>
            </w:r>
          </w:p>
        </w:tc>
      </w:tr>
      <w:tr>
        <w:tc>
          <w:tcPr>
            <w:tcW w:type="dxa" w:w="2600"/>
            <w:shd w:fill="F3F6FA" w:val="clear"/>
          </w:tcPr>
          <w:p>
            <w:r>
              <w:rPr>
                <w:sz w:val="18"/>
                <w:szCs w:val="18"/>
              </w:rPr>
              <w:t xml:space="preserve">2025</w:t>
            </w:r>
          </w:p>
        </w:tc>
        <w:tc>
          <w:tcPr>
            <w:tcW w:type="dxa" w:w="2000"/>
            <w:shd w:fill="F3F6FA" w:val="clear"/>
          </w:tcPr>
          <w:p>
            <w:r>
              <w:rPr>
                <w:sz w:val="18"/>
                <w:szCs w:val="18"/>
              </w:rPr>
              <w:t xml:space="preserve">13,505</w:t>
            </w:r>
          </w:p>
        </w:tc>
        <w:tc>
          <w:tcPr>
            <w:tcW w:type="dxa" w:w="2200"/>
            <w:shd w:fill="F3F6FA" w:val="clear"/>
          </w:tcPr>
          <w:p>
            <w:r>
              <w:rPr>
                <w:sz w:val="18"/>
                <w:szCs w:val="18"/>
              </w:rPr>
              <w:t xml:space="preserve">22,55,370</w:t>
            </w:r>
          </w:p>
        </w:tc>
        <w:tc>
          <w:tcPr>
            <w:tcW w:type="dxa" w:w="1400"/>
            <w:shd w:fill="F3F6FA" w:val="clear"/>
          </w:tcPr>
          <w:p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tcW w:type="dxa" w:w="1800"/>
            <w:shd w:fill="F3F6FA" w:val="clear"/>
          </w:tcPr>
          <w:p>
            <w:r>
              <w:rPr>
                <w:sz w:val="18"/>
                <w:szCs w:val="18"/>
              </w:rPr>
              <w:t xml:space="preserve">Equity</w:t>
            </w:r>
          </w:p>
        </w:tc>
      </w:tr>
    </w:tbl>
    <w:p>
      <w:pPr>
        <w:pStyle w:val="Heading3"/>
        <w:spacing w:after="90" w:before="200"/>
      </w:pPr>
      <w:r>
        <w:t xml:space="preserve">8.4 Sector Concentration (HHI)</w:t>
      </w:r>
    </w:p>
    <w:p>
      <w:pPr>
        <w:spacing w:after="60"/>
        <w:jc w:val="center"/>
      </w:pPr>
      <w:r>
        <w:drawing>
          <wp:inline distT="0" distB="0" distL="0" distR="0">
            <wp:extent cx="4381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A70"/>
          <w:sz w:val="18"/>
          <w:szCs w:val="18"/>
        </w:rPr>
        <w:t xml:space="preserve">Figure 12. Herfindahl-Hirschman Index by fund — higher values indicate more sector-concentrated equity portfolios.</w:t>
      </w:r>
    </w:p>
    <w:p>
      <w:pPr>
        <w:pStyle w:val="Heading3"/>
        <w:spacing w:after="90" w:before="200"/>
      </w:pPr>
      <w:r>
        <w:t xml:space="preserve">8.5 Fund Recommendation Engine</w:t>
      </w:r>
    </w:p>
    <w:p>
      <w:pPr>
        <w:spacing w:after="140"/>
      </w:pPr>
      <w:r>
        <w:t xml:space="preserve">A simple rule-based recommender (scripts/recommender.py) maps investor risk appetite (Low / Moderate / High) to the matching SEBI risk grade(s) and returns the top-N funds by Sharpe ratio. Example — 'Moderate' risk appetite: HDFC Top 100 Fund, Mirae Asset Large Cap Fund, and ICICI Pru Bluechip Fund (Direct) are the top 3 recommendations, all with Sharpe ≈ 1.0+ and 3yr returns ≈ 14–15%.</w:t>
      </w:r>
    </w:p>
    <w:p>
      <w:pPr>
        <w:pStyle w:val="Heading1"/>
        <w:spacing w:after="150" w:before="300"/>
      </w:pPr>
      <w:r>
        <w:t xml:space="preserve">9. Interactive Dashboard</w:t>
      </w:r>
    </w:p>
    <w:p>
      <w:pPr>
        <w:spacing w:after="140"/>
      </w:pPr>
      <w:r>
        <w:t xml:space="preserve">The dashboard is delivered as a standalone, self-contained HTML file (dashboard/bluestock_mf_dashboard.html) — an interactive, browser-based equivalent to a Power BI Desktop report, chosen because Power BI Desktop is a licensed Windows application not available in this build environment. It reproduces the same design goals as the original spec: 5 pages (exceeding the 4-page requirement), live slicers, sortable tables, tooltips, and a branded KPI ticker.</w:t>
      </w:r>
    </w:p>
    <w:p>
      <w:pPr>
        <w:pStyle w:val="Heading3"/>
        <w:spacing w:after="90" w:before="200"/>
      </w:pPr>
      <w:r>
        <w:t xml:space="preserve">9.1 Page 1 — Industry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ticker: Total AUM (Rs. 81L Cr), SIP Inflow (Rs. 31,002 Cr), Folios (26.12 Cr), Active Schemes (1,908), Active SIP Accounts (9.35 Cr).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Industry AUM trend line, AUM-by-fund-house grouped bar (by year), folio count growth line.</w:t>
      </w:r>
    </w:p>
    <w:p>
      <w:pPr>
        <w:pStyle w:val="Heading3"/>
        <w:spacing w:after="90" w:before="200"/>
      </w:pPr>
      <w:r>
        <w:t xml:space="preserve">9.2 Page 2 — Fund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Return-vs-risk bubble scatter (bubble size = AUM), sortable Fund Scorecard table, and a fund-selector NAV-vs-benchmark comparison chart.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Slicers: Fund House, Category, Plan.</w:t>
      </w:r>
    </w:p>
    <w:p>
      <w:pPr>
        <w:pStyle w:val="Heading3"/>
        <w:spacing w:after="90" w:before="200"/>
      </w:pPr>
      <w:r>
        <w:t xml:space="preserve">9.3 Page 3 — Investor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amount by state, SIP/Lumpsum/Redemption split, T30 vs B30 pie, average SIP by age group, monthly transaction volume.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Slicers: State, Age Group, City Tier.</w:t>
      </w:r>
    </w:p>
    <w:p>
      <w:pPr>
        <w:pStyle w:val="Heading3"/>
        <w:spacing w:after="90" w:before="200"/>
      </w:pPr>
      <w:r>
        <w:t xml:space="preserve">9.4 Page 4 — SIP &amp; Market Trends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Dual-axis SIP inflow (bar) + Nifty 50 (line), category-inflow heatmap, top-5 categories by FY25 net inflow.</w:t>
      </w:r>
    </w:p>
    <w:p>
      <w:pPr>
        <w:pStyle w:val="Heading3"/>
        <w:spacing w:after="90" w:before="200"/>
      </w:pPr>
      <w:r>
        <w:t xml:space="preserve">9.5 Page 5 — Portfolio &amp; Risk (bonus page)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Sector allocation donut and portfolio concentration (HHI) bar chart, extending the dashboard beyond the original 4-page spec.</w:t>
      </w:r>
    </w:p>
    <w:p>
      <w:pPr>
        <w:spacing w:after="140"/>
      </w:pPr>
      <w:r>
        <w:t xml:space="preserve">All charts are wired directly to the cleaned datasets (embedded as JSON at build time) so filtering is instantaneous and requires no server or database connection to view.</w:t>
      </w:r>
    </w:p>
    <w:p>
      <w:pPr>
        <w:pStyle w:val="Heading1"/>
        <w:spacing w:after="150" w:before="300"/>
      </w:pPr>
      <w:r>
        <w:t xml:space="preserve">10. Deliverables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200"/>
        <w:gridCol w:w="2900"/>
      </w:tblGrid>
      <w:tr>
        <w:trPr>
          <w:tblHeader/>
        </w:trPr>
        <w:tc>
          <w:tcPr>
            <w:tcW w:type="dxa" w:w="7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900"/>
            <w:shd w:fill="0A25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ETL Pipeline Scripts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.py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scripts/</w:t>
            </w:r>
          </w:p>
        </w:tc>
      </w:tr>
      <w:tr>
        <w:tc>
          <w:tcPr>
            <w:tcW w:type="dxa" w:w="700"/>
            <w:shd w:fill="F3F6FA" w:val="clear"/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3200"/>
            <w:shd w:fill="F3F6FA" w:val="clear"/>
          </w:tcPr>
          <w:p>
            <w:r>
              <w:rPr>
                <w:sz w:val="18"/>
                <w:szCs w:val="18"/>
              </w:rPr>
              <w:t xml:space="preserve">SQLite Database</w:t>
            </w:r>
          </w:p>
        </w:tc>
        <w:tc>
          <w:tcPr>
            <w:tcW w:type="dxa" w:w="2200"/>
            <w:shd w:fill="F3F6FA" w:val="clear"/>
          </w:tcPr>
          <w:p>
            <w:r>
              <w:rPr>
                <w:sz w:val="18"/>
                <w:szCs w:val="18"/>
              </w:rPr>
              <w:t xml:space="preserve">.db</w:t>
            </w:r>
          </w:p>
        </w:tc>
        <w:tc>
          <w:tcPr>
            <w:tcW w:type="dxa" w:w="2900"/>
            <w:shd w:fill="F3F6FA" w:val="clear"/>
          </w:tcPr>
          <w:p>
            <w:r>
              <w:rPr>
                <w:sz w:val="18"/>
                <w:szCs w:val="18"/>
              </w:rPr>
              <w:t xml:space="preserve">data/db/bluestock_mf.db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EDA Charts &amp; Findings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.png + .md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reports/charts/, reports/EDA_Findings.md</w:t>
            </w:r>
          </w:p>
        </w:tc>
      </w:tr>
      <w:tr>
        <w:tc>
          <w:tcPr>
            <w:tcW w:type="dxa" w:w="700"/>
            <w:shd w:fill="F3F6FA" w:val="clear"/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3200"/>
            <w:shd w:fill="F3F6FA" w:val="clear"/>
          </w:tcPr>
          <w:p>
            <w:r>
              <w:rPr>
                <w:sz w:val="18"/>
                <w:szCs w:val="18"/>
              </w:rPr>
              <w:t xml:space="preserve">Performance Metrics</w:t>
            </w:r>
          </w:p>
        </w:tc>
        <w:tc>
          <w:tcPr>
            <w:tcW w:type="dxa" w:w="2200"/>
            <w:shd w:fill="F3F6FA" w:val="clear"/>
          </w:tcPr>
          <w:p>
            <w:r>
              <w:rPr>
                <w:sz w:val="18"/>
                <w:szCs w:val="18"/>
              </w:rPr>
              <w:t xml:space="preserve">.py + .csv</w:t>
            </w:r>
          </w:p>
        </w:tc>
        <w:tc>
          <w:tcPr>
            <w:tcW w:type="dxa" w:w="2900"/>
            <w:shd w:fill="F3F6FA" w:val="clear"/>
          </w:tcPr>
          <w:p>
            <w:r>
              <w:rPr>
                <w:sz w:val="18"/>
                <w:szCs w:val="18"/>
              </w:rPr>
              <w:t xml:space="preserve">scripts/performance_analytics.py, reports/*.csv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Interactive Dashboard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.html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dashboard/bluestock_mf_dashboard.html</w:t>
            </w:r>
          </w:p>
        </w:tc>
      </w:tr>
      <w:tr>
        <w:tc>
          <w:tcPr>
            <w:tcW w:type="dxa" w:w="700"/>
            <w:shd w:fill="F3F6FA" w:val="clear"/>
          </w:tcPr>
          <w:p>
            <w:r>
              <w:rPr>
                <w:sz w:val="18"/>
                <w:szCs w:val="18"/>
              </w:rPr>
              <w:t xml:space="preserve">D6</w:t>
            </w:r>
          </w:p>
        </w:tc>
        <w:tc>
          <w:tcPr>
            <w:tcW w:type="dxa" w:w="3200"/>
            <w:shd w:fill="F3F6FA" w:val="clear"/>
          </w:tcPr>
          <w:p>
            <w:r>
              <w:rPr>
                <w:sz w:val="18"/>
                <w:szCs w:val="18"/>
              </w:rPr>
              <w:t xml:space="preserve">Advanced Analytics</w:t>
            </w:r>
          </w:p>
        </w:tc>
        <w:tc>
          <w:tcPr>
            <w:tcW w:type="dxa" w:w="2200"/>
            <w:shd w:fill="F3F6FA" w:val="clear"/>
          </w:tcPr>
          <w:p>
            <w:r>
              <w:rPr>
                <w:sz w:val="18"/>
                <w:szCs w:val="18"/>
              </w:rPr>
              <w:t xml:space="preserve">.py + .csv</w:t>
            </w:r>
          </w:p>
        </w:tc>
        <w:tc>
          <w:tcPr>
            <w:tcW w:type="dxa" w:w="2900"/>
            <w:shd w:fill="F3F6FA" w:val="clear"/>
          </w:tcPr>
          <w:p>
            <w:r>
              <w:rPr>
                <w:sz w:val="18"/>
                <w:szCs w:val="18"/>
              </w:rPr>
              <w:t xml:space="preserve">scripts/advanced_analytics.py, reports/*.csv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8"/>
                <w:szCs w:val="18"/>
              </w:rPr>
              <w:t xml:space="preserve">D7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Final Report + Slides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.docx + .pptx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reports/</w:t>
            </w:r>
          </w:p>
        </w:tc>
      </w:tr>
    </w:tbl>
    <w:p>
      <w:pPr>
        <w:pStyle w:val="Heading1"/>
        <w:spacing w:after="150" w:before="300"/>
      </w:pPr>
      <w:r>
        <w:t xml:space="preserve">11. Limitations &amp; Future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 history and investor transactions are simulated (anchored to real published AMFI figures) rather than pulled live from AMFI/mfapi.in APIs, per the project's offline dataset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Independently re-computed 3yr CAGR and Sharpe differ from the pre-supplied scheme_performance.csv by a modest average margin, due to 'trailing from latest NAV date' vs. a fixed as-of-date methodology — both are directionally consistent and the discrepancy is documented in reports/computed_metrics.csv for transparency.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dashboard is delivered as an interactive HTML/JS application rather than a native .pbix file, since Power BI Desktop requires a licensed Windows environment not available in this build; the same data model (CSV/SQLite) can be pointed at Power BI Desktop directly if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SIP-continuity 'at-risk' flagging uses a simple fixed 35-day-gap threshold; a production system would tune this per investor cohort and fund category.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Future work: live AMFI/mfapi.in API integration, a scheduled daily refresh job, Monte Carlo NAV projection, and a Markowitz efficient-frontier portfolio optimiser (see Appendix bonus challenges).</w:t>
      </w:r>
    </w:p>
    <w:p>
      <w:pPr>
        <w:pStyle w:val="Heading1"/>
        <w:spacing w:after="150" w:before="300"/>
      </w:pPr>
      <w:r>
        <w:t xml:space="preserve">12. Conclusion</w:t>
      </w:r>
    </w:p>
    <w:p>
      <w:pPr>
        <w:spacing w:after="140"/>
      </w:pPr>
      <w:r>
        <w:t xml:space="preserve">This project delivers a complete, auditable path from raw AMFI-style CSVs to a governed SQLite database to a fully interactive analytics dashboard — covering all 8 project objectives (ETL, SQL schema, EDA, performance metrics, dashboard, investor-behaviour analysis, benchmark comparison, and documentation) set out in the original brief. The resulting Fund Scorecard, VaR/CVaR risk report, and investor-cohort analysis give Bluestock Fintech a reusable analytical foundation for retail fund-selection tooling.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A70"/>
        <w:sz w:val="16"/>
        <w:szCs w:val="16"/>
      </w:rPr>
      <w:t xml:space="preserve">Bluestock Fintech | Mutual Fund Analytics Capstone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0A2540"/>
      <w:sz w:val="32"/>
      <w:szCs w:val="32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color w:val="B8860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910bd63e0a7c0a0d477a8a72ab2a035e1d2746.png"/><Relationship Id="rId10" Type="http://schemas.openxmlformats.org/officeDocument/2006/relationships/image" Target="media/bfa09ddc67252b6300a4fa4acf11b1aee811e85a.png"/><Relationship Id="rId11" Type="http://schemas.openxmlformats.org/officeDocument/2006/relationships/image" Target="media/893177f1d6ab0a14b9554d0079f06be4f8b3580e.png"/><Relationship Id="rId12" Type="http://schemas.openxmlformats.org/officeDocument/2006/relationships/image" Target="media/1f4ea6a7e1427b707cbaa1d5bf0e5d8ad1c4a0e3.png"/><Relationship Id="rId13" Type="http://schemas.openxmlformats.org/officeDocument/2006/relationships/image" Target="media/767e05eeaab60fea0c64657732769f9d7e1e9aff.png"/><Relationship Id="rId14" Type="http://schemas.openxmlformats.org/officeDocument/2006/relationships/image" Target="media/dade9f40ac68a05becece90e1660efb4529ae5d2.png"/><Relationship Id="rId15" Type="http://schemas.openxmlformats.org/officeDocument/2006/relationships/image" Target="media/50dddffe78beb1f7732a27b0d615fa32bc04bc6f.png"/><Relationship Id="rId16" Type="http://schemas.openxmlformats.org/officeDocument/2006/relationships/image" Target="media/192b1ecb501c4628b1e32f329990832321276acb.png"/><Relationship Id="rId17" Type="http://schemas.openxmlformats.org/officeDocument/2006/relationships/image" Target="media/2c58f4d5f813ce6a98d21193f589598bf2c0372a.png"/><Relationship Id="rId18" Type="http://schemas.openxmlformats.org/officeDocument/2006/relationships/image" Target="media/fe919f45fe77d055379697975cfa2bdb4af8e336.png"/><Relationship Id="rId19" Type="http://schemas.openxmlformats.org/officeDocument/2006/relationships/image" Target="media/c3ae370ce86c9d390acbba69d523bb69e1b3dcd9.png"/><Relationship Id="rId20" Type="http://schemas.openxmlformats.org/officeDocument/2006/relationships/image" Target="media/39eefd2e928f94e494acff97f0aa9c4f48376c96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2026-08-09T05:24:58.102Z</dcterms:created>
  <dcterms:modified xsi:type="dcterms:W3CDTF">2026-08-09T05:24:58.102Z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