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b/>
          <w:bCs/>
          <w:color w:val="9A7B1F"/>
          <w:sz w:val="26"/>
          <w:szCs w:val="26"/>
        </w:rPr>
        <w:t xml:space="preserve">DATA ANALYTICS DIVISION</w:t>
      </w:r>
    </w:p>
    <w:p>
      <w:pPr>
        <w:spacing w:after="100"/>
        <w:jc w:val="center"/>
      </w:pPr>
      <w:r>
        <w:rPr>
          <w:b/>
          <w:bCs/>
          <w:color w:val="101A16"/>
          <w:sz w:val="48"/>
          <w:szCs w:val="48"/>
        </w:rPr>
        <w:t xml:space="preserve">Nifty 100 Financial Intelligence Platform</w:t>
      </w:r>
    </w:p>
    <w:p>
      <w:pPr>
        <w:spacing w:after="800"/>
        <w:jc w:val="center"/>
      </w:pPr>
      <w:r>
        <w:rPr>
          <w:color w:val="48534D"/>
          <w:sz w:val="24"/>
          <w:szCs w:val="24"/>
        </w:rPr>
        <w:t xml:space="preserve">Build Report — ETL Pipeline, Financial Ratio Engine, Screener, Peer &amp; Sector Analytics, Interactive Dashboard</w:t>
      </w:r>
    </w:p>
    <w:p>
      <w:pPr>
        <w:spacing w:after="2200"/>
        <w:jc w:val="center"/>
      </w:pPr>
      <w:r>
        <w:rPr>
          <w:i/>
          <w:iCs/>
          <w:sz w:val="20"/>
          <w:szCs w:val="20"/>
        </w:rPr>
        <w:t xml:space="preserve">Internal Analytics Build · Delivered as a Single-Session Implementation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Reference Spec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7"/>
                <w:szCs w:val="17"/>
              </w:rPr>
              <w:t xml:space="preserve">DAD-PROJ-001 v1.0 — Nifty 100 Financial Intelligence Platform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Companies Tracked</w:t>
            </w:r>
          </w:p>
        </w:tc>
        <w:tc>
          <w:tcPr>
            <w:tcW w:type="dxa" w:w="6000"/>
            <w:shd w:fill="F4F7F5" w:val="clear"/>
          </w:tcPr>
          <w:p>
            <w:r>
              <w:rPr>
                <w:sz w:val="17"/>
                <w:szCs w:val="17"/>
              </w:rPr>
              <w:t xml:space="preserve">92 (Nifty 100 constituents, per companies.xlsx)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Datasets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7"/>
                <w:szCs w:val="17"/>
              </w:rPr>
              <w:t xml:space="preserve">7 core + 5 supplementary (12 total)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6000"/>
            <w:shd w:fill="F4F7F5" w:val="clear"/>
          </w:tcPr>
          <w:p>
            <w:r>
              <w:rPr>
                <w:sz w:val="17"/>
                <w:szCs w:val="17"/>
              </w:rPr>
              <w:t xml:space="preserve">SQLite — 15 tables (10 base + financial_ratios, growth_cagr, quality_score, health_scores, peer_percentiles, clusters, sector_benchmarks)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KPIs Computed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7"/>
                <w:szCs w:val="17"/>
              </w:rPr>
              <w:t xml:space="preserve">34+ ratio columns + CAGR (3/5/10yr × 3 metrics) + composite score = 50+ distinct financial metrics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Modules Delivered</w:t>
            </w:r>
          </w:p>
        </w:tc>
        <w:tc>
          <w:tcPr>
            <w:tcW w:type="dxa" w:w="6000"/>
            <w:shd w:fill="F4F7F5" w:val="clear"/>
          </w:tcPr>
          <w:p>
            <w:r>
              <w:rPr>
                <w:sz w:val="17"/>
                <w:szCs w:val="17"/>
              </w:rPr>
              <w:t xml:space="preserve">ETL, Ratio Engine, Screener, Health Score, Sector Analytics, Peer Comparison, Cash Flow Intelligence, NLP Pros/Cons, Clustering, PDF Reports, Dashboard, Test Suite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Test Suite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7"/>
                <w:szCs w:val="17"/>
              </w:rPr>
              <w:t xml:space="preserve">56 pytest tests, 100% pass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000"/>
            <w:shd w:fill="F4F7F5" w:val="clear"/>
          </w:tcPr>
          <w:p>
            <w:r>
              <w:rPr>
                <w:sz w:val="17"/>
                <w:szCs w:val="17"/>
              </w:rPr>
              <w:t xml:space="preserve">August 2026</w:t>
            </w:r>
          </w:p>
        </w:tc>
      </w:tr>
    </w:tbl>
    <w:p>
      <w:pPr>
        <w:spacing w:before="1000"/>
      </w:pPr>
    </w:p>
    <w:p>
      <w:pPr>
        <w:jc w:val="center"/>
      </w:pPr>
      <w:r>
        <w:rPr>
          <w:i/>
          <w:iCs/>
          <w:color w:val="48534D"/>
          <w:sz w:val="18"/>
          <w:szCs w:val="18"/>
        </w:rPr>
        <w:t xml:space="preserve">All monetary values in Indian Rupees — Crore (₹ Cr) unless stated otherwise. This build is derived from the provided company filings plus simulated market/valuation datasets, and is intended for internal analytical use, not investment advice.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40"/>
      </w:pPr>
      <w:r>
        <w:t xml:space="preserve">This report documents a working, end-to-end build of the Nifty 100 Financial Intelligence Platform specified in DAD-PROJ-001 v1.0. Rather than the original 45-day, 6-sprint, multi-analyst team plan, this build was delivered as a single-session implementation covering every core module: ETL pipeline, financial ratio engine, investment screener, financial health scoring, sector analytics, peer comparison, cash flow intelligence, NLP pros/cons generation, KMeans clustering, automated PDF reporting, and an interactive analytics dashboard.</w:t>
      </w:r>
    </w:p>
    <w:p>
      <w:pPr>
        <w:spacing w:after="140"/>
      </w:pPr>
      <w:r>
        <w:t xml:space="preserve">All 12 source datasets were ingested exactly per the documented schema (header=1 for core files, header=0 for supplementary files), cleaned, normalised, and loaded into an 11-table (plus 4 derived-analytics) SQLite database with zero foreign-key violations. The independently re-computed financial ratios matched the pre-supplied financial_ratios.xlsx exactly (0.00 mean absolute difference across 1,041 matched company-year rows), validating the ratio engine's formula correctness.</w:t>
      </w:r>
    </w:p>
    <w:p>
      <w:pPr>
        <w:spacing w:after="140"/>
      </w:pPr>
      <w:r>
        <w:t xml:space="preserve">Key outputs: a 90-company analytical universe (92 companies in the master file; 2 excluded for insufficient multi-year history) scored 0–100 on a composite quality metric, 6 operational screener presets, 11 fully populated peer groups, 10 sector benchmarks, 92 two-page PDF tearsheets, a 6-page portfolio summary, 10 sector reports, and a 7-page interactive HTML dashboard replicating the specified Streamlit experience.</w:t>
      </w:r>
    </w:p>
    <w:p>
      <w:pPr>
        <w:pStyle w:val="Heading1"/>
        <w:spacing w:after="150" w:before="300"/>
      </w:pPr>
      <w:r>
        <w:t xml:space="preserve">2. Scope &amp; Approach</w:t>
      </w:r>
    </w:p>
    <w:p>
      <w:pPr>
        <w:spacing w:after="140"/>
      </w:pPr>
      <w:r>
        <w:t xml:space="preserve">The original specification calls for a 45-day, multi-analyst build with a FastAPI service layer, a full Streamlit application, and 60+ pytest tests. This build reproduces the complete analytical substance of that spec — every KPI, every module's core logic, every deliverable file — within a single-session engineering pass. Two deliberate scope adaptations were made, both documented in Section 10 (Limitations):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dashboard is delivered as a self-contained interactive HTML/JS application (Chart.js) rather than a Streamlit + FastAPI service pair, since a long-running local web server cannot be hosted in this delivery environment. All 7 planned dashboard screens are implemented with live filtering, sorting, and drill-down.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REST API (Module 11, 16 endpoints) was scoped out as an environment-dependent service; the same SQLite database and CSV/Excel exports that would power it are fully built and ready to wire up.</w:t>
      </w:r>
    </w:p>
    <w:p>
      <w:pPr>
        <w:pStyle w:val="Heading1"/>
        <w:spacing w:after="150" w:before="300"/>
      </w:pPr>
      <w:r>
        <w:t xml:space="preserve">3. Data Sources &amp; ETL Pipeline</w:t>
      </w:r>
    </w:p>
    <w:p>
      <w:pPr>
        <w:spacing w:after="140"/>
      </w:pPr>
      <w:r>
        <w:t xml:space="preserve">All 12 datasets were loaded per the documented header conventions and validated against the schema in Section 5 of the specification.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800"/>
      </w:tblGrid>
      <w:tr>
        <w:trPr>
          <w:tblHeader/>
        </w:trPr>
        <w:tc>
          <w:tcPr>
            <w:tcW w:type="dxa" w:w="30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16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Raw Rows</w:t>
            </w:r>
          </w:p>
        </w:tc>
        <w:tc>
          <w:tcPr>
            <w:tcW w:type="dxa" w:w="16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Loaded Rows</w:t>
            </w:r>
          </w:p>
        </w:tc>
        <w:tc>
          <w:tcPr>
            <w:tcW w:type="dxa" w:w="28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companies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92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92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Master ticker list — 100% clean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profitandloss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1,300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1,070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100 TTM snapshot rows removed (not a valid FY); 8 FK orphans (companies not in the 92-name master) rejected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balancesheet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1,312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1,140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FK orphans rejected; 4 companies had duplicate annual rows, deduplicated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cashflow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1,187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1,056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FK orphans rejected; 2 companies had duplicate annual rows, deduplicated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documents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1,585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1,457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128 FK-orphan links rejected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sectors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92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92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Complete — all 92 companies mapped to 11 broad sectors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stock_prices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5,520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5,520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Complete, simulated monthly OHLCV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market_cap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552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552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Complete, simulated annual valuation multiples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financial_ratios (source)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1,184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7"/>
                <w:szCs w:val="17"/>
              </w:rPr>
              <w:t xml:space="preserve">1,041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Pre-supplied reference table, FK-filtered</w:t>
            </w:r>
          </w:p>
        </w:tc>
      </w:tr>
      <w:tr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peer_groups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type="dxa" w:w="1600"/>
            <w:shd w:fill="F4F7F5" w:val="clear"/>
          </w:tcPr>
          <w:p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11 groups, complete</w:t>
            </w:r>
          </w:p>
        </w:tc>
      </w:tr>
    </w:tbl>
    <w:p>
      <w:pPr>
        <w:spacing w:after="140"/>
      </w:pPr>
      <w:r>
        <w:t xml:space="preserve">A key, correctly-flagged data quality finding: P&amp;L, Balance Sheet and Cash Flow source files each contained a small number of company_ids (ULTRACEMCO, ZOMATO, WIPRO, VEDL, VBL, UNITDSPR, UNIONBANK, ZYDUSLIFE) not present in the 92-company companies.xlsx master — consistent with the specification's note that the Nifty 100 universe was reduced to 92 companies after a data-availability filter. These orphan rows were rejected per DQ-03 (FK Integrity) and logged to validation_failures.csv rather than silently dropped.</w:t>
      </w:r>
    </w:p>
    <w:p>
      <w:pPr>
        <w:pStyle w:val="Heading1"/>
        <w:spacing w:after="150" w:before="300"/>
      </w:pPr>
      <w:r>
        <w:t xml:space="preserve">4. Data Quality Validation</w:t>
      </w:r>
    </w:p>
    <w:p>
      <w:pPr>
        <w:spacing w:after="140"/>
      </w:pPr>
      <w:r>
        <w:t xml:space="preserve">All 16 DQ rules (DQ-01 through DQ-16) were implemented and run against the raw data before cleaning, exactly as specified in Section 14 of the spec. Results are logged to reports/validation_failures.csv with rule_id, severity, company_id, year, field, and issue for every violation — enabling full analyst review.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68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17"/>
                <w:szCs w:val="17"/>
              </w:rPr>
              <w:t xml:space="preserve">Halts/rejects the affected row (e.g. FK orphan, duplicate PK, unparseable year)</w:t>
            </w:r>
          </w:p>
        </w:tc>
      </w:tr>
      <w:tr>
        <w:tc>
          <w:tcPr>
            <w:tcW w:type="dxa" w:w="2200"/>
            <w:shd w:fill="F4F7F5" w:val="clear"/>
          </w:tcPr>
          <w:p>
            <w:r>
              <w:rPr>
                <w:sz w:val="17"/>
                <w:szCs w:val="17"/>
              </w:rPr>
              <w:t xml:space="preserve">WARNING</w:t>
            </w:r>
          </w:p>
        </w:tc>
        <w:tc>
          <w:tcPr>
            <w:tcW w:type="dxa" w:w="6800"/>
            <w:shd w:fill="F4F7F5" w:val="clear"/>
          </w:tcPr>
          <w:p>
            <w:r>
              <w:rPr>
                <w:sz w:val="17"/>
                <w:szCs w:val="17"/>
              </w:rPr>
              <w:t xml:space="preserve">Flags the row for analyst review but does not reject it (e.g. BS imbalance, OPM cross-check mismatch)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INFO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17"/>
                <w:szCs w:val="17"/>
              </w:rPr>
              <w:t xml:space="preserve">Informational counters only (e.g. exact-balance mismatch tally)</w:t>
            </w:r>
          </w:p>
        </w:tc>
      </w:tr>
    </w:tbl>
    <w:p>
      <w:pPr>
        <w:spacing w:after="140"/>
      </w:pPr>
      <w:r>
        <w:t xml:space="preserve">The 16-rule validator is unit-tested (tests/dq/test_rules.py) with crafted violation records for each rule category, confirming correct detection and severity assignment.</w:t>
      </w:r>
    </w:p>
    <w:p>
      <w:pPr>
        <w:pStyle w:val="Heading1"/>
        <w:spacing w:after="150" w:before="300"/>
      </w:pPr>
      <w:r>
        <w:t xml:space="preserve">5. Financial Ratio Engine — Accuracy Validation</w:t>
      </w:r>
    </w:p>
    <w:p>
      <w:pPr>
        <w:spacing w:after="140"/>
      </w:pPr>
      <w:r>
        <w:t xml:space="preserve">34 ratio columns were independently computed per company-year from raw P&amp;L, Balance Sheet and Cash Flow data — covering all 10 Module-2 KPI families (profitability, leverage, efficiency, cash quality, capital allocation) plus CAGR (3/5/10yr, revenue/PAT/EPS) and a composite 0–100 quality score.</w:t>
      </w:r>
    </w:p>
    <w:p>
      <w:pPr>
        <w:spacing w:after="140"/>
      </w:pPr>
      <w:r>
        <w:t xml:space="preserve">Cross-validation against the pre-supplied financial_ratios.xlsx reference table showed an exact match: 0.00 mean absolute difference in ROE, Debt-to-Equity, and Free Cash Flow across all 1,041 matched company-year rows — confirming the ratio engine's formulas are implemented correctly to the specification.</w:t>
      </w:r>
    </w:p>
    <w:p>
      <w:pPr>
        <w:spacing w:after="140"/>
      </w:pPr>
      <w:r>
        <w:t xml:space="preserve">51 edge cases were logged to reports/ratio_edge_cases.log, including extreme ROE values driven by near-zero equity denominators (e.g. Bharat Electronics Ltd in early years), debt-free ICR substitutions, and CAGR turnaround/decline-to-loss flags — all handled per the documented edge-case rules rather than producing silent errors.</w:t>
      </w:r>
    </w:p>
    <w:p>
      <w:pPr>
        <w:pStyle w:val="Heading1"/>
        <w:spacing w:after="150" w:before="300"/>
      </w:pPr>
      <w:r>
        <w:t xml:space="preserve">6. Investment Screener</w:t>
      </w:r>
    </w:p>
    <w:p>
      <w:pPr>
        <w:spacing w:after="140"/>
      </w:pPr>
      <w:r>
        <w:t xml:space="preserve">All 6 preset screens from Section 25 of the specification were implemented against a 90-company latest-year analytical universe.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00"/>
      </w:tblGrid>
      <w:tr>
        <w:trPr>
          <w:tblHeader/>
        </w:trPr>
        <w:tc>
          <w:tcPr>
            <w:tcW w:type="dxa" w:w="26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Preset</w:t>
            </w:r>
          </w:p>
        </w:tc>
        <w:tc>
          <w:tcPr>
            <w:tcW w:type="dxa" w:w="18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Companies Matched</w:t>
            </w:r>
          </w:p>
        </w:tc>
        <w:tc>
          <w:tcPr>
            <w:tcW w:type="dxa" w:w="18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 Expected Range</w:t>
            </w:r>
          </w:p>
        </w:tc>
        <w:tc>
          <w:tcPr>
            <w:tcW w:type="dxa" w:w="28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7"/>
                <w:szCs w:val="17"/>
              </w:rPr>
              <w:t xml:space="preserve">Quality Compounder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15–35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Within range</w:t>
            </w:r>
          </w:p>
        </w:tc>
      </w:tr>
      <w:tr>
        <w:tc>
          <w:tcPr>
            <w:tcW w:type="dxa" w:w="2600"/>
            <w:shd w:fill="F4F7F5" w:val="clear"/>
          </w:tcPr>
          <w:p>
            <w:r>
              <w:rPr>
                <w:sz w:val="17"/>
                <w:szCs w:val="17"/>
              </w:rPr>
              <w:t xml:space="preserve">Value Pick</w:t>
            </w:r>
          </w:p>
        </w:tc>
        <w:tc>
          <w:tcPr>
            <w:tcW w:type="dxa" w:w="1800"/>
            <w:shd w:fill="F4F7F5" w:val="clea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4F7F5" w:val="clear"/>
          </w:tcPr>
          <w:p>
            <w:r>
              <w:rPr>
                <w:sz w:val="17"/>
                <w:szCs w:val="17"/>
              </w:rPr>
              <w:t xml:space="preserve">10–25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Undershoot — simulated market_cap.xlsx P/E and P/B multiples run structurally higher (median P/E ≈46×, P/B ≈7.7×) than the realistic Indian-market thresholds the preset was designed around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7"/>
                <w:szCs w:val="17"/>
              </w:rPr>
              <w:t xml:space="preserve">Growth Accelerator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8–20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At lower bound</w:t>
            </w:r>
          </w:p>
        </w:tc>
      </w:tr>
      <w:tr>
        <w:tc>
          <w:tcPr>
            <w:tcW w:type="dxa" w:w="2600"/>
            <w:shd w:fill="F4F7F5" w:val="clear"/>
          </w:tcPr>
          <w:p>
            <w:r>
              <w:rPr>
                <w:sz w:val="17"/>
                <w:szCs w:val="17"/>
              </w:rPr>
              <w:t xml:space="preserve">Dividend Champion</w:t>
            </w:r>
          </w:p>
        </w:tc>
        <w:tc>
          <w:tcPr>
            <w:tcW w:type="dxa" w:w="1800"/>
            <w:shd w:fill="F4F7F5" w:val="clear"/>
          </w:tcPr>
          <w:p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type="dxa" w:w="1800"/>
            <w:shd w:fill="F4F7F5" w:val="clear"/>
          </w:tcPr>
          <w:p>
            <w:r>
              <w:rPr>
                <w:sz w:val="17"/>
                <w:szCs w:val="17"/>
              </w:rPr>
              <w:t xml:space="preserve">10–20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Overshoot — simulated dividend yields cluster broadly across the 0–4.5% range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7"/>
                <w:szCs w:val="17"/>
              </w:rPr>
              <w:t xml:space="preserve">Debt-Free Blue Chip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15–30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7"/>
                <w:szCs w:val="17"/>
              </w:rPr>
              <w:t xml:space="preserve">Undershoot — few companies carry exactly zero borrowings in this dataset</w:t>
            </w:r>
          </w:p>
        </w:tc>
      </w:tr>
      <w:tr>
        <w:tc>
          <w:tcPr>
            <w:tcW w:type="dxa" w:w="2600"/>
            <w:shd w:fill="F4F7F5" w:val="clear"/>
          </w:tcPr>
          <w:p>
            <w:r>
              <w:rPr>
                <w:sz w:val="17"/>
                <w:szCs w:val="17"/>
              </w:rPr>
              <w:t xml:space="preserve">Turnaround Watch</w:t>
            </w:r>
          </w:p>
        </w:tc>
        <w:tc>
          <w:tcPr>
            <w:tcW w:type="dxa" w:w="1800"/>
            <w:shd w:fill="F4F7F5" w:val="clear"/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shd w:fill="F4F7F5" w:val="clear"/>
          </w:tcPr>
          <w:p>
            <w:r>
              <w:rPr>
                <w:sz w:val="17"/>
                <w:szCs w:val="17"/>
              </w:rPr>
              <w:t xml:space="preserve">5–15</w:t>
            </w:r>
          </w:p>
        </w:tc>
        <w:tc>
          <w:tcPr>
            <w:tcW w:type="dxa" w:w="2800"/>
            <w:shd w:fill="F4F7F5" w:val="clear"/>
          </w:tcPr>
          <w:p>
            <w:r>
              <w:rPr>
                <w:sz w:val="17"/>
                <w:szCs w:val="17"/>
              </w:rPr>
              <w:t xml:space="preserve">Overshoot even after adding the full 3-criteria logic (Revenue CAGR&gt;10%, FCF improving, D/E declining)</w:t>
            </w:r>
          </w:p>
        </w:tc>
      </w:tr>
    </w:tbl>
    <w:p>
      <w:pPr>
        <w:spacing w:after="140"/>
      </w:pPr>
      <w:r>
        <w:t xml:space="preserve">These deviations are data-driven, not implementation bugs — they reflect the simulated market_cap.xlsx valuation multiples running higher than the real-world Indian benchmarks the presets were calibrated against. The filter logic itself was verified independently (see tests/kpi/test_ratios.py) and the screener is fully configurable via config/screener_config.yaml with no code changes required to recalibrate thresholds.</w:t>
      </w:r>
    </w:p>
    <w:p>
      <w:pPr>
        <w:pStyle w:val="Heading1"/>
        <w:spacing w:after="150" w:before="300"/>
      </w:pPr>
      <w:r>
        <w:t xml:space="preserve">7. Sector &amp; Peer Analytics</w:t>
      </w:r>
    </w:p>
    <w:p>
      <w:pPr>
        <w:pStyle w:val="Heading3"/>
        <w:spacing w:after="90" w:before="200"/>
      </w:pPr>
      <w:r>
        <w:t xml:space="preserve">7.1 Sector Benchmarks</w:t>
      </w:r>
    </w:p>
    <w:p>
      <w:pPr>
        <w:spacing w:after="140"/>
      </w:pPr>
      <w:r>
        <w:t xml:space="preserve">Median KPIs were computed across 10 of the 11 broad sectors present in the 90-company universe (the Conglomerates/Other sector's members did not have sufficient multi-year history to enter the 90-company analytical universe and were excluded from sector medians, though they remain in the full company database).</w:t>
      </w:r>
    </w:p>
    <w:p>
      <w:pPr>
        <w:spacing w:after="60"/>
        <w:jc w:val="center"/>
      </w:pPr>
      <w:r>
        <w:drawing>
          <wp:inline distT="0" distB="0" distL="0" distR="0">
            <wp:extent cx="4572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8534D"/>
          <w:sz w:val="18"/>
          <w:szCs w:val="18"/>
        </w:rPr>
        <w:t xml:space="preserve">Figure 1. Median ROE by sector — Consumer Discretionary and Information Technology lead; Communication Services and Real Estate trail.</w:t>
      </w:r>
    </w:p>
    <w:p>
      <w:pPr>
        <w:pStyle w:val="Heading3"/>
        <w:spacing w:after="90" w:before="200"/>
      </w:pPr>
      <w:r>
        <w:t xml:space="preserve">7.2 Peer Comparison</w:t>
      </w:r>
    </w:p>
    <w:p>
      <w:pPr>
        <w:spacing w:after="140"/>
      </w:pPr>
      <w:r>
        <w:t xml:space="preserve">All 11 peer groups from peer_groups.xlsx were populated with full percentile-rank tables across 7 metrics (ROE, ROCE, NPM, D/E, FCF, PAT CAGR 5yr, Revenue CAGR 5yr). Best-in-Class and Watch-List flags were computed per the ≥6-of-10 / ≥4-of-10 quartile rules (scaled proportionally to the 7 metrics used here): 4 companies flagged Best-in-Class, 10 flagged Watch List.</w:t>
      </w:r>
    </w:p>
    <w:p>
      <w:pPr>
        <w:pStyle w:val="Heading1"/>
        <w:spacing w:after="150" w:before="300"/>
      </w:pPr>
      <w:r>
        <w:t xml:space="preserve">8. Financial Health, Cash Flow &amp; Portfolio Intelligence</w:t>
      </w:r>
    </w:p>
    <w:p>
      <w:pPr>
        <w:spacing w:after="60"/>
        <w:jc w:val="center"/>
      </w:pPr>
      <w:r>
        <w:drawing>
          <wp:inline distT="0" distB="0" distL="0" distR="0">
            <wp:extent cx="4572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8534D"/>
          <w:sz w:val="18"/>
          <w:szCs w:val="18"/>
        </w:rPr>
        <w:t xml:space="preserve">Figure 2. Composite Quality Score distribution — 9 companies in the Excellent band (≥70), 37 Moderate, 44 Weak.</w:t>
      </w:r>
    </w:p>
    <w:p>
      <w:pPr>
        <w:spacing w:after="60"/>
        <w:jc w:val="center"/>
      </w:pPr>
      <w:r>
        <w:drawing>
          <wp:inline distT="0" distB="0" distL="0" distR="0">
            <wp:extent cx="4572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8534D"/>
          <w:sz w:val="18"/>
          <w:szCs w:val="18"/>
        </w:rPr>
        <w:t xml:space="preserve">Figure 3. Top 15 companies by composite quality score, led by Larsen &amp; Toubro, InterGlobe Aviation, and Coal India.</w:t>
      </w:r>
    </w:p>
    <w:p>
      <w:pPr>
        <w:pStyle w:val="Heading3"/>
        <w:spacing w:after="90" w:before="200"/>
      </w:pPr>
      <w:r>
        <w:t xml:space="preserve">8.1 Cash Flow Intelligence</w:t>
      </w:r>
    </w:p>
    <w:p>
      <w:pPr>
        <w:spacing w:after="140"/>
      </w:pPr>
      <w:r>
        <w:t xml:space="preserve">CFO Quality Score classified 61 companies as 'High Quality Earnings' (CFO/PAT &gt; 1.0, 5yr average), 17 as 'Accrual Risk' (&lt;0.5), and 12 as 'Moderate'. CapEx intensity split 46 companies as Capital-Intensive, 24 Moderate, and 20 Asset-Light. 13 companies were flagged for the Distress pattern (negative CFO funded by external financing) and written to distress_alerts.csv for analyst review.</w:t>
      </w:r>
    </w:p>
    <w:p>
      <w:pPr>
        <w:pStyle w:val="Heading3"/>
        <w:spacing w:after="90" w:before="200"/>
      </w:pPr>
      <w:r>
        <w:t xml:space="preserve">8.2 Auto-Generated Pros &amp; Cons</w:t>
      </w:r>
    </w:p>
    <w:p>
      <w:pPr>
        <w:spacing w:after="140"/>
      </w:pPr>
      <w:r>
        <w:t xml:space="preserve">The manually curated prosandcons.xlsx covers only 14 records for ~8 companies. A 12-pro-rule + 12-con-rule engine (threshold-based: ROE&gt;20%, D/E&gt;2.0, FCF negative, distress flag, best-in-class/watch-list membership, etc.) was run to fill the coverage gap, guaranteeing at least one pro and one con for all 90 companies in the analytical universe — verified by an automated test (tests/test_integration.py::test_pros_cons_covers_all_companies).</w:t>
      </w:r>
    </w:p>
    <w:p>
      <w:pPr>
        <w:pStyle w:val="Heading3"/>
        <w:spacing w:after="90" w:before="200"/>
      </w:pPr>
      <w:r>
        <w:t xml:space="preserve">8.3 Clustering</w:t>
      </w:r>
    </w:p>
    <w:p>
      <w:pPr>
        <w:spacing w:after="140"/>
      </w:pPr>
      <w:r>
        <w:t xml:space="preserve">KMeans (k=5, StandardScaler-normalised on ROE, D/E, Revenue CAGR 5yr, PAT CAGR 5yr, OPM) segmented the universe into 5 descriptively-labelled clusters.</w:t>
      </w:r>
    </w:p>
    <w:p>
      <w:pPr>
        <w:spacing w:after="60"/>
        <w:jc w:val="center"/>
      </w:pPr>
      <w:r>
        <w:drawing>
          <wp:inline distT="0" distB="0" distL="0" distR="0">
            <wp:extent cx="4191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8534D"/>
          <w:sz w:val="18"/>
          <w:szCs w:val="18"/>
        </w:rPr>
        <w:t xml:space="preserve">Figure 4. Cluster sizes — 'High Leverage / Turnaround' is the largest segment (45 companies), reflecting the broad leverage spread in this universe.</w:t>
      </w:r>
    </w:p>
    <w:p>
      <w:pPr>
        <w:pStyle w:val="Heading1"/>
        <w:spacing w:after="150" w:before="300"/>
      </w:pPr>
      <w:r>
        <w:t xml:space="preserve">9. Deliverables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600"/>
        <w:gridCol w:w="2100"/>
      </w:tblGrid>
      <w:tr>
        <w:trPr>
          <w:tblHeader/>
        </w:trPr>
        <w:tc>
          <w:tcPr>
            <w:tcW w:type="dxa" w:w="7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6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shd w:fill="101A1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D-01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nifty100.db (SQLite)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0 FK violations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data/db/nifty100.db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D-02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load_audit.csv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reports/load_audit.csv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D-03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validation_failures.csv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16/16 rules run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reports/validation_failures.csv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D-04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exploratory_queries.sql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 — 10 queries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data/db/exploratory_queries.sql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D-05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financial_ratios table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1,041 rows, 0.00 diff vs source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SQLite: financial_ratios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D-06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capital_allocation.csv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reports/capital_allocation.csv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D-07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screener_output.xlsx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6 presets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reports/screener_output.xlsx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D-08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screener_config.yaml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config/screener_config.yaml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D-09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peer_comparison.xlsx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11 sheets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reports/peer_comparison.xlsx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D-10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Radar charts (92)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Substituted — interactive radar in dashboard (Peer Comparison page)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dashboard/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D-11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Dashboard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HTML/JS, 7 pages (substitutes Streamlit)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dashboard/nifty100_dashboard.html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D-12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valuation_summary.xlsx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reports/valuation_summary.xlsx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D-13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cashflow_intelligence.xlsx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reports/cashflow_intelligence.xlsx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D-14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pros_cons_generated.csv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 — 90/90 companies covered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reports/pros_cons_generated.csv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D-15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analysis_parsed.csv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partial source coverage, documented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reports/analysis_parsed.csv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D-16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Company Tearsheets (92 PDFs)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reports/tearsheets/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D-17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Sector Reports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10 of 11 sectors (see Section 7.1 note)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reports/sector/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D-18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Portfolio Summary PDF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reports/portfolio/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D-19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cluster_labels.csv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90/90 companies assigned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reports/cluster_labels.csv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D-20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FastAPI Server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Deferred — out of scope for this environment (see Section 10)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D-21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pytest_report.html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 — 56/56 tests pass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reports/pytest_report.html</w:t>
            </w:r>
          </w:p>
        </w:tc>
      </w:tr>
      <w:tr>
        <w:tc>
          <w:tcPr>
            <w:tcW w:type="dxa" w:w="700"/>
            <w:shd w:fill="F4F7F5" w:val="clear"/>
          </w:tcPr>
          <w:p>
            <w:r>
              <w:rPr>
                <w:sz w:val="17"/>
                <w:szCs w:val="17"/>
              </w:rPr>
              <w:t xml:space="preserve">D-22</w:t>
            </w:r>
          </w:p>
        </w:tc>
        <w:tc>
          <w:tcPr>
            <w:tcW w:type="dxa" w:w="3000"/>
            <w:shd w:fill="F4F7F5" w:val="clear"/>
          </w:tcPr>
          <w:p>
            <w:r>
              <w:rPr>
                <w:sz w:val="17"/>
                <w:szCs w:val="17"/>
              </w:rPr>
              <w:t xml:space="preserve">analyst_guide</w:t>
            </w:r>
          </w:p>
        </w:tc>
        <w:tc>
          <w:tcPr>
            <w:tcW w:type="dxa" w:w="3600"/>
            <w:shd w:fill="F4F7F5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4F7F5" w:val="clear"/>
          </w:tcPr>
          <w:p>
            <w:r>
              <w:rPr>
                <w:sz w:val="17"/>
                <w:szCs w:val="17"/>
              </w:rPr>
              <w:t xml:space="preserve">docs/analyst_guide.md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D-23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This build report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docs/Nifty100_Build_Report.docx/.pdf</w:t>
            </w:r>
          </w:p>
        </w:tc>
      </w:tr>
    </w:tbl>
    <w:p>
      <w:pPr>
        <w:pStyle w:val="Heading1"/>
        <w:spacing w:after="150" w:before="300"/>
      </w:pPr>
      <w:r>
        <w:t xml:space="preserve">10. Limitations &amp; Scope Adaptations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(Module 11, 16 FastAPI endpoints) was not stood up as a running service — this delivery environment does not support long-running background servers. The SQLite database and all analytics tables it would expose are complete and ready to wire to a FastAPI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dashboard is a self-contained HTML/JS application (Chart.js), not a Streamlit + Uvicorn service pair — chosen so the dashboard is viewable by simply opening a file, with no server, install, or network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of the 92 companies (JIOFIN, and one other with &lt;4 years of history) were excluded from the CAGR-dependent analytical universe (screener, health score, clustering) due to insufficient multi-year history — they remain fully present in the base company/P&amp;L/BS/CF tables.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 preset match-counts for Value Pick, Debt-Free Blue Chip, and Turnaround Watch fall outside the spec's expected ranges due to the simulated market_cap.xlsx valuation multiples running structurally higher than real Indian-market norms (see Section 6) — documented rather than silently recalibrated.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92 tearsheets were generated in full; 10 of 11 sector reports were generated (Conglomerates/Other sector companies lack sufficient multi-year history for the analytical universe and are addressable by lowering the coverage threshold if required).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 validity (DQ-13) was checked for null/empty values only; live HTTP HEAD requests against 1,457 BSE URLs were not performed in this build to avoid unnecessary external network calls during an automated pipeline run.</w:t>
      </w:r>
    </w:p>
    <w:p>
      <w:pPr>
        <w:pStyle w:val="Heading1"/>
        <w:spacing w:after="150" w:before="300"/>
      </w:pPr>
      <w:r>
        <w:t xml:space="preserve">11. Conclusion</w:t>
      </w:r>
    </w:p>
    <w:p>
      <w:pPr>
        <w:spacing w:after="140"/>
      </w:pPr>
      <w:r>
        <w:t xml:space="preserve">This build delivers the complete analytical substance of the Nifty 100 Financial Intelligence Platform specification — a validated ETL pipeline, a formula-accurate 50+ KPI ratio engine, a working investment screener, financial health scoring, sector and peer analytics, cash flow intelligence, NLP-assisted qualitative coverage, clustering, a 92-tearsheet PDF reporting suite, and an interactive dashboard — all backed by a 56-test automated suite with zero failures. The two scope adaptations (no live API server, HTML dashboard instead of Streamlit) preserve 100% of the underlying data model and analytics, and are straightforward to extend into the originally specified service architecture if a persistent server environment becomes available.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8534D"/>
        <w:sz w:val="16"/>
        <w:szCs w:val="16"/>
      </w:rPr>
      <w:t xml:space="preserve">Nifty 100 Financial Intelligence Platform — Build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01A16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01A16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9A7B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2a5803c851352088ca2aff9748523d8fc0c63c.png"/><Relationship Id="rId10" Type="http://schemas.openxmlformats.org/officeDocument/2006/relationships/image" Target="media/0aa60fba2af542b5adab042305ecc0879dafc443.png"/><Relationship Id="rId11" Type="http://schemas.openxmlformats.org/officeDocument/2006/relationships/image" Target="media/1c72581e867e15bf34ce87f8d02426e279b4c66f.png"/><Relationship Id="rId12" Type="http://schemas.openxmlformats.org/officeDocument/2006/relationships/image" Target="media/35adfcca2cd88a2d0932cedfaef7155709f3df3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2026-08-09T20:47:34.287Z</dcterms:created>
  <dcterms:modified xsi:type="dcterms:W3CDTF">2026-08-09T20:47:34.287Z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