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A1A1A"/>
          <w:sz w:val="44"/>
        </w:rPr>
        <w:t>RICARDO BENAVIDES</w:t>
      </w:r>
    </w:p>
    <w:p>
      <w:pPr>
        <w:spacing w:after="40"/>
      </w:pPr>
      <w:r>
        <w:rPr>
          <w:b/>
          <w:color w:val="0F7A5A"/>
          <w:sz w:val="23"/>
        </w:rPr>
        <w:t>Líder de BI &amp; Arquitecto de Datos SAP  ·  Integración SAP &amp; Databricks</w:t>
      </w:r>
    </w:p>
    <w:p>
      <w:pPr>
        <w:pBdr>
          <w:bottom w:val="single" w:sz="6" w:space="1" w:color="0F7A5A"/>
        </w:pBdr>
      </w:pPr>
      <w:r>
        <w:rPr>
          <w:color w:val="555555"/>
          <w:sz w:val="19"/>
        </w:rPr>
        <w:t>Monterrey, Nuevo León, México   |   rbenavides@dcsol.com.mx   |   rrbenavi@gmail.com   |   linkedin.com/in/rrbenavi</w:t>
      </w:r>
    </w:p>
    <w:p>
      <w:pPr>
        <w:spacing w:before="200"/>
        <w:pBdr>
          <w:bottom w:val="single" w:sz="6" w:space="1" w:color="0F7A5A"/>
        </w:pBdr>
      </w:pPr>
      <w:r>
        <w:rPr>
          <w:rFonts w:ascii="Calibri" w:hAnsi="Calibri"/>
          <w:b/>
          <w:color w:val="0F7A5A"/>
          <w:sz w:val="22"/>
        </w:rPr>
        <w:t>PERFIL PROFESIONAL</w:t>
      </w:r>
    </w:p>
    <w:p>
      <w:r>
        <w:rPr>
          <w:b w:val="0"/>
          <w:sz w:val="20"/>
        </w:rPr>
        <w:t xml:space="preserve">Líder en Business Intelligence y Arquitectura de Datos SAP con </w:t>
      </w:r>
      <w:r>
        <w:rPr>
          <w:b/>
          <w:sz w:val="20"/>
        </w:rPr>
        <w:t>más de 19 años de experiencia</w:t>
      </w:r>
      <w:r>
        <w:rPr>
          <w:b w:val="0"/>
          <w:sz w:val="20"/>
        </w:rPr>
        <w:t xml:space="preserve"> diseñando, implementando y optimizando soluciones de datos que impulsan decisiones estratégicas. Especialista en </w:t>
      </w:r>
      <w:r>
        <w:rPr>
          <w:b/>
          <w:sz w:val="20"/>
        </w:rPr>
        <w:t>SAP BW/4HANA, SAP Analytics Cloud (SAC), SAP BPC y SAP BusinessObjects</w:t>
      </w:r>
      <w:r>
        <w:rPr>
          <w:b w:val="0"/>
          <w:sz w:val="20"/>
        </w:rPr>
        <w:t>, con integración SAP–Databricks. Como líder, dirijo equipos multidisciplinarios y proyectos de alto impacto, combinando visión de negocio y profundidad técnica para convertir datos en ventajas competitivas medibles en industria, consumo masivo, sector hotelero y gobierno.</w:t>
      </w:r>
    </w:p>
    <w:p>
      <w:pPr>
        <w:pStyle w:val="ListBullet"/>
        <w:spacing w:after="40"/>
      </w:pPr>
      <w:r>
        <w:rPr>
          <w:b w:val="0"/>
          <w:sz w:val="20"/>
        </w:rPr>
        <w:t xml:space="preserve">Reducción de tiempos de análisis en más de </w:t>
      </w:r>
      <w:r>
        <w:rPr>
          <w:b/>
          <w:sz w:val="20"/>
        </w:rPr>
        <w:t>40%</w:t>
      </w:r>
      <w:r>
        <w:rPr>
          <w:b w:val="0"/>
          <w:sz w:val="20"/>
        </w:rPr>
        <w:t>.</w:t>
      </w:r>
    </w:p>
    <w:p>
      <w:pPr>
        <w:pStyle w:val="ListBullet"/>
        <w:spacing w:after="40"/>
      </w:pPr>
      <w:r>
        <w:rPr>
          <w:b w:val="0"/>
          <w:sz w:val="20"/>
        </w:rPr>
        <w:t xml:space="preserve">Mejora de la precisión de indicadores clave para </w:t>
      </w:r>
      <w:r>
        <w:rPr>
          <w:b/>
          <w:sz w:val="20"/>
        </w:rPr>
        <w:t>12+ áreas de negocio</w:t>
      </w:r>
      <w:r>
        <w:rPr>
          <w:b w:val="0"/>
          <w:sz w:val="20"/>
        </w:rPr>
        <w:t>.</w:t>
      </w:r>
    </w:p>
    <w:p>
      <w:pPr>
        <w:pStyle w:val="ListBullet"/>
        <w:spacing w:after="40"/>
      </w:pPr>
      <w:r>
        <w:rPr>
          <w:b w:val="0"/>
          <w:sz w:val="20"/>
        </w:rPr>
        <w:t xml:space="preserve">Beneficio económico de </w:t>
      </w:r>
      <w:r>
        <w:rPr>
          <w:b/>
          <w:sz w:val="20"/>
        </w:rPr>
        <w:t>€1.5M</w:t>
      </w:r>
      <w:r>
        <w:rPr>
          <w:b w:val="0"/>
          <w:sz w:val="20"/>
        </w:rPr>
        <w:t xml:space="preserve"> generado en una solución de inteligencia de datos para manufactura.</w:t>
      </w:r>
    </w:p>
    <w:p>
      <w:pPr>
        <w:pStyle w:val="ListBullet"/>
        <w:spacing w:after="40"/>
      </w:pPr>
      <w:r>
        <w:rPr>
          <w:b/>
          <w:sz w:val="20"/>
        </w:rPr>
        <w:t>50%</w:t>
      </w:r>
      <w:r>
        <w:rPr>
          <w:b w:val="0"/>
          <w:sz w:val="20"/>
        </w:rPr>
        <w:t xml:space="preserve"> de ahorro en licenciamiento de SAP Analytics Cloud mediante estrategia de migración.</w:t>
      </w:r>
    </w:p>
    <w:p>
      <w:pPr>
        <w:spacing w:before="200"/>
        <w:pBdr>
          <w:bottom w:val="single" w:sz="6" w:space="1" w:color="0F7A5A"/>
        </w:pBdr>
      </w:pPr>
      <w:r>
        <w:rPr>
          <w:rFonts w:ascii="Calibri" w:hAnsi="Calibri"/>
          <w:b/>
          <w:color w:val="0F7A5A"/>
          <w:sz w:val="22"/>
        </w:rPr>
        <w:t>COMPETENCIAS CLAVE</w:t>
      </w:r>
    </w:p>
    <w:p>
      <w:pPr>
        <w:spacing w:after="60"/>
      </w:pPr>
      <w:r>
        <w:rPr>
          <w:b/>
          <w:color w:val="1A1A1A"/>
          <w:sz w:val="20"/>
        </w:rPr>
        <w:t xml:space="preserve">Arquitectura &amp; Plataformas: </w:t>
      </w:r>
      <w:r>
        <w:rPr>
          <w:sz w:val="20"/>
        </w:rPr>
        <w:t>SAP BW/4HANA · SAP Analytics Cloud (SAC) · SAP BPC · SAP BusinessObjects (Web Intelligence, Analysis OLAP, Design Studio, Lumira) · SAP Data Intelligence · Analysis for Office · Microsoft Azure · Databricks · ABAP</w:t>
      </w:r>
    </w:p>
    <w:p>
      <w:pPr>
        <w:spacing w:after="60"/>
      </w:pPr>
      <w:r>
        <w:rPr>
          <w:b/>
          <w:color w:val="1A1A1A"/>
          <w:sz w:val="20"/>
        </w:rPr>
        <w:t xml:space="preserve">Disciplinas: </w:t>
      </w:r>
      <w:r>
        <w:rPr>
          <w:sz w:val="20"/>
        </w:rPr>
        <w:t>Arquitectura y modelado de datos · Analítica avanzada e inteligencia prescriptiva · Gobierno de datos · Data Volume Management · Optimización de desempeño · Tableros ejecutivos · Estrategia de datos y modernización</w:t>
      </w:r>
    </w:p>
    <w:p>
      <w:pPr>
        <w:spacing w:after="60"/>
      </w:pPr>
      <w:r>
        <w:rPr>
          <w:b/>
          <w:color w:val="1A1A1A"/>
          <w:sz w:val="20"/>
        </w:rPr>
        <w:t xml:space="preserve">Liderazgo: </w:t>
      </w:r>
      <w:r>
        <w:rPr>
          <w:sz w:val="20"/>
        </w:rPr>
        <w:t>Dirección de equipos multidisciplinarios · Gestión de proyectos · Diseño de propuestas técnicas · Optimización de costos y licenciamiento · Alineación negocio–TI</w:t>
      </w:r>
    </w:p>
    <w:p>
      <w:pPr>
        <w:spacing w:before="200"/>
        <w:pBdr>
          <w:bottom w:val="single" w:sz="6" w:space="1" w:color="0F7A5A"/>
        </w:pBdr>
      </w:pPr>
      <w:r>
        <w:rPr>
          <w:rFonts w:ascii="Calibri" w:hAnsi="Calibri"/>
          <w:b/>
          <w:color w:val="0F7A5A"/>
          <w:sz w:val="22"/>
        </w:rPr>
        <w:t>EXPERIENCIA PROFESIONAL</w:t>
      </w:r>
    </w:p>
    <w:p>
      <w:pPr>
        <w:tabs>
          <w:tab w:pos="10224" w:val="right"/>
        </w:tabs>
        <w:spacing w:before="120" w:after="20"/>
      </w:pPr>
      <w:r>
        <w:rPr>
          <w:b/>
          <w:color w:val="1A1A1A"/>
          <w:sz w:val="21"/>
        </w:rPr>
        <w:t>Arquitecto SAP BW/4HANA · SAP Analytics Cloud</w:t>
      </w:r>
      <w:r>
        <w:rPr>
          <w:b/>
          <w:color w:val="0F7A5A"/>
          <w:sz w:val="21"/>
        </w:rPr>
        <w:t xml:space="preserve">  —  HEINEKEN México</w:t>
      </w:r>
      <w:r>
        <w:rPr>
          <w:i/>
          <w:color w:val="555555"/>
          <w:sz w:val="18"/>
        </w:rPr>
        <w:tab/>
        <w:t>abr. 2023 – Actualidad</w:t>
      </w:r>
    </w:p>
    <w:p>
      <w:r>
        <w:rPr>
          <w:sz w:val="19"/>
        </w:rPr>
        <w:t>Líder del equipo de Business Intelligence SAP y arquitecto de la plataforma de datos; adicionalmente impulso la integración SAP–Databricks.</w:t>
      </w:r>
    </w:p>
    <w:p>
      <w:pPr>
        <w:pStyle w:val="ListBullet"/>
        <w:spacing w:after="40"/>
      </w:pPr>
      <w:r>
        <w:rPr>
          <w:b/>
          <w:sz w:val="20"/>
        </w:rPr>
        <w:t xml:space="preserve">Migración SAP BO → SAP SAC: </w:t>
      </w:r>
      <w:r>
        <w:rPr>
          <w:b w:val="0"/>
          <w:sz w:val="20"/>
        </w:rPr>
        <w:t>diseño, liderazgo y ejecución; propuesta de optimización de licencias de planning con ahorro de licenciamiento.</w:t>
      </w:r>
    </w:p>
    <w:p>
      <w:pPr>
        <w:pStyle w:val="ListBullet"/>
        <w:spacing w:after="40"/>
      </w:pPr>
      <w:r>
        <w:rPr>
          <w:b/>
          <w:sz w:val="20"/>
        </w:rPr>
        <w:t xml:space="preserve">Estrategia SAC → Analysis for Office: </w:t>
      </w:r>
      <w:r>
        <w:rPr>
          <w:b w:val="0"/>
          <w:sz w:val="20"/>
        </w:rPr>
        <w:t>reducción del 50% del costo de licenciamiento de SAP Analytics Cloud (2024 y 2025).</w:t>
      </w:r>
    </w:p>
    <w:p>
      <w:pPr>
        <w:pStyle w:val="ListBullet"/>
        <w:spacing w:after="40"/>
      </w:pPr>
      <w:r>
        <w:rPr>
          <w:b/>
          <w:sz w:val="20"/>
        </w:rPr>
        <w:t xml:space="preserve">Data Volume Management: </w:t>
      </w:r>
      <w:r>
        <w:rPr>
          <w:b w:val="0"/>
          <w:sz w:val="20"/>
        </w:rPr>
        <w:t>−50% de espacio en base de datos y −33% en servidores aplicativos.</w:t>
      </w:r>
    </w:p>
    <w:p>
      <w:pPr>
        <w:pStyle w:val="ListBullet"/>
        <w:spacing w:after="40"/>
      </w:pPr>
      <w:r>
        <w:rPr>
          <w:b/>
          <w:sz w:val="20"/>
        </w:rPr>
        <w:t xml:space="preserve">Migraciones SAP BW/4HANA 2023 y SAP Data Intelligence </w:t>
      </w:r>
      <w:r>
        <w:rPr>
          <w:b w:val="0"/>
          <w:sz w:val="20"/>
        </w:rPr>
        <w:t>ejecutadas sin contratiempos.</w:t>
      </w:r>
    </w:p>
    <w:p>
      <w:pPr>
        <w:pStyle w:val="ListBullet"/>
        <w:spacing w:after="40"/>
      </w:pPr>
      <w:r>
        <w:rPr>
          <w:b/>
          <w:sz w:val="20"/>
        </w:rPr>
        <w:t xml:space="preserve">Alta disponibilidad: </w:t>
      </w:r>
      <w:r>
        <w:rPr>
          <w:b w:val="0"/>
          <w:sz w:val="20"/>
        </w:rPr>
        <w:t>resolución del incidente crítico (dic. 2025) de ventas, distribución y pedidos por falla en el sistema fuente.</w:t>
      </w:r>
    </w:p>
    <w:p>
      <w:pPr>
        <w:pStyle w:val="ListBullet"/>
        <w:spacing w:after="40"/>
      </w:pPr>
      <w:r>
        <w:rPr>
          <w:b/>
          <w:sz w:val="20"/>
        </w:rPr>
        <w:t xml:space="preserve">Automatización </w:t>
      </w:r>
      <w:r>
        <w:rPr>
          <w:b w:val="0"/>
          <w:sz w:val="20"/>
        </w:rPr>
        <w:t>del seguimiento diario de ventas a nivel OpCo.</w:t>
      </w:r>
    </w:p>
    <w:p>
      <w:pPr>
        <w:tabs>
          <w:tab w:pos="10224" w:val="right"/>
        </w:tabs>
        <w:spacing w:before="120" w:after="20"/>
      </w:pPr>
      <w:r>
        <w:rPr>
          <w:b/>
          <w:color w:val="1A1A1A"/>
          <w:sz w:val="21"/>
        </w:rPr>
        <w:t>Líder Técnico — SAP Analytics Cloud</w:t>
      </w:r>
      <w:r>
        <w:rPr>
          <w:b/>
          <w:color w:val="0F7A5A"/>
          <w:sz w:val="21"/>
        </w:rPr>
        <w:t xml:space="preserve">  —  HEINEKEN México</w:t>
      </w:r>
      <w:r>
        <w:rPr>
          <w:i/>
          <w:color w:val="555555"/>
          <w:sz w:val="18"/>
        </w:rPr>
        <w:tab/>
        <w:t>2023</w:t>
      </w:r>
    </w:p>
    <w:p>
      <w:pPr>
        <w:pStyle w:val="ListBullet"/>
        <w:spacing w:after="40"/>
      </w:pPr>
      <w:r>
        <w:rPr>
          <w:b/>
          <w:sz w:val="20"/>
        </w:rPr>
        <w:t xml:space="preserve">Líder de equipo de 12 recursos en la migración de 300+ reportes de SAP BO a SAP Analytics Cloud: </w:t>
      </w:r>
      <w:r>
        <w:rPr>
          <w:b w:val="0"/>
          <w:sz w:val="20"/>
        </w:rPr>
        <w:t>estrategia, templates, coordinación, resolución técnica y puesta en productivo.</w:t>
      </w:r>
    </w:p>
    <w:p>
      <w:pPr>
        <w:tabs>
          <w:tab w:pos="10224" w:val="right"/>
        </w:tabs>
        <w:spacing w:before="120" w:after="20"/>
      </w:pPr>
      <w:r>
        <w:rPr>
          <w:b/>
          <w:color w:val="1A1A1A"/>
          <w:sz w:val="21"/>
        </w:rPr>
        <w:t>Consultor SAP BW / BO / BPC (Sr.)</w:t>
      </w:r>
      <w:r>
        <w:rPr>
          <w:b/>
          <w:color w:val="0F7A5A"/>
          <w:sz w:val="21"/>
        </w:rPr>
        <w:t xml:space="preserve">  —  HEINEKEN México</w:t>
      </w:r>
      <w:r>
        <w:rPr>
          <w:i/>
          <w:color w:val="555555"/>
          <w:sz w:val="18"/>
        </w:rPr>
        <w:tab/>
        <w:t>ago. 2019 – abr. 2023</w:t>
      </w:r>
    </w:p>
    <w:p>
      <w:pPr>
        <w:pStyle w:val="ListBullet"/>
        <w:spacing w:after="40"/>
      </w:pPr>
      <w:r>
        <w:rPr>
          <w:b w:val="0"/>
          <w:sz w:val="20"/>
        </w:rPr>
        <w:t>Soluciones BI: W&amp;T2 (logística), Commercial Scorecard, Cartera Nacional, CoVa, P&amp;CI, SD–Lista de Precios.</w:t>
      </w:r>
    </w:p>
    <w:p>
      <w:pPr>
        <w:pStyle w:val="ListBullet"/>
        <w:spacing w:after="40"/>
      </w:pPr>
      <w:r>
        <w:rPr>
          <w:b w:val="0"/>
          <w:sz w:val="20"/>
        </w:rPr>
        <w:t>Migración SAP BPC 10.1 → 11.1: post-instalación, respaldo/restauración del modelo de consolidación y remediación.</w:t>
      </w:r>
    </w:p>
    <w:p>
      <w:pPr>
        <w:tabs>
          <w:tab w:pos="10224" w:val="right"/>
        </w:tabs>
        <w:spacing w:before="120" w:after="20"/>
      </w:pPr>
      <w:r>
        <w:rPr>
          <w:b/>
          <w:color w:val="1A1A1A"/>
          <w:sz w:val="21"/>
        </w:rPr>
        <w:t>Consultor SAP BW (Sr.)</w:t>
      </w:r>
      <w:r>
        <w:rPr>
          <w:b/>
          <w:color w:val="0F7A5A"/>
          <w:sz w:val="21"/>
        </w:rPr>
        <w:t xml:space="preserve">  —  Grupo AlEn</w:t>
      </w:r>
      <w:r>
        <w:rPr>
          <w:i/>
          <w:color w:val="555555"/>
          <w:sz w:val="18"/>
        </w:rPr>
        <w:tab/>
        <w:t>ago. 2018 – ago. 2019</w:t>
      </w:r>
    </w:p>
    <w:p>
      <w:pPr>
        <w:pStyle w:val="ListBullet"/>
        <w:spacing w:after="40"/>
      </w:pPr>
      <w:r>
        <w:rPr>
          <w:b w:val="0"/>
          <w:sz w:val="20"/>
        </w:rPr>
        <w:t>Soluciones BW para indicadores Nielsen (Scantrack), Foto del Éxito (rentabilidad) y Recursos Humanos sobre BW on HANA.</w:t>
      </w:r>
    </w:p>
    <w:p>
      <w:pPr>
        <w:tabs>
          <w:tab w:pos="10224" w:val="right"/>
        </w:tabs>
        <w:spacing w:before="120" w:after="20"/>
      </w:pPr>
      <w:r>
        <w:rPr>
          <w:b/>
          <w:color w:val="1A1A1A"/>
          <w:sz w:val="21"/>
        </w:rPr>
        <w:t>Líder Técnico SAP BI/BPC · SAP Project Manager</w:t>
      </w:r>
      <w:r>
        <w:rPr>
          <w:b/>
          <w:color w:val="0F7A5A"/>
          <w:sz w:val="21"/>
        </w:rPr>
        <w:t xml:space="preserve">  —  Grupo Pueblo Bonito</w:t>
      </w:r>
      <w:r>
        <w:rPr>
          <w:i/>
          <w:color w:val="555555"/>
          <w:sz w:val="18"/>
        </w:rPr>
        <w:tab/>
        <w:t>nov. 2016 – ago. 2018</w:t>
      </w:r>
    </w:p>
    <w:p>
      <w:pPr>
        <w:pStyle w:val="ListBullet"/>
        <w:spacing w:after="40"/>
      </w:pPr>
      <w:r>
        <w:rPr>
          <w:b w:val="0"/>
          <w:sz w:val="20"/>
        </w:rPr>
        <w:t>Consolidación financiera del grupo, reportes de operación hotelera (Estado de Resultados), IFRS y solución Mobile.</w:t>
      </w:r>
    </w:p>
    <w:p>
      <w:pPr>
        <w:pStyle w:val="ListBullet"/>
        <w:spacing w:after="40"/>
      </w:pPr>
      <w:r>
        <w:rPr>
          <w:b w:val="0"/>
          <w:sz w:val="20"/>
        </w:rPr>
        <w:t>Gestión de proyectos: BPC, estabilización FI/CO/MM, Portal de Proveedores y Contabilidad Electrónica.</w:t>
      </w:r>
    </w:p>
    <w:p>
      <w:pPr>
        <w:tabs>
          <w:tab w:pos="10224" w:val="right"/>
        </w:tabs>
        <w:spacing w:before="120" w:after="20"/>
      </w:pPr>
      <w:r>
        <w:rPr>
          <w:b/>
          <w:color w:val="1A1A1A"/>
          <w:sz w:val="21"/>
        </w:rPr>
        <w:t>SAP BPC Technical Lead · Senior SAP BW Consultant</w:t>
      </w:r>
      <w:r>
        <w:rPr>
          <w:b/>
          <w:color w:val="0F7A5A"/>
          <w:sz w:val="21"/>
        </w:rPr>
        <w:t xml:space="preserve">  —  Fibra Inn</w:t>
      </w:r>
      <w:r>
        <w:rPr>
          <w:i/>
          <w:color w:val="555555"/>
          <w:sz w:val="18"/>
        </w:rPr>
        <w:tab/>
        <w:t>nov. 2015 – ene. 2017</w:t>
      </w:r>
    </w:p>
    <w:p>
      <w:pPr>
        <w:pStyle w:val="ListBullet"/>
        <w:spacing w:after="40"/>
      </w:pPr>
      <w:r>
        <w:rPr>
          <w:b w:val="0"/>
          <w:sz w:val="20"/>
        </w:rPr>
        <w:t>Planeación de presupuesto de operaciones hoteleras; desarrollo BI para módulos financieros, reportes BMV y Mobile.</w:t>
      </w:r>
    </w:p>
    <w:p>
      <w:pPr>
        <w:tabs>
          <w:tab w:pos="10224" w:val="right"/>
        </w:tabs>
        <w:spacing w:before="120" w:after="20"/>
      </w:pPr>
      <w:r>
        <w:rPr>
          <w:b/>
          <w:color w:val="1A1A1A"/>
          <w:sz w:val="21"/>
        </w:rPr>
        <w:t>Senior SAP BW Consultant</w:t>
      </w:r>
      <w:r>
        <w:rPr>
          <w:b/>
          <w:color w:val="0F7A5A"/>
          <w:sz w:val="21"/>
        </w:rPr>
        <w:t xml:space="preserve">  —  CEMEX</w:t>
      </w:r>
      <w:r>
        <w:rPr>
          <w:i/>
          <w:color w:val="555555"/>
          <w:sz w:val="18"/>
        </w:rPr>
        <w:tab/>
        <w:t>feb. 2014 – oct. 2015</w:t>
      </w:r>
    </w:p>
    <w:p>
      <w:pPr>
        <w:pStyle w:val="ListBullet"/>
        <w:spacing w:after="40"/>
      </w:pPr>
      <w:r>
        <w:rPr>
          <w:b w:val="0"/>
          <w:sz w:val="20"/>
        </w:rPr>
        <w:t>Modelos de rentabilidad (México y Colombia), cartera legal/vencida e indicadores de RH integrando fuentes SAP y no SAP.</w:t>
      </w:r>
    </w:p>
    <w:p>
      <w:pPr>
        <w:spacing w:before="200"/>
        <w:pBdr>
          <w:bottom w:val="single" w:sz="6" w:space="1" w:color="0F7A5A"/>
        </w:pBdr>
      </w:pPr>
      <w:r>
        <w:rPr>
          <w:rFonts w:ascii="Calibri" w:hAnsi="Calibri"/>
          <w:b/>
          <w:color w:val="0F7A5A"/>
          <w:sz w:val="22"/>
        </w:rPr>
        <w:t>CASO DE ÉXITO DESTACADO — D&amp;C SOLUTIONS</w:t>
      </w:r>
    </w:p>
    <w:p>
      <w:r>
        <w:rPr>
          <w:b w:val="0"/>
          <w:sz w:val="20"/>
        </w:rPr>
        <w:t xml:space="preserve">Solución integral de inteligencia de datos para un cliente del sector manufacturero con múltiples plantas, que unifica y estandariza la gestión de contratos de suministro, pasando de un control manual y reactivo a uno proactivo. Impacto: </w:t>
      </w:r>
      <w:r>
        <w:rPr>
          <w:b/>
          <w:sz w:val="20"/>
        </w:rPr>
        <w:t>beneficio económico proyectado de €1.5M</w:t>
      </w:r>
      <w:r>
        <w:rPr>
          <w:b w:val="0"/>
          <w:sz w:val="20"/>
        </w:rPr>
        <w:t xml:space="preserve"> (€1.4M en ahorros directos + €100k en costos evitados), </w:t>
      </w:r>
      <w:r>
        <w:rPr>
          <w:b/>
          <w:sz w:val="20"/>
        </w:rPr>
        <w:t>sin inversión adicional en infraestructura tecnológica</w:t>
      </w:r>
      <w:r>
        <w:rPr>
          <w:b w:val="0"/>
          <w:sz w:val="20"/>
        </w:rPr>
        <w:t>.</w:t>
      </w:r>
    </w:p>
    <w:p>
      <w:pPr>
        <w:spacing w:before="200"/>
        <w:pBdr>
          <w:bottom w:val="single" w:sz="6" w:space="1" w:color="0F7A5A"/>
        </w:pBdr>
      </w:pPr>
      <w:r>
        <w:rPr>
          <w:rFonts w:ascii="Calibri" w:hAnsi="Calibri"/>
          <w:b/>
          <w:color w:val="0F7A5A"/>
          <w:sz w:val="22"/>
        </w:rPr>
        <w:t>CLIENTES Y ORGANIZACIONES</w:t>
      </w:r>
    </w:p>
    <w:p>
      <w:r>
        <w:rPr>
          <w:sz w:val="20"/>
        </w:rPr>
        <w:t>CEMEX · NEMAK · VITRO · Grupo AlEn · Fibra Inn · Grupo Pueblo Bonito · Papel San Francisco · SADM · Mega Alimentos · Peñafiel · HEINEKEN México · Minera México</w:t>
      </w:r>
    </w:p>
    <w:p>
      <w:pPr>
        <w:spacing w:before="200"/>
        <w:pBdr>
          <w:bottom w:val="single" w:sz="6" w:space="1" w:color="0F7A5A"/>
        </w:pBdr>
      </w:pPr>
      <w:r>
        <w:rPr>
          <w:rFonts w:ascii="Calibri" w:hAnsi="Calibri"/>
          <w:b/>
          <w:color w:val="0F7A5A"/>
          <w:sz w:val="22"/>
        </w:rPr>
        <w:t>FORMACIÓN · CERTIFICACIONES · IDIOMAS</w:t>
      </w:r>
    </w:p>
    <w:p>
      <w:pPr>
        <w:pStyle w:val="ListBullet"/>
        <w:spacing w:after="40"/>
      </w:pPr>
      <w:r>
        <w:rPr>
          <w:b/>
          <w:sz w:val="20"/>
        </w:rPr>
        <w:t>Licenciado en Ciencias Computacionales (TI)</w:t>
      </w:r>
      <w:r>
        <w:rPr>
          <w:b w:val="0"/>
          <w:sz w:val="20"/>
        </w:rPr>
        <w:t xml:space="preserve"> — Universidad Autónoma de Nuevo León, Facultad de Ciencias Físico Matemáticas · 2002–2006.</w:t>
      </w:r>
    </w:p>
    <w:p>
      <w:pPr>
        <w:pStyle w:val="ListBullet"/>
        <w:spacing w:after="40"/>
      </w:pPr>
      <w:r>
        <w:rPr>
          <w:b/>
          <w:sz w:val="20"/>
        </w:rPr>
        <w:t>SAP NetWeaver 2004s — Business Intelligence</w:t>
      </w:r>
      <w:r>
        <w:rPr>
          <w:b w:val="0"/>
          <w:sz w:val="20"/>
        </w:rPr>
        <w:t xml:space="preserve"> · SAP · oct. 2008 · ID 0006064683.</w:t>
      </w:r>
    </w:p>
    <w:p>
      <w:pPr>
        <w:pStyle w:val="ListBullet"/>
        <w:spacing w:after="40"/>
      </w:pPr>
      <w:r>
        <w:rPr>
          <w:b/>
          <w:sz w:val="20"/>
        </w:rPr>
        <w:t xml:space="preserve">Idiomas: </w:t>
      </w:r>
      <w:r>
        <w:rPr>
          <w:b w:val="0"/>
          <w:sz w:val="20"/>
        </w:rPr>
        <w:t>Español (nativo) · Inglés (intermedio).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