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— 1.01 ASSINATURA_E_PLANOS (versão implantada V1)</w:t>
      </w:r>
    </w:p>
    <w:p>
      <w:pPr>
        <w:pStyle w:val="IntenseQuote"/>
      </w:pPr>
      <w:r>
        <w:rPr>
          <w:b/>
        </w:rPr>
        <w:t>Para que serve este documento.</w:t>
      </w:r>
      <w:r>
        <w:t xml:space="preserve"> A EF diz </w:t>
      </w:r>
      <w:r>
        <w:rPr>
          <w:i/>
        </w:rPr>
        <w:t>o que o módulo deve fazer</w:t>
      </w:r>
      <w:r>
        <w:t xml:space="preserve"> (contrato); a MC diz </w:t>
      </w:r>
      <w:r>
        <w:rPr>
          <w:i/>
        </w:rPr>
        <w:t>o que ainda falta</w:t>
      </w:r>
      <w:r>
        <w:t>;</w:t>
      </w:r>
    </w:p>
    <w:p>
      <w:pPr>
        <w:pStyle w:val="IntenseQuote"/>
      </w:pPr>
      <w:r>
        <w:t xml:space="preserve">este </w:t>
      </w:r>
      <w:r>
        <w:rPr>
          <w:b/>
        </w:rPr>
        <w:t>MANUAL diz o que FOI construído e por quê</w:t>
      </w:r>
      <w:r>
        <w:t xml:space="preserve"> — a lógica, os relacionamentos com outros módulos, os campos e o</w:t>
      </w:r>
    </w:p>
    <w:p>
      <w:pPr>
        <w:pStyle w:val="IntenseQuote"/>
      </w:pPr>
      <w:r>
        <w:t>comportamento real no EprosERP. É a base para entender o módulo sem ler o código. Reflete a implantação V1</w:t>
      </w:r>
    </w:p>
    <w:p>
      <w:pPr>
        <w:pStyle w:val="IntenseQuote"/>
      </w:pPr>
      <w:r>
        <w:t xml:space="preserve">(migrations </w:t>
      </w:r>
      <w:r>
        <w:rPr>
          <w:rFonts w:ascii="Courier New" w:hAnsi="Courier New"/>
          <w:sz w:val="18"/>
        </w:rPr>
        <w:t>Implanta_1_01_AssinaturaPlanos</w:t>
      </w:r>
      <w:r>
        <w:t xml:space="preserve"> + </w:t>
      </w:r>
      <w:r>
        <w:rPr>
          <w:rFonts w:ascii="Courier New" w:hAnsi="Courier New"/>
          <w:sz w:val="18"/>
        </w:rPr>
        <w:t>Fecha_1_01_StatusSaaS_Enums</w:t>
      </w:r>
      <w:r>
        <w:t>).</w:t>
      </w:r>
    </w:p>
    <w:p>
      <w:pPr>
        <w:pStyle w:val="Heading2"/>
      </w:pPr>
      <w:r>
        <w:t>1. O que o módulo faz</w:t>
      </w:r>
    </w:p>
    <w:p>
      <w:r>
        <w:t xml:space="preserve">Administra o </w:t>
      </w:r>
      <w:r>
        <w:rPr>
          <w:b/>
        </w:rPr>
        <w:t>catálogo comercial de planos</w:t>
      </w:r>
      <w:r>
        <w:t xml:space="preserve"> do Epros (o produto SaaS que o Siser vende), a </w:t>
      </w:r>
      <w:r>
        <w:rPr>
          <w:b/>
        </w:rPr>
        <w:t>assinatura</w:t>
      </w:r>
      <w:r>
        <w:t xml:space="preserve"> de cada</w:t>
      </w:r>
    </w:p>
    <w:p>
      <w:r>
        <w:t xml:space="preserve">cliente/tenant, a </w:t>
      </w:r>
      <w:r>
        <w:rPr>
          <w:b/>
        </w:rPr>
        <w:t>cobrança</w:t>
      </w:r>
      <w:r>
        <w:t xml:space="preserve"> (faturas + PIX) e o </w:t>
      </w:r>
      <w:r>
        <w:rPr>
          <w:b/>
        </w:rPr>
        <w:t>bloqueio por inadimplência</w:t>
      </w:r>
      <w:r>
        <w:t>. É a espinha do modelo landlord→tenant:</w:t>
      </w:r>
    </w:p>
    <w:p>
      <w:r>
        <w:t>o Siser define os planos, o cliente contrata, o sistema fatura e controla o acesso conforme o pagamento.</w:t>
      </w:r>
    </w:p>
    <w:p>
      <w:pPr>
        <w:pStyle w:val="Heading2"/>
      </w:pPr>
      <w:r>
        <w:t>2. Onde vive no código</w:t>
      </w:r>
    </w:p>
    <w:p>
      <w:pPr>
        <w:pStyle w:val="ListBullet"/>
      </w:pPr>
      <w:r>
        <w:rPr>
          <w:b/>
        </w:rPr>
        <w:t>`src/Modules/Epros.Modules.GestaoClientes`</w:t>
      </w:r>
      <w:r>
        <w:t xml:space="preserve"> — entidades de domínio (Plano, GrupoPlano, ModuloPlano, Cliente,</w:t>
      </w:r>
    </w:p>
    <w:p>
      <w:r>
        <w:t xml:space="preserve">  Endereco, Fatura, FaturaItem, PagamentoFatura, Cupom), DbContext </w:t>
      </w:r>
      <w:r>
        <w:rPr>
          <w:rFonts w:ascii="Courier New" w:hAnsi="Courier New"/>
          <w:sz w:val="18"/>
        </w:rPr>
        <w:t>ContextGestaoClientes</w:t>
      </w:r>
      <w:r>
        <w:t>, jobs, handlers.</w:t>
      </w:r>
    </w:p>
    <w:p>
      <w:pPr>
        <w:pStyle w:val="ListBullet"/>
      </w:pPr>
      <w:r>
        <w:rPr>
          <w:b/>
        </w:rPr>
        <w:t>`src/Modules/Epros.Modules.Aplicativo`</w:t>
      </w:r>
      <w:r>
        <w:t xml:space="preserve"> — comandos/queries/handlers da Assinatura e do Cupom.</w:t>
      </w:r>
    </w:p>
    <w:p>
      <w:pPr>
        <w:pStyle w:val="ListBullet"/>
      </w:pPr>
      <w:r>
        <w:rPr>
          <w:b/>
        </w:rPr>
        <w:t>`src/API/Epros.API/Controllers`</w:t>
      </w:r>
      <w:r>
        <w:t xml:space="preserve"> — </w:t>
      </w:r>
      <w:r>
        <w:rPr>
          <w:rFonts w:ascii="Courier New" w:hAnsi="Courier New"/>
          <w:sz w:val="18"/>
        </w:rPr>
        <w:t>PlanosController</w:t>
      </w:r>
      <w:r>
        <w:t xml:space="preserve">, </w:t>
      </w:r>
      <w:r>
        <w:rPr>
          <w:rFonts w:ascii="Courier New" w:hAnsi="Courier New"/>
          <w:sz w:val="18"/>
        </w:rPr>
        <w:t>GruposPlanoController</w:t>
      </w:r>
      <w:r>
        <w:t xml:space="preserve">, </w:t>
      </w:r>
      <w:r>
        <w:rPr>
          <w:rFonts w:ascii="Courier New" w:hAnsi="Courier New"/>
          <w:sz w:val="18"/>
        </w:rPr>
        <w:t>FaturasController</w:t>
      </w:r>
      <w:r>
        <w:t>,</w:t>
      </w:r>
    </w:p>
    <w:p>
      <w:r>
        <w:t xml:space="preserve">  </w:t>
      </w:r>
      <w:r>
        <w:rPr>
          <w:rFonts w:ascii="Courier New" w:hAnsi="Courier New"/>
          <w:sz w:val="18"/>
        </w:rPr>
        <w:t>AssinaturasController</w:t>
      </w:r>
      <w:r>
        <w:t xml:space="preserve">, </w:t>
      </w:r>
      <w:r>
        <w:rPr>
          <w:rFonts w:ascii="Courier New" w:hAnsi="Courier New"/>
          <w:sz w:val="18"/>
        </w:rPr>
        <w:t>CuponsController</w:t>
      </w:r>
      <w:r>
        <w:t xml:space="preserve"> (rota base </w:t>
      </w:r>
      <w:r>
        <w:rPr>
          <w:rFonts w:ascii="Courier New" w:hAnsi="Courier New"/>
          <w:sz w:val="18"/>
        </w:rPr>
        <w:t>/api/v1/...</w:t>
      </w:r>
      <w:r>
        <w:t>).</w:t>
      </w:r>
    </w:p>
    <w:p>
      <w:pPr>
        <w:pStyle w:val="Heading2"/>
      </w:pPr>
      <w:r>
        <w:t>3. Entidades e campos (o que foi implantado)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Entidade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Campos-chave (com o que a V1 adicionou em </w:t>
            </w:r>
            <w:r>
              <w:rPr>
                <w:b/>
              </w:rPr>
              <w:t>negrito</w:t>
            </w:r>
            <w:r>
              <w:rPr>
                <w:b/>
              </w:rPr>
              <w:t>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Papel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Plano</w:t>
            </w:r>
          </w:p>
        </w:tc>
        <w:tc>
          <w:tcPr>
            <w:tcW w:type="dxa" w:w="2880"/>
          </w:tcPr>
          <w:p>
            <w:r>
              <w:t xml:space="preserve">Nome, DescricaoCurta, DescricaoCompleta, Valor, LimiteUsuarios, LimiteEmpresas, DataInicio, Ativo, GrupoPlanoId, </w:t>
            </w:r>
            <w:r>
              <w:rPr>
                <w:b/>
              </w:rPr>
              <w:t>Duration</w:t>
            </w:r>
            <w:r>
              <w:t xml:space="preserve"> (PlanoDuration: Vitalicia/Mensal/Anual), </w:t>
            </w:r>
            <w:r>
              <w:rPr>
                <w:b/>
              </w:rPr>
              <w:t>flags ModuloCrm/Projetos/Rh/Financeiro/Pdv</w:t>
            </w:r>
            <w:r>
              <w:t>, TenantId (</w:t>
            </w:r>
            <w:r>
              <w:rPr>
                <w:rFonts w:ascii="Courier New" w:hAnsi="Courier New"/>
                <w:sz w:val="18"/>
              </w:rPr>
              <w:t>"system"</w:t>
            </w:r>
            <w:r>
              <w:t>=catálogo global)</w:t>
            </w:r>
          </w:p>
        </w:tc>
        <w:tc>
          <w:tcPr>
            <w:tcW w:type="dxa" w:w="2880"/>
          </w:tcPr>
          <w:p>
            <w:r>
              <w:t>Produto vendável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GrupoPlano</w:t>
            </w:r>
          </w:p>
        </w:tc>
        <w:tc>
          <w:tcPr>
            <w:tcW w:type="dxa" w:w="2880"/>
          </w:tcPr>
          <w:p>
            <w:r>
              <w:t>Nome, Descricao</w:t>
            </w:r>
          </w:p>
        </w:tc>
        <w:tc>
          <w:tcPr>
            <w:tcW w:type="dxa" w:w="2880"/>
          </w:tcPr>
          <w:p>
            <w:r>
              <w:t>Agrupa planos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ModuloPlano</w:t>
            </w:r>
          </w:p>
        </w:tc>
        <w:tc>
          <w:tcPr>
            <w:tcW w:type="dxa" w:w="2880"/>
          </w:tcPr>
          <w:p>
            <w:r>
              <w:t>ModuloGeralId, Descricao, Valor, Ativo</w:t>
            </w:r>
          </w:p>
        </w:tc>
        <w:tc>
          <w:tcPr>
            <w:tcW w:type="dxa" w:w="2880"/>
          </w:tcPr>
          <w:p>
            <w:r>
              <w:t>Módulo incluído no plano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Cliente</w:t>
            </w:r>
          </w:p>
        </w:tc>
        <w:tc>
          <w:tcPr>
            <w:tcW w:type="dxa" w:w="2880"/>
          </w:tcPr>
          <w:p>
            <w:r>
              <w:t xml:space="preserve">TenantId, PlanoId, RevendaId?, VendedorId?, dados cadastrais, </w:t>
            </w:r>
            <w:r>
              <w:rPr>
                <w:b/>
              </w:rPr>
              <w:t>CotaUsuarios?/CotaEmpresas?/CotaPermissoes?</w:t>
            </w:r>
            <w:r>
              <w:t xml:space="preserve">, </w:t>
            </w:r>
            <w:r>
              <w:rPr>
                <w:b/>
              </w:rPr>
              <w:t>StatusSaaS (enum)</w:t>
            </w:r>
          </w:p>
        </w:tc>
        <w:tc>
          <w:tcPr>
            <w:tcW w:type="dxa" w:w="2880"/>
          </w:tcPr>
          <w:p>
            <w:r>
              <w:t>Tenant assinante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Endereco</w:t>
            </w:r>
          </w:p>
        </w:tc>
        <w:tc>
          <w:tcPr>
            <w:tcW w:type="dxa" w:w="2880"/>
          </w:tcPr>
          <w:p>
            <w:r>
              <w:t xml:space="preserve">Logradouro, ..., Tipo, </w:t>
            </w:r>
            <w:r>
              <w:rPr>
                <w:b/>
              </w:rPr>
              <w:t>Principal (bool)</w:t>
            </w:r>
          </w:p>
        </w:tc>
        <w:tc>
          <w:tcPr>
            <w:tcW w:type="dxa" w:w="2880"/>
          </w:tcPr>
          <w:p>
            <w:r>
              <w:t>Endereço da pessoa/cliente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Fatura</w:t>
            </w:r>
          </w:p>
        </w:tc>
        <w:tc>
          <w:tcPr>
            <w:tcW w:type="dxa" w:w="2880"/>
          </w:tcPr>
          <w:p>
            <w:r>
              <w:t xml:space="preserve">Vencimento, Valor, Status, </w:t>
            </w:r>
            <w:r>
              <w:rPr>
                <w:b/>
              </w:rPr>
              <w:t>Quitada, ValorPago, Numero, Observacoes</w:t>
            </w:r>
            <w:r>
              <w:t xml:space="preserve">, </w:t>
            </w:r>
            <w:r>
              <w:rPr>
                <w:b/>
              </w:rPr>
              <w:t>Itens (FaturaItem)</w:t>
            </w:r>
          </w:p>
        </w:tc>
        <w:tc>
          <w:tcPr>
            <w:tcW w:type="dxa" w:w="2880"/>
          </w:tcPr>
          <w:p>
            <w:r>
              <w:t>Cobrança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FaturaItem</w:t>
            </w:r>
            <w:r>
              <w:t xml:space="preserve"> </w:t>
            </w:r>
            <w:r>
              <w:rPr>
                <w:i/>
              </w:rPr>
              <w:t>(novo)</w:t>
            </w:r>
          </w:p>
        </w:tc>
        <w:tc>
          <w:tcPr>
            <w:tcW w:type="dxa" w:w="2880"/>
          </w:tcPr>
          <w:p>
            <w:r>
              <w:t>FaturaId, Descricao, Valor</w:t>
            </w:r>
          </w:p>
        </w:tc>
        <w:tc>
          <w:tcPr>
            <w:tcW w:type="dxa" w:w="2880"/>
          </w:tcPr>
          <w:p>
            <w:r>
              <w:t>Composição/itens da fatura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PagamentoFatura</w:t>
            </w:r>
          </w:p>
        </w:tc>
        <w:tc>
          <w:tcPr>
            <w:tcW w:type="dxa" w:w="2880"/>
          </w:tcPr>
          <w:p>
            <w:r>
              <w:t xml:space="preserve">..., </w:t>
            </w:r>
            <w:r>
              <w:rPr>
                <w:b/>
              </w:rPr>
              <w:t>DataExpiracao, ValorRecebido, DataLiberacaoFundos</w:t>
            </w:r>
            <w:r>
              <w:t>, ValorTarifa(18,3)</w:t>
            </w:r>
          </w:p>
        </w:tc>
        <w:tc>
          <w:tcPr>
            <w:tcW w:type="dxa" w:w="2880"/>
          </w:tcPr>
          <w:p>
            <w:r>
              <w:t>Pagamento/PIX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AssinaturaCliente</w:t>
            </w:r>
          </w:p>
        </w:tc>
        <w:tc>
          <w:tcPr>
            <w:tcW w:type="dxa" w:w="2880"/>
          </w:tcPr>
          <w:p>
            <w:r>
              <w:t xml:space="preserve">PlanoId, vigência, </w:t>
            </w:r>
            <w:r>
              <w:rPr>
                <w:b/>
              </w:rPr>
              <w:t>Status (StatusAssinatura enum)</w:t>
            </w:r>
            <w:r>
              <w:t>, limites</w:t>
            </w:r>
          </w:p>
        </w:tc>
        <w:tc>
          <w:tcPr>
            <w:tcW w:type="dxa" w:w="2880"/>
          </w:tcPr>
          <w:p>
            <w:r>
              <w:t>Vínculo cliente↔plano vigente</w:t>
            </w:r>
          </w:p>
        </w:tc>
      </w:tr>
    </w:tbl>
    <w:p/>
    <w:p>
      <w:pPr>
        <w:pStyle w:val="Heading2"/>
      </w:pPr>
      <w:r>
        <w:t>4. A lógica (regras implantadas — ver EF §20A para o texto normativo)</w:t>
      </w:r>
    </w:p>
    <w:p>
      <w:pPr>
        <w:pStyle w:val="ListNumber"/>
      </w:pPr>
      <w:r>
        <w:rPr>
          <w:b/>
        </w:rPr>
        <w:t>Plano híbrido.</w:t>
      </w:r>
      <w:r>
        <w:t xml:space="preserve"> O </w:t>
      </w:r>
      <w:r>
        <w:rPr>
          <w:rFonts w:ascii="Courier New" w:hAnsi="Courier New"/>
          <w:sz w:val="18"/>
        </w:rPr>
        <w:t>ContextGestaoClientes</w:t>
      </w:r>
      <w:r>
        <w:t xml:space="preserve"> sobrepõe o filtro de tenant para o Plano: cada tenant enxerga</w:t>
      </w:r>
    </w:p>
    <w:p>
      <w:r>
        <w:t xml:space="preserve">   </w:t>
      </w:r>
      <w:r>
        <w:rPr>
          <w:rFonts w:ascii="Courier New" w:hAnsi="Courier New"/>
          <w:sz w:val="18"/>
        </w:rPr>
        <w:t>TenantId == seu_tenant OR TenantId == "system"</w:t>
      </w:r>
      <w:r>
        <w:t>. Catálogo global = criado sob contexto landlord (</w:t>
      </w:r>
      <w:r>
        <w:rPr>
          <w:rFonts w:ascii="Courier New" w:hAnsi="Courier New"/>
          <w:sz w:val="18"/>
        </w:rPr>
        <w:t>"system"</w:t>
      </w:r>
      <w:r>
        <w:t>);</w:t>
      </w:r>
    </w:p>
    <w:p>
      <w:r>
        <w:t xml:space="preserve">   custom = criado sob o tenant. Não quebra dados: planos com TenantId real seguem privados do seu tenant.</w:t>
      </w:r>
    </w:p>
    <w:p>
      <w:pPr>
        <w:pStyle w:val="ListNumber"/>
      </w:pPr>
      <w:r>
        <w:rPr>
          <w:b/>
        </w:rPr>
        <w:t>Cota do cliente sobrepõe o plano.</w:t>
      </w:r>
      <w:r>
        <w:t xml:space="preserve"> O </w:t>
      </w:r>
      <w:r>
        <w:rPr>
          <w:rFonts w:ascii="Courier New" w:hAnsi="Courier New"/>
          <w:sz w:val="18"/>
        </w:rPr>
        <w:t>ValidadorLimitesSaaS</w:t>
      </w:r>
      <w:r>
        <w:t xml:space="preserve"> usa </w:t>
      </w:r>
      <w:r>
        <w:rPr>
          <w:rFonts w:ascii="Courier New" w:hAnsi="Courier New"/>
          <w:sz w:val="18"/>
        </w:rPr>
        <w:t>cliente.CotaUsuarios ?? plano.LimiteUsuarios</w:t>
      </w:r>
    </w:p>
    <w:p>
      <w:r>
        <w:t xml:space="preserve">   (idem empresas). Vazio → vale o plano; preenchido → override comercial por cliente.</w:t>
      </w:r>
    </w:p>
    <w:p>
      <w:pPr>
        <w:pStyle w:val="ListNumber"/>
      </w:pPr>
      <w:r>
        <w:rPr>
          <w:b/>
        </w:rPr>
        <w:t>Inadimplência = 15 dias.</w:t>
      </w:r>
      <w:r>
        <w:t xml:space="preserve"> </w:t>
      </w:r>
      <w:r>
        <w:rPr>
          <w:rFonts w:ascii="Courier New" w:hAnsi="Courier New"/>
          <w:sz w:val="18"/>
        </w:rPr>
        <w:t>AuthHandlers</w:t>
      </w:r>
      <w:r>
        <w:t xml:space="preserve"> (login) e </w:t>
      </w:r>
      <w:r>
        <w:rPr>
          <w:rFonts w:ascii="Courier New" w:hAnsi="Courier New"/>
          <w:sz w:val="18"/>
        </w:rPr>
        <w:t>VerificarFaturasVencidasJob</w:t>
      </w:r>
      <w:r>
        <w:t xml:space="preserve"> alinhados: fatura</w:t>
      </w:r>
    </w:p>
    <w:p>
      <w:r>
        <w:t xml:space="preserve">   </w:t>
      </w:r>
      <w:r>
        <w:rPr>
          <w:rFonts w:ascii="Courier New" w:hAnsi="Courier New"/>
          <w:sz w:val="18"/>
        </w:rPr>
        <w:t>AguardandoPagamento</w:t>
      </w:r>
      <w:r>
        <w:t xml:space="preserve"> vencida há &gt;15 dias corridos bloqueia a operação.</w:t>
      </w:r>
    </w:p>
    <w:p>
      <w:pPr>
        <w:pStyle w:val="ListNumber"/>
      </w:pPr>
      <w:r>
        <w:rPr>
          <w:b/>
        </w:rPr>
        <w:t>StatusSaaS / StatusAssinatura</w:t>
      </w:r>
      <w:r>
        <w:t xml:space="preserve"> viraram enums oficiais (antes string </w:t>
      </w:r>
      <w:r>
        <w:rPr>
          <w:rFonts w:ascii="Courier New" w:hAnsi="Courier New"/>
          <w:sz w:val="18"/>
        </w:rPr>
        <w:t>"Active"</w:t>
      </w:r>
      <w:r>
        <w:t>). Migração de dados na</w:t>
      </w:r>
    </w:p>
    <w:p>
      <w:r>
        <w:t xml:space="preserve">   </w:t>
      </w:r>
      <w:r>
        <w:rPr>
          <w:rFonts w:ascii="Courier New" w:hAnsi="Courier New"/>
          <w:sz w:val="18"/>
        </w:rPr>
        <w:t>Fecha_1_01</w:t>
      </w:r>
      <w:r>
        <w:t xml:space="preserve">: </w:t>
      </w:r>
      <w:r>
        <w:rPr>
          <w:rFonts w:ascii="Courier New" w:hAnsi="Courier New"/>
          <w:sz w:val="18"/>
        </w:rPr>
        <w:t>"Active"→Ativo</w:t>
      </w:r>
      <w:r>
        <w:t xml:space="preserve">, </w:t>
      </w:r>
      <w:r>
        <w:rPr>
          <w:rFonts w:ascii="Courier New" w:hAnsi="Courier New"/>
          <w:sz w:val="18"/>
        </w:rPr>
        <w:t>Aprovada→Ativa</w:t>
      </w:r>
      <w:r>
        <w:t xml:space="preserve">, </w:t>
      </w:r>
      <w:r>
        <w:rPr>
          <w:rFonts w:ascii="Courier New" w:hAnsi="Courier New"/>
          <w:sz w:val="18"/>
        </w:rPr>
        <w:t>Aguardando→AguardandoAprovacao</w:t>
      </w:r>
      <w:r>
        <w:t>. Persistidos como string (DB legível).</w:t>
      </w:r>
    </w:p>
    <w:p>
      <w:pPr>
        <w:pStyle w:val="ListNumber"/>
      </w:pPr>
      <w:r>
        <w:rPr>
          <w:b/>
        </w:rPr>
        <w:t>Endereço principal único por tipo.</w:t>
      </w:r>
      <w:r>
        <w:t xml:space="preserve"> </w:t>
      </w:r>
      <w:r>
        <w:rPr>
          <w:rFonts w:ascii="Courier New" w:hAnsi="Courier New"/>
          <w:sz w:val="18"/>
        </w:rPr>
        <w:t>Pessoa.AdicionarEndereco</w:t>
      </w:r>
      <w:r>
        <w:t>: ao marcar principal, desmarca os demais do mesmo tipo.</w:t>
      </w:r>
    </w:p>
    <w:p>
      <w:pPr>
        <w:pStyle w:val="ListNumber"/>
      </w:pPr>
      <w:r>
        <w:rPr>
          <w:b/>
        </w:rPr>
        <w:t>Nome de plano único</w:t>
      </w:r>
      <w:r>
        <w:t xml:space="preserve"> validado no </w:t>
      </w:r>
      <w:r>
        <w:rPr>
          <w:rFonts w:ascii="Courier New" w:hAnsi="Courier New"/>
          <w:sz w:val="18"/>
        </w:rPr>
        <w:t>PlanoHandlers</w:t>
      </w:r>
      <w:r>
        <w:t xml:space="preserve"> (criar/editar).</w:t>
      </w:r>
    </w:p>
    <w:p>
      <w:pPr>
        <w:pStyle w:val="ListNumber"/>
      </w:pPr>
      <w:r>
        <w:rPr>
          <w:b/>
        </w:rPr>
        <w:t>Fatura</w:t>
      </w:r>
      <w:r>
        <w:t xml:space="preserve"> materializa quitação/valor pago/itens; </w:t>
      </w:r>
      <w:r>
        <w:rPr>
          <w:rFonts w:ascii="Courier New" w:hAnsi="Courier New"/>
          <w:sz w:val="18"/>
        </w:rPr>
        <w:t>Baixar</w:t>
      </w:r>
      <w:r>
        <w:t>/</w:t>
      </w:r>
      <w:r>
        <w:rPr>
          <w:rFonts w:ascii="Courier New" w:hAnsi="Courier New"/>
          <w:sz w:val="18"/>
        </w:rPr>
        <w:t>BaixarManual</w:t>
      </w:r>
      <w:r>
        <w:t xml:space="preserve"> setam </w:t>
      </w:r>
      <w:r>
        <w:rPr>
          <w:rFonts w:ascii="Courier New" w:hAnsi="Courier New"/>
          <w:sz w:val="18"/>
        </w:rPr>
        <w:t>Quitada</w:t>
      </w:r>
      <w:r>
        <w:t>/</w:t>
      </w:r>
      <w:r>
        <w:rPr>
          <w:rFonts w:ascii="Courier New" w:hAnsi="Courier New"/>
          <w:sz w:val="18"/>
        </w:rPr>
        <w:t>ValorPago</w:t>
      </w:r>
      <w:r>
        <w:t>.</w:t>
      </w:r>
    </w:p>
    <w:p>
      <w:pPr>
        <w:pStyle w:val="Heading2"/>
      </w:pPr>
      <w:r>
        <w:t>5. Relações com outros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Módulo vizinho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Relação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LIMITES_DE_PLANO (1.06)</w:t>
            </w:r>
          </w:p>
        </w:tc>
        <w:tc>
          <w:tcPr>
            <w:tcW w:type="dxa" w:w="4320"/>
          </w:tcPr>
          <w:p>
            <w:r>
              <w:t>Consome limites/cota do plano; enforcement de módulos e quotas.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PEDIDOS_E_COBRANCA_SAAS (1.09)</w:t>
            </w:r>
          </w:p>
        </w:tc>
        <w:tc>
          <w:tcPr>
            <w:tcW w:type="dxa" w:w="4320"/>
          </w:tcPr>
          <w:p>
            <w:r>
              <w:t>Cobrança recorrente, gateways, tipos de pagamento, PIX detalhado (fronteira: aqui ficam gatilhos de assinatura/status; a cobrança detalhada vai pra lá).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IDENTIDADE_E_CONTEXTO_TENANT (1.04)</w:t>
            </w:r>
          </w:p>
        </w:tc>
        <w:tc>
          <w:tcPr>
            <w:tcW w:type="dxa" w:w="4320"/>
          </w:tcPr>
          <w:p>
            <w:r>
              <w:t>Define tenant/contexto; a assinatura é por tenant/cliente.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USUARIOS_E_PAPEIS (1.11) / PERMISSOES_DE_MENU (1.10)</w:t>
            </w:r>
          </w:p>
        </w:tc>
        <w:tc>
          <w:tcPr>
            <w:tcW w:type="dxa" w:w="4320"/>
          </w:tcPr>
          <w:p>
            <w:r>
              <w:t>Cota de usuários e enforcement de módulos no menu.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CATALOGOS_GLOBAIS_SAAS (1.02)</w:t>
            </w:r>
          </w:p>
        </w:tc>
        <w:tc>
          <w:tcPr>
            <w:tcW w:type="dxa" w:w="4320"/>
          </w:tcPr>
          <w:p>
            <w:r>
              <w:t>Cupom (híbrido, mesma lógica do Plano), moeda, planos iniciais.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ONBOARDING_E_EMPRESA (1.07)</w:t>
            </w:r>
          </w:p>
        </w:tc>
        <w:tc>
          <w:tcPr>
            <w:tcW w:type="dxa" w:w="4320"/>
          </w:tcPr>
          <w:p>
            <w:r>
              <w:t>Provisiona o cliente e a primeira empresa a partir do plano contratado.</w:t>
            </w:r>
          </w:p>
        </w:tc>
      </w:tr>
    </w:tbl>
    <w:p/>
    <w:p>
      <w:pPr>
        <w:pStyle w:val="Heading2"/>
      </w:pPr>
      <w:r>
        <w:t>6. O que NÃO está pronto (ver MC + tracker)</w:t>
      </w:r>
    </w:p>
    <w:p>
      <w:pPr>
        <w:pStyle w:val="ListBullet"/>
      </w:pPr>
      <w:r>
        <w:rPr>
          <w:b/>
        </w:rPr>
        <w:t>Telas</w:t>
      </w:r>
      <w:r>
        <w:t xml:space="preserve"> (fase final de front): expor Duration/flags no form de Plano, cota no Cliente, itens/Quitada na Fatura,</w:t>
      </w:r>
    </w:p>
    <w:p>
      <w:r>
        <w:t xml:space="preserve">  flag Principal no endereço; criar página pública </w:t>
      </w:r>
      <w:r>
        <w:rPr>
          <w:rFonts w:ascii="Courier New" w:hAnsi="Courier New"/>
          <w:sz w:val="18"/>
        </w:rPr>
        <w:t>/planos</w:t>
      </w:r>
      <w:r>
        <w:t>.</w:t>
      </w:r>
    </w:p>
    <w:p>
      <w:pPr>
        <w:pStyle w:val="ListBullet"/>
      </w:pPr>
      <w:r>
        <w:rPr>
          <w:b/>
        </w:rPr>
        <w:t>Comportamentos</w:t>
      </w:r>
      <w:r>
        <w:t xml:space="preserve"> ainda na MC: prorrata/upgrade/downgrade, dunning, cancelamento, idempotência de PIX/webhook,</w:t>
      </w:r>
    </w:p>
    <w:p>
      <w:r>
        <w:t xml:space="preserve">  matriz de permissões do backoffice, internacionalização. </w:t>
      </w:r>
      <w:r>
        <w:rPr>
          <w:rFonts w:ascii="Courier New" w:hAnsi="Courier New"/>
          <w:sz w:val="18"/>
        </w:rPr>
        <w:t>CotaPermissoes</w:t>
      </w:r>
      <w:r>
        <w:t xml:space="preserve"> tem o campo mas sem consumidor ainda.</w:t>
      </w:r>
    </w:p>
    <w:p>
      <w:pPr>
        <w:pStyle w:val="ListBullet"/>
      </w:pPr>
      <w:r>
        <w:rPr>
          <w:b/>
        </w:rPr>
        <w:t>Gates de processo pendentes</w:t>
      </w:r>
      <w:r>
        <w:t xml:space="preserve"> (ver seção de processo): Code Review e testes automatizados </w:t>
      </w:r>
      <w:r>
        <w:rPr>
          <w:b/>
        </w:rPr>
        <w:t>não</w:t>
      </w:r>
      <w:r>
        <w:t xml:space="preserve"> rodaram nesta fatia.</w:t>
      </w:r>
    </w:p>
    <w:p>
      <w:pPr>
        <w:pStyle w:val="Heading2"/>
      </w:pPr>
      <w:r>
        <w:t>7. Rastreabilidade</w:t>
      </w:r>
    </w:p>
    <w:p>
      <w:r>
        <w:t>EF (contrato + decisões V1 §20A) · MC (pendências restantes) · VERIFICACAO_IMPLEMENTACAO_V1 (matriz campo×código) ·</w:t>
      </w:r>
    </w:p>
    <w:p>
      <w:r>
        <w:t xml:space="preserve">DECISOES_IMPLANTACAO_V1 (as 4 decisões + defaults) · migrations no </w:t>
      </w:r>
      <w:r>
        <w:rPr>
          <w:rFonts w:ascii="Courier New" w:hAnsi="Courier New"/>
          <w:sz w:val="18"/>
        </w:rPr>
        <w:t>Epros.Modules.GestaoClientes/Migrations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