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CATALOGOS_GLOBAIS_SAAS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(migration </w:t>
      </w:r>
      <w:r>
        <w:rPr>
          <w:rFonts w:ascii="Courier New" w:hAnsi="Courier New"/>
          <w:sz w:val="18"/>
        </w:rPr>
        <w:t>Implanta_1_02_CatalogosGlobaisSaaS</w:t>
      </w:r>
      <w:r>
        <w:t xml:space="preserve"> + geografia </w:t>
      </w:r>
      <w:r>
        <w:rPr>
          <w:rFonts w:ascii="Courier New" w:hAnsi="Courier New"/>
          <w:sz w:val="18"/>
        </w:rPr>
        <w:t>AddGeografiaEntities</w:t>
      </w:r>
      <w:r>
        <w:t>/</w:t>
      </w:r>
      <w:r>
        <w:rPr>
          <w:rFonts w:ascii="Courier New" w:hAnsi="Courier New"/>
          <w:sz w:val="18"/>
        </w:rPr>
        <w:t>AddSincronizacaoGeografica</w:t>
      </w:r>
      <w:r>
        <w:t xml:space="preserve"> +</w:t>
      </w:r>
    </w:p>
    <w:p>
      <w:pPr>
        <w:pStyle w:val="IntenseQuote"/>
      </w:pPr>
      <w:r>
        <w:rPr>
          <w:rFonts w:ascii="Courier New" w:hAnsi="Courier New"/>
          <w:sz w:val="18"/>
        </w:rPr>
        <w:t>AddCatalogoSaaSAddOns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Administra os </w:t>
      </w:r>
      <w:r>
        <w:rPr>
          <w:b/>
        </w:rPr>
        <w:t>catálogos de referência do SaaS</w:t>
      </w:r>
      <w:r>
        <w:t xml:space="preserve"> que sustentam todo o resto do produto: geografia (País, Subdivisão,</w:t>
      </w:r>
    </w:p>
    <w:p>
      <w:r>
        <w:t>Município, formato/cache de código postal), Moeda, Fuso horário, Funcionalidades e Add-ons vendáveis, Cupom de desconto,</w:t>
      </w:r>
    </w:p>
    <w:p>
      <w:r>
        <w:t xml:space="preserve">resolução de </w:t>
      </w:r>
      <w:r>
        <w:rPr>
          <w:b/>
        </w:rPr>
        <w:t>módulos ativos por usuário</w:t>
      </w:r>
      <w:r>
        <w:t xml:space="preserve"> e a </w:t>
      </w:r>
      <w:r>
        <w:rPr>
          <w:b/>
        </w:rPr>
        <w:t>configuração global chave-valor</w:t>
      </w:r>
      <w:r>
        <w:t xml:space="preserve"> (</w:t>
      </w:r>
      <w:r>
        <w:rPr>
          <w:rFonts w:ascii="Courier New" w:hAnsi="Courier New"/>
          <w:sz w:val="18"/>
        </w:rPr>
        <w:t>ConfiguracaoGlobal</w:t>
      </w:r>
      <w:r>
        <w:t>). São os dados</w:t>
      </w:r>
    </w:p>
    <w:p>
      <w:r>
        <w:t>que o Siser (landlord) mantém uma vez e todos os tenants consomem.</w:t>
      </w:r>
    </w:p>
    <w:p>
      <w:r>
        <w:t xml:space="preserve">O princípio de plataforma é: catálogo global = </w:t>
      </w:r>
      <w:r>
        <w:rPr>
          <w:b/>
        </w:rPr>
        <w:t>`IGlobalEntity` com `TenantId="system"`</w:t>
      </w:r>
      <w:r>
        <w:t xml:space="preserve"> (enxergado por todos), enquanto</w:t>
      </w:r>
    </w:p>
    <w:p>
      <w:r>
        <w:t xml:space="preserve">o específico do cliente fica privado ao tenant. Toda entidade herda </w:t>
      </w:r>
      <w:r>
        <w:rPr>
          <w:rFonts w:ascii="Courier New" w:hAnsi="Courier New"/>
          <w:sz w:val="18"/>
        </w:rPr>
        <w:t>EntidadeSaaSBase</w:t>
      </w:r>
      <w:r>
        <w:t xml:space="preserve">, logo a </w:t>
      </w:r>
      <w:r>
        <w:rPr>
          <w:b/>
        </w:rPr>
        <w:t>PK é sempre `Guid Id`</w:t>
      </w:r>
      <w:r>
        <w:t xml:space="preserve"> —</w:t>
      </w:r>
    </w:p>
    <w:p>
      <w:r>
        <w:t>os ids numéricos sequenciais da EF (</w:t>
      </w:r>
      <w:r>
        <w:rPr>
          <w:rFonts w:ascii="Courier New" w:hAnsi="Courier New"/>
          <w:sz w:val="18"/>
        </w:rPr>
        <w:t>CountryId</w:t>
      </w:r>
      <w:r>
        <w:t xml:space="preserve">, </w:t>
      </w:r>
      <w:r>
        <w:rPr>
          <w:rFonts w:ascii="Courier New" w:hAnsi="Courier New"/>
          <w:sz w:val="18"/>
        </w:rPr>
        <w:t>CurrencyId</w:t>
      </w:r>
      <w:r>
        <w:t>, etc.) não existem por decisão sistêmica de plataforma.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`src/Modules/Epros.Modules.GestaoClientes/Domain/Entities`</w:t>
      </w:r>
      <w:r>
        <w:t xml:space="preserve"> — quase todas as entidades: </w:t>
      </w:r>
      <w:r>
        <w:rPr>
          <w:rFonts w:ascii="Courier New" w:hAnsi="Courier New"/>
          <w:sz w:val="18"/>
        </w:rPr>
        <w:t>Pais</w:t>
      </w:r>
      <w:r>
        <w:t xml:space="preserve">, </w:t>
      </w:r>
      <w:r>
        <w:rPr>
          <w:rFonts w:ascii="Courier New" w:hAnsi="Courier New"/>
          <w:sz w:val="18"/>
        </w:rPr>
        <w:t>Subdivisao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Municipio</w:t>
      </w:r>
      <w:r>
        <w:t xml:space="preserve">, </w:t>
      </w:r>
      <w:r>
        <w:rPr>
          <w:rFonts w:ascii="Courier New" w:hAnsi="Courier New"/>
          <w:sz w:val="18"/>
        </w:rPr>
        <w:t>FormatoCodigoPostal</w:t>
      </w:r>
      <w:r>
        <w:t xml:space="preserve">, </w:t>
      </w:r>
      <w:r>
        <w:rPr>
          <w:rFonts w:ascii="Courier New" w:hAnsi="Courier New"/>
          <w:sz w:val="18"/>
        </w:rPr>
        <w:t>CodigoPostalCache</w:t>
      </w:r>
      <w:r>
        <w:t xml:space="preserve">, </w:t>
      </w:r>
      <w:r>
        <w:rPr>
          <w:rFonts w:ascii="Courier New" w:hAnsi="Courier New"/>
          <w:sz w:val="18"/>
        </w:rPr>
        <w:t>SincronizacaoGeografica</w:t>
      </w:r>
      <w:r>
        <w:t xml:space="preserve">, </w:t>
      </w:r>
      <w:r>
        <w:rPr>
          <w:rFonts w:ascii="Courier New" w:hAnsi="Courier New"/>
          <w:sz w:val="18"/>
        </w:rPr>
        <w:t>Moeda</w:t>
      </w:r>
      <w:r>
        <w:t xml:space="preserve">, </w:t>
      </w:r>
      <w:r>
        <w:rPr>
          <w:rFonts w:ascii="Courier New" w:hAnsi="Courier New"/>
          <w:sz w:val="18"/>
        </w:rPr>
        <w:t>FusoHorario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Funcionalidade</w:t>
      </w:r>
      <w:r>
        <w:t xml:space="preserve">, </w:t>
      </w:r>
      <w:r>
        <w:rPr>
          <w:rFonts w:ascii="Courier New" w:hAnsi="Courier New"/>
          <w:sz w:val="18"/>
        </w:rPr>
        <w:t>AddOn</w:t>
      </w:r>
      <w:r>
        <w:t xml:space="preserve">, </w:t>
      </w:r>
      <w:r>
        <w:rPr>
          <w:rFonts w:ascii="Courier New" w:hAnsi="Courier New"/>
          <w:sz w:val="18"/>
        </w:rPr>
        <w:t>ModuloPlano</w:t>
      </w:r>
      <w:r>
        <w:t xml:space="preserve">, </w:t>
      </w:r>
      <w:r>
        <w:rPr>
          <w:rFonts w:ascii="Courier New" w:hAnsi="Courier New"/>
          <w:sz w:val="18"/>
        </w:rPr>
        <w:t>ModuloAtivoUsuario</w:t>
      </w:r>
      <w:r>
        <w:t xml:space="preserve">, </w:t>
      </w:r>
      <w:r>
        <w:rPr>
          <w:rFonts w:ascii="Courier New" w:hAnsi="Courier New"/>
          <w:sz w:val="18"/>
        </w:rPr>
        <w:t>Cupom</w:t>
      </w:r>
      <w:r>
        <w:t xml:space="preserve">, </w:t>
      </w:r>
      <w:r>
        <w:rPr>
          <w:rFonts w:ascii="Courier New" w:hAnsi="Courier New"/>
          <w:sz w:val="18"/>
        </w:rPr>
        <w:t>UsoCupom</w:t>
      </w:r>
      <w:r>
        <w:t xml:space="preserve">, </w:t>
      </w:r>
      <w:r>
        <w:rPr>
          <w:rFonts w:ascii="Courier New" w:hAnsi="Courier New"/>
          <w:sz w:val="18"/>
        </w:rPr>
        <w:t>ConfiguracaoGlobal</w:t>
      </w:r>
      <w:r>
        <w:t xml:space="preserve">, </w:t>
      </w:r>
      <w:r>
        <w:rPr>
          <w:rFonts w:ascii="Courier New" w:hAnsi="Courier New"/>
          <w:sz w:val="18"/>
        </w:rPr>
        <w:t>Menu</w:t>
      </w:r>
      <w:r>
        <w:t>.</w:t>
      </w:r>
    </w:p>
    <w:p>
      <w:pPr>
        <w:pStyle w:val="ListBullet"/>
      </w:pPr>
      <w:r>
        <w:rPr>
          <w:b/>
        </w:rPr>
        <w:t>`src/Modules/Epros.Modules.Aplicativo/Application/Handlers/CuponsHandlers.cs`</w:t>
      </w:r>
      <w:r>
        <w:t xml:space="preserve"> — comandos/queries do Cupom.</w:t>
      </w:r>
    </w:p>
    <w:p>
      <w:pPr>
        <w:pStyle w:val="ListBullet"/>
      </w:pPr>
      <w:r>
        <w:rPr>
          <w:b/>
        </w:rPr>
        <w:t>`src/Modules/Epros.Modules.GestaoClientes/Application`</w:t>
      </w:r>
      <w:r>
        <w:t xml:space="preserve"> — handlers/queries de País, Município, CEP, Add-on,</w:t>
      </w:r>
    </w:p>
    <w:p>
      <w:r>
        <w:t xml:space="preserve">  Funcionalidade, resolução de módulos (</w:t>
      </w:r>
      <w:r>
        <w:rPr>
          <w:rFonts w:ascii="Courier New" w:hAnsi="Courier New"/>
          <w:sz w:val="18"/>
        </w:rPr>
        <w:t>CatalogoSaaSHandlers.cs</w:t>
      </w:r>
      <w:r>
        <w:t xml:space="preserve">, </w:t>
      </w:r>
      <w:r>
        <w:rPr>
          <w:rFonts w:ascii="Courier New" w:hAnsi="Courier New"/>
          <w:sz w:val="18"/>
        </w:rPr>
        <w:t>CatalogoSaaSQueries.cs</w:t>
      </w:r>
      <w:r>
        <w:t>).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GeografiaController</w:t>
      </w:r>
      <w:r>
        <w:t xml:space="preserve"> (rota </w:t>
      </w:r>
      <w:r>
        <w:rPr>
          <w:rFonts w:ascii="Courier New" w:hAnsi="Courier New"/>
          <w:sz w:val="18"/>
        </w:rPr>
        <w:t>api/v1/cadastros/geografia</w:t>
      </w:r>
      <w:r>
        <w:t>),</w:t>
      </w:r>
    </w:p>
    <w:p>
      <w:r>
        <w:t xml:space="preserve">  </w:t>
      </w:r>
      <w:r>
        <w:rPr>
          <w:rFonts w:ascii="Courier New" w:hAnsi="Courier New"/>
          <w:sz w:val="18"/>
        </w:rPr>
        <w:t>MoedasController</w:t>
      </w:r>
      <w:r>
        <w:t xml:space="preserve"> (</w:t>
      </w:r>
      <w:r>
        <w:rPr>
          <w:rFonts w:ascii="Courier New" w:hAnsi="Courier New"/>
          <w:sz w:val="18"/>
        </w:rPr>
        <w:t>api/v1/plataforma/moedas</w:t>
      </w:r>
      <w:r>
        <w:t xml:space="preserve">), </w:t>
      </w:r>
      <w:r>
        <w:rPr>
          <w:rFonts w:ascii="Courier New" w:hAnsi="Courier New"/>
          <w:sz w:val="18"/>
        </w:rPr>
        <w:t>CatalogoSaaSController</w:t>
      </w:r>
      <w:r>
        <w:t xml:space="preserve"> (</w:t>
      </w:r>
      <w:r>
        <w:rPr>
          <w:rFonts w:ascii="Courier New" w:hAnsi="Courier New"/>
          <w:sz w:val="18"/>
        </w:rPr>
        <w:t>api/v1/plataforma</w:t>
      </w:r>
      <w:r>
        <w:t>),</w:t>
      </w:r>
    </w:p>
    <w:p>
      <w:r>
        <w:t xml:space="preserve">  </w:t>
      </w:r>
      <w:r>
        <w:rPr>
          <w:rFonts w:ascii="Courier New" w:hAnsi="Courier New"/>
          <w:sz w:val="18"/>
        </w:rPr>
        <w:t>CuponsController</w:t>
      </w:r>
      <w:r>
        <w:t xml:space="preserve"> (</w:t>
      </w:r>
      <w:r>
        <w:rPr>
          <w:rFonts w:ascii="Courier New" w:hAnsi="Courier New"/>
          <w:sz w:val="18"/>
        </w:rPr>
        <w:t>api/v1/aplicativo/cupons</w:t>
      </w:r>
      <w:r>
        <w:t>).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(com o que a V1 adicionou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Pais</w:t>
            </w:r>
          </w:p>
        </w:tc>
        <w:tc>
          <w:tcPr>
            <w:tcW w:type="dxa" w:w="2880"/>
          </w:tcPr>
          <w:p>
            <w:r>
              <w:t xml:space="preserve">Nome (max 60, </w:t>
            </w:r>
            <w:r>
              <w:rPr>
                <w:b/>
              </w:rPr>
              <w:t>índice único</w:t>
            </w:r>
            <w:r>
              <w:t xml:space="preserve">), CodigoIsoAlpha2/Alpha3/Numerico (uniq por ISO), Capital, CodigoDiscagem, Ativo; </w:t>
            </w:r>
            <w:r>
              <w:rPr>
                <w:rFonts w:ascii="Courier New" w:hAnsi="Courier New"/>
                <w:sz w:val="18"/>
              </w:rPr>
              <w:t>IGlobalEntity</w:t>
            </w:r>
          </w:p>
        </w:tc>
        <w:tc>
          <w:tcPr>
            <w:tcW w:type="dxa" w:w="2880"/>
          </w:tcPr>
          <w:p>
            <w:r>
              <w:t>País (geografia)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Subdivisao</w:t>
            </w:r>
          </w:p>
        </w:tc>
        <w:tc>
          <w:tcPr>
            <w:tcW w:type="dxa" w:w="2880"/>
          </w:tcPr>
          <w:p>
            <w:r>
              <w:t>PaisId(FK), CodigoISO31662, Nome, Tipo (Estado/Provincia/Condado/Regiao), TerritorioPaiId?</w:t>
            </w:r>
          </w:p>
        </w:tc>
        <w:tc>
          <w:tcPr>
            <w:tcW w:type="dxa" w:w="2880"/>
          </w:tcPr>
          <w:p>
            <w:r>
              <w:t>Estado/UF/província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2880"/>
          </w:tcPr>
          <w:p>
            <w:r>
              <w:t>PaisId, SubdivisaoId, Nome, CodigoIbge (7 díg.), Uf?, Latitude?, Longitude?, Ativo; Id derivado do IBGE</w:t>
            </w:r>
          </w:p>
        </w:tc>
        <w:tc>
          <w:tcPr>
            <w:tcW w:type="dxa" w:w="2880"/>
          </w:tcPr>
          <w:p>
            <w:r>
              <w:t>Município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FormatoCodigoPostal</w:t>
            </w:r>
          </w:p>
        </w:tc>
        <w:tc>
          <w:tcPr>
            <w:tcW w:type="dxa" w:w="2880"/>
          </w:tcPr>
          <w:p>
            <w:r>
              <w:t>PaisId, Regex, Mascara, Exemplo?</w:t>
            </w:r>
          </w:p>
        </w:tc>
        <w:tc>
          <w:tcPr>
            <w:tcW w:type="dxa" w:w="2880"/>
          </w:tcPr>
          <w:p>
            <w:r>
              <w:t>Máscara de CEP por país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CodigoPostalCache</w:t>
            </w:r>
          </w:p>
        </w:tc>
        <w:tc>
          <w:tcPr>
            <w:tcW w:type="dxa" w:w="2880"/>
          </w:tcPr>
          <w:p>
            <w:r>
              <w:t xml:space="preserve">PaisId, CodigoPostal, Logradouro?, Bairro?, MunicipioId?, Uf?, Provedor, ConsultadoEm, Falhou, MotivoFalha?; </w:t>
            </w:r>
            <w:r>
              <w:rPr>
                <w:rFonts w:ascii="Courier New" w:hAnsi="Courier New"/>
                <w:sz w:val="18"/>
              </w:rPr>
              <w:t>IHardDeletable</w:t>
            </w:r>
          </w:p>
        </w:tc>
        <w:tc>
          <w:tcPr>
            <w:tcW w:type="dxa" w:w="2880"/>
          </w:tcPr>
          <w:p>
            <w:r>
              <w:t>Cache de consulta de CEP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SincronizacaoGeografica</w:t>
            </w:r>
          </w:p>
        </w:tc>
        <w:tc>
          <w:tcPr>
            <w:tcW w:type="dxa" w:w="2880"/>
          </w:tcPr>
          <w:p>
            <w:r>
              <w:t>VersaoArquivo, Inseridos/Atualizados/Inativados, Status (Agendada/EmExecucao/Concluida/Falha), InicioEm/FimEm, MensagemErro?</w:t>
            </w:r>
          </w:p>
        </w:tc>
        <w:tc>
          <w:tcPr>
            <w:tcW w:type="dxa" w:w="2880"/>
          </w:tcPr>
          <w:p>
            <w:r>
              <w:t>Auditoria da carga de geografia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Moeda</w:t>
            </w:r>
          </w:p>
        </w:tc>
        <w:tc>
          <w:tcPr>
            <w:tcW w:type="dxa" w:w="2880"/>
          </w:tcPr>
          <w:p>
            <w:r>
              <w:t xml:space="preserve">CodigoISO (uniq, 3 chars), </w:t>
            </w:r>
            <w:r>
              <w:rPr>
                <w:b/>
              </w:rPr>
              <w:t>Nome</w:t>
            </w:r>
            <w:r>
              <w:t xml:space="preserve">, Simbolo, CasasDecimais; </w:t>
            </w:r>
            <w:r>
              <w:rPr>
                <w:rFonts w:ascii="Courier New" w:hAnsi="Courier New"/>
                <w:sz w:val="18"/>
              </w:rPr>
              <w:t>IGlobalEntity</w:t>
            </w:r>
          </w:p>
        </w:tc>
        <w:tc>
          <w:tcPr>
            <w:tcW w:type="dxa" w:w="2880"/>
          </w:tcPr>
          <w:p>
            <w:r>
              <w:t>Moeda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FusoHorario</w:t>
            </w:r>
          </w:p>
        </w:tc>
        <w:tc>
          <w:tcPr>
            <w:tcW w:type="dxa" w:w="2880"/>
          </w:tcPr>
          <w:p>
            <w:r>
              <w:t xml:space="preserve">Nome, Offset, CodigoIANA?, FusoHorarioId (int legado); </w:t>
            </w:r>
            <w:r>
              <w:rPr>
                <w:rFonts w:ascii="Courier New" w:hAnsi="Courier New"/>
                <w:sz w:val="18"/>
              </w:rPr>
              <w:t>IGlobalEntity</w:t>
            </w:r>
          </w:p>
        </w:tc>
        <w:tc>
          <w:tcPr>
            <w:tcW w:type="dxa" w:w="2880"/>
          </w:tcPr>
          <w:p>
            <w:r>
              <w:t>Fuso horário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880"/>
          </w:tcPr>
          <w:p>
            <w:r>
              <w:t xml:space="preserve">Title (uniq, 150), Description (1000); </w:t>
            </w:r>
            <w:r>
              <w:rPr>
                <w:rFonts w:ascii="Courier New" w:hAnsi="Courier New"/>
                <w:sz w:val="18"/>
              </w:rPr>
              <w:t>IGlobalEntity</w:t>
            </w:r>
          </w:p>
        </w:tc>
        <w:tc>
          <w:tcPr>
            <w:tcW w:type="dxa" w:w="2880"/>
          </w:tcPr>
          <w:p>
            <w:r>
              <w:t>Feature exibível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AddOn</w:t>
            </w:r>
          </w:p>
        </w:tc>
        <w:tc>
          <w:tcPr>
            <w:tcW w:type="dxa" w:w="2880"/>
          </w:tcPr>
          <w:p>
            <w:r>
              <w:t xml:space="preserve">NomeModulo (uniq, 100), Alias, PrecoMensal/PrecoAnual (&gt;=0), Midia, Habilitado, Admin, ParentAddOnId? (self-FK); </w:t>
            </w:r>
            <w:r>
              <w:rPr>
                <w:rFonts w:ascii="Courier New" w:hAnsi="Courier New"/>
                <w:sz w:val="18"/>
              </w:rPr>
              <w:t>IGlobalEntity</w:t>
            </w:r>
          </w:p>
        </w:tc>
        <w:tc>
          <w:tcPr>
            <w:tcW w:type="dxa" w:w="2880"/>
          </w:tcPr>
          <w:p>
            <w:r>
              <w:t>Add-on/módulo vendável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ModuloPlano</w:t>
            </w:r>
          </w:p>
        </w:tc>
        <w:tc>
          <w:tcPr>
            <w:tcW w:type="dxa" w:w="2880"/>
          </w:tcPr>
          <w:p>
            <w:r>
              <w:t>ModuloGeralId, NomeModulo, Descricao, Valor, Ativo (1:N do Plano)</w:t>
            </w:r>
          </w:p>
        </w:tc>
        <w:tc>
          <w:tcPr>
            <w:tcW w:type="dxa" w:w="2880"/>
          </w:tcPr>
          <w:p>
            <w:r>
              <w:t>Módulo incluído no plano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ModuloAtivoUsuario</w:t>
            </w:r>
          </w:p>
        </w:tc>
        <w:tc>
          <w:tcPr>
            <w:tcW w:type="dxa" w:w="2880"/>
          </w:tcPr>
          <w:p>
            <w:r>
              <w:t>UsuarioId, Modulo, Origem (EOrigemModuloAtivo: Plano/Baseline/Avulso/Override); uniq (TenantId,UsuarioId,Modulo)</w:t>
            </w:r>
          </w:p>
        </w:tc>
        <w:tc>
          <w:tcPr>
            <w:tcW w:type="dxa" w:w="2880"/>
          </w:tcPr>
          <w:p>
            <w:r>
              <w:t>Módulo ativo por usuário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Cupom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Nome</w:t>
            </w:r>
            <w:r>
              <w:t>, Codigo (uniq, ToUpper), Tipo (Fixo/Percentual), ValorDesconto, LimiteUso?, QuantidadeUsos, Ativo, ValidoAte?</w:t>
            </w:r>
          </w:p>
        </w:tc>
        <w:tc>
          <w:tcPr>
            <w:tcW w:type="dxa" w:w="2880"/>
          </w:tcPr>
          <w:p>
            <w:r>
              <w:t>Desconto (híbrido)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UsoCupom</w:t>
            </w:r>
          </w:p>
        </w:tc>
        <w:tc>
          <w:tcPr>
            <w:tcW w:type="dxa" w:w="2880"/>
          </w:tcPr>
          <w:p>
            <w:r>
              <w:t>ClienteId, CupomId, PedidoId</w:t>
            </w:r>
          </w:p>
        </w:tc>
        <w:tc>
          <w:tcPr>
            <w:tcW w:type="dxa" w:w="2880"/>
          </w:tcPr>
          <w:p>
            <w:r>
              <w:t>Registro de uso de cupom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ConfiguracaoGlobal</w:t>
            </w:r>
          </w:p>
        </w:tc>
        <w:tc>
          <w:tcPr>
            <w:tcW w:type="dxa" w:w="2880"/>
          </w:tcPr>
          <w:p>
            <w:r>
              <w:t>Chave, Valor, EhSegredo, Descricao</w:t>
            </w:r>
          </w:p>
        </w:tc>
        <w:tc>
          <w:tcPr>
            <w:tcW w:type="dxa" w:w="2880"/>
          </w:tcPr>
          <w:p>
            <w:r>
              <w:t>Parâmetro global chave-valor</w:t>
            </w:r>
          </w:p>
        </w:tc>
      </w:tr>
    </w:tbl>
    <w:p/>
    <w:p>
      <w:pPr>
        <w:pStyle w:val="Heading2"/>
      </w:pPr>
      <w:r>
        <w:t>4. A lógica (regras implantadas — texto normativo na EF §8, REG-xxx)</w:t>
      </w:r>
    </w:p>
    <w:p>
      <w:pPr>
        <w:pStyle w:val="ListNumber"/>
      </w:pPr>
      <w:r>
        <w:rPr>
          <w:b/>
        </w:rPr>
        <w:t>Catálogos globais (REG-001/002).</w:t>
      </w:r>
      <w:r>
        <w:t xml:space="preserve"> País, Moeda, Funcionalidade, Add-on, Fuso, geografia = </w:t>
      </w:r>
      <w:r>
        <w:rPr>
          <w:rFonts w:ascii="Courier New" w:hAnsi="Courier New"/>
          <w:sz w:val="18"/>
        </w:rPr>
        <w:t>IGlobalEntity</w:t>
      </w:r>
    </w:p>
    <w:p>
      <w:r>
        <w:t xml:space="preserve">   (</w:t>
      </w:r>
      <w:r>
        <w:rPr>
          <w:rFonts w:ascii="Courier New" w:hAnsi="Courier New"/>
          <w:sz w:val="18"/>
        </w:rPr>
        <w:t>TenantId="system"</w:t>
      </w:r>
      <w:r>
        <w:t xml:space="preserve">), listagem retorna todos. A </w:t>
      </w:r>
      <w:r>
        <w:rPr>
          <w:rFonts w:ascii="Courier New" w:hAnsi="Courier New"/>
          <w:sz w:val="18"/>
        </w:rPr>
        <w:t>ConfiguracaoGlobal</w:t>
      </w:r>
      <w:r>
        <w:t xml:space="preserve"> é tenant-scoped (chave-valor por tenant).</w:t>
      </w:r>
    </w:p>
    <w:p>
      <w:pPr>
        <w:pStyle w:val="ListNumber"/>
      </w:pPr>
      <w:r>
        <w:rPr>
          <w:b/>
        </w:rPr>
        <w:t>Cupom híbrido (decisão P0 #1).</w:t>
      </w:r>
      <w:r>
        <w:t xml:space="preserve"> </w:t>
      </w:r>
      <w:r>
        <w:rPr>
          <w:rFonts w:ascii="Courier New" w:hAnsi="Courier New"/>
          <w:sz w:val="18"/>
        </w:rPr>
        <w:t>Cupom</w:t>
      </w:r>
      <w:r>
        <w:t xml:space="preserve"> ganhou </w:t>
      </w:r>
      <w:r>
        <w:rPr>
          <w:rFonts w:ascii="Courier New" w:hAnsi="Courier New"/>
          <w:sz w:val="18"/>
        </w:rPr>
        <w:t>Nome</w:t>
      </w:r>
      <w:r>
        <w:t xml:space="preserve"> e </w:t>
      </w:r>
      <w:r>
        <w:rPr>
          <w:b/>
        </w:rPr>
        <w:t>CRUD completo</w:t>
      </w:r>
      <w:r>
        <w:t xml:space="preserve"> (list/get/update/delete além de</w:t>
      </w:r>
    </w:p>
    <w:p>
      <w:r>
        <w:t xml:space="preserve">   create/validar), em </w:t>
      </w:r>
      <w:r>
        <w:rPr>
          <w:rFonts w:ascii="Courier New" w:hAnsi="Courier New"/>
          <w:sz w:val="18"/>
        </w:rPr>
        <w:t>CuponsHandlers.cs</w:t>
      </w:r>
      <w:r>
        <w:t xml:space="preserve">. A visibilidade é híbrida global+custom: o global é criado sob </w:t>
      </w:r>
      <w:r>
        <w:rPr>
          <w:rFonts w:ascii="Courier New" w:hAnsi="Courier New"/>
          <w:sz w:val="18"/>
        </w:rPr>
        <w:t>"system"</w:t>
      </w:r>
      <w:r>
        <w:t xml:space="preserve"> e o</w:t>
      </w:r>
    </w:p>
    <w:p>
      <w:r>
        <w:t xml:space="preserve">   custom sob o tenant; o DTO expõe </w:t>
      </w:r>
      <w:r>
        <w:rPr>
          <w:rFonts w:ascii="Courier New" w:hAnsi="Courier New"/>
          <w:sz w:val="18"/>
        </w:rPr>
        <w:t>Global = TenantId == "system"</w:t>
      </w:r>
      <w:r>
        <w:t xml:space="preserve"> (</w:t>
      </w:r>
      <w:r>
        <w:rPr>
          <w:rFonts w:ascii="Courier New" w:hAnsi="Courier New"/>
          <w:sz w:val="18"/>
        </w:rPr>
        <w:t>CuponsHandlers.cs:187</w:t>
      </w:r>
      <w:r>
        <w:t xml:space="preserve">). A unicidade de </w:t>
      </w:r>
      <w:r>
        <w:rPr>
          <w:rFonts w:ascii="Courier New" w:hAnsi="Courier New"/>
          <w:sz w:val="18"/>
        </w:rPr>
        <w:t>Codigo</w:t>
      </w:r>
      <w:r>
        <w:t xml:space="preserve"> é</w:t>
      </w:r>
    </w:p>
    <w:p>
      <w:r>
        <w:t xml:space="preserve">   checada global com </w:t>
      </w:r>
      <w:r>
        <w:rPr>
          <w:rFonts w:ascii="Courier New" w:hAnsi="Courier New"/>
          <w:sz w:val="18"/>
        </w:rPr>
        <w:t>IgnoreQueryFilters()</w:t>
      </w:r>
      <w:r>
        <w:t xml:space="preserve"> (</w:t>
      </w:r>
      <w:r>
        <w:rPr>
          <w:rFonts w:ascii="Courier New" w:hAnsi="Courier New"/>
          <w:sz w:val="18"/>
        </w:rPr>
        <w:t>CuponsHandlers.cs:44-51</w:t>
      </w:r>
      <w:r>
        <w:t xml:space="preserve">). </w:t>
      </w:r>
      <w:r>
        <w:rPr>
          <w:i/>
        </w:rPr>
        <w:t>Ressalva as-built:</w:t>
      </w:r>
      <w:r>
        <w:t xml:space="preserve"> a entidade continua</w:t>
      </w:r>
    </w:p>
    <w:p>
      <w:r>
        <w:t xml:space="preserve">   </w:t>
      </w:r>
      <w:r>
        <w:rPr>
          <w:rFonts w:ascii="Courier New" w:hAnsi="Courier New"/>
          <w:sz w:val="18"/>
        </w:rPr>
        <w:t>EntidadeSaaSBase</w:t>
      </w:r>
      <w:r>
        <w:t xml:space="preserve"> (não marcada </w:t>
      </w:r>
      <w:r>
        <w:rPr>
          <w:rFonts w:ascii="Courier New" w:hAnsi="Courier New"/>
          <w:sz w:val="18"/>
        </w:rPr>
        <w:t>IGlobalEntity</w:t>
      </w:r>
      <w:r>
        <w:t xml:space="preserve">) — o "global" é obtido via </w:t>
      </w:r>
      <w:r>
        <w:rPr>
          <w:rFonts w:ascii="Courier New" w:hAnsi="Courier New"/>
          <w:sz w:val="18"/>
        </w:rPr>
        <w:t>TenantId="system"</w:t>
      </w:r>
      <w:r>
        <w:t xml:space="preserve"> no construtor, não pela</w:t>
      </w:r>
    </w:p>
    <w:p>
      <w:r>
        <w:t xml:space="preserve">   interface como nos demais catálogos.</w:t>
      </w:r>
    </w:p>
    <w:p>
      <w:pPr>
        <w:pStyle w:val="ListNumber"/>
      </w:pPr>
      <w:r>
        <w:rPr>
          <w:b/>
        </w:rPr>
        <w:t>Validação de cupom aplica desconto no plano (vai além da EF).</w:t>
      </w:r>
      <w:r>
        <w:t xml:space="preserve"> </w:t>
      </w:r>
      <w:r>
        <w:rPr>
          <w:rFonts w:ascii="Courier New" w:hAnsi="Courier New"/>
          <w:sz w:val="18"/>
        </w:rPr>
        <w:t>ValidarCupomCommandHandler</w:t>
      </w:r>
      <w:r>
        <w:t xml:space="preserve"> resolve o </w:t>
      </w:r>
      <w:r>
        <w:rPr>
          <w:rFonts w:ascii="Courier New" w:hAnsi="Courier New"/>
          <w:sz w:val="18"/>
        </w:rPr>
        <w:t>Plano</w:t>
      </w:r>
      <w:r>
        <w:t>,</w:t>
      </w:r>
    </w:p>
    <w:p>
      <w:r>
        <w:t xml:space="preserve">   chama </w:t>
      </w:r>
      <w:r>
        <w:rPr>
          <w:rFonts w:ascii="Courier New" w:hAnsi="Courier New"/>
          <w:sz w:val="18"/>
        </w:rPr>
        <w:t>Cupom.Validar()</w:t>
      </w:r>
      <w:r>
        <w:t xml:space="preserve"> (ativo, não expirado, dentro do </w:t>
      </w:r>
      <w:r>
        <w:rPr>
          <w:rFonts w:ascii="Courier New" w:hAnsi="Courier New"/>
          <w:sz w:val="18"/>
        </w:rPr>
        <w:t>LimiteUso</w:t>
      </w:r>
      <w:r>
        <w:t xml:space="preserve">) e </w:t>
      </w:r>
      <w:r>
        <w:rPr>
          <w:rFonts w:ascii="Courier New" w:hAnsi="Courier New"/>
          <w:sz w:val="18"/>
        </w:rPr>
        <w:t>CalcularDesconto(plano.Preco)</w:t>
      </w:r>
      <w:r>
        <w:t xml:space="preserve"> — Fixo usa</w:t>
      </w:r>
    </w:p>
    <w:p>
      <w:r>
        <w:t xml:space="preserve">   </w:t>
      </w:r>
      <w:r>
        <w:rPr>
          <w:rFonts w:ascii="Courier New" w:hAnsi="Courier New"/>
          <w:sz w:val="18"/>
        </w:rPr>
        <w:t>Min(desconto, valor)</w:t>
      </w:r>
      <w:r>
        <w:t xml:space="preserve">, Percentual arredonda 2 casas — devolvendo </w:t>
      </w:r>
      <w:r>
        <w:rPr>
          <w:rFonts w:ascii="Courier New" w:hAnsi="Courier New"/>
          <w:sz w:val="18"/>
        </w:rPr>
        <w:t>ValorFinal</w:t>
      </w:r>
      <w:r>
        <w:t xml:space="preserve"> (</w:t>
      </w:r>
      <w:r>
        <w:rPr>
          <w:rFonts w:ascii="Courier New" w:hAnsi="Courier New"/>
          <w:sz w:val="18"/>
        </w:rPr>
        <w:t>CuponsHandlers.cs:85-131</w:t>
      </w:r>
      <w:r>
        <w:t xml:space="preserve">; </w:t>
      </w:r>
      <w:r>
        <w:rPr>
          <w:rFonts w:ascii="Courier New" w:hAnsi="Courier New"/>
          <w:sz w:val="18"/>
        </w:rPr>
        <w:t>Cupom.cs:58-123</w:t>
      </w:r>
      <w:r>
        <w:t>).</w:t>
      </w:r>
    </w:p>
    <w:p>
      <w:pPr>
        <w:pStyle w:val="ListNumber"/>
      </w:pPr>
      <w:r>
        <w:rPr>
          <w:b/>
        </w:rPr>
        <w:t>Moeda com Nome + CRUD (decisão P0 #2).</w:t>
      </w:r>
      <w:r>
        <w:t xml:space="preserve"> </w:t>
      </w:r>
      <w:r>
        <w:rPr>
          <w:rFonts w:ascii="Courier New" w:hAnsi="Courier New"/>
          <w:sz w:val="18"/>
        </w:rPr>
        <w:t>Moeda</w:t>
      </w:r>
      <w:r>
        <w:t xml:space="preserve"> ganhou </w:t>
      </w:r>
      <w:r>
        <w:rPr>
          <w:rFonts w:ascii="Courier New" w:hAnsi="Courier New"/>
          <w:sz w:val="18"/>
        </w:rPr>
        <w:t>Nome</w:t>
      </w:r>
      <w:r>
        <w:t xml:space="preserve">; </w:t>
      </w:r>
      <w:r>
        <w:rPr>
          <w:rFonts w:ascii="Courier New" w:hAnsi="Courier New"/>
          <w:sz w:val="18"/>
        </w:rPr>
        <w:t>MoedasController</w:t>
      </w:r>
      <w:r>
        <w:t xml:space="preserve"> expõe list/create/update/delete</w:t>
      </w:r>
    </w:p>
    <w:p>
      <w:r>
        <w:t xml:space="preserve">   (</w:t>
      </w:r>
      <w:r>
        <w:rPr>
          <w:rFonts w:ascii="Courier New" w:hAnsi="Courier New"/>
          <w:sz w:val="18"/>
        </w:rPr>
        <w:t>MoedasController.cs:21-43</w:t>
      </w:r>
      <w:r>
        <w:t xml:space="preserve">). Unicidade permanece por </w:t>
      </w:r>
      <w:r>
        <w:rPr>
          <w:rFonts w:ascii="Courier New" w:hAnsi="Courier New"/>
          <w:sz w:val="18"/>
        </w:rPr>
        <w:t>CodigoISO</w:t>
      </w:r>
      <w:r>
        <w:t>. O CRUD de câmbio do Financeiro é outra entidade e</w:t>
      </w:r>
    </w:p>
    <w:p>
      <w:r>
        <w:t xml:space="preserve">   não foi tocado.</w:t>
      </w:r>
    </w:p>
    <w:p>
      <w:pPr>
        <w:pStyle w:val="ListNumber"/>
      </w:pPr>
      <w:r>
        <w:rPr>
          <w:b/>
        </w:rPr>
        <w:t>País com Update + inativação (decisão default #5, REG-006).</w:t>
      </w:r>
      <w:r>
        <w:t xml:space="preserve"> </w:t>
      </w:r>
      <w:r>
        <w:rPr>
          <w:rFonts w:ascii="Courier New" w:hAnsi="Courier New"/>
          <w:sz w:val="18"/>
        </w:rPr>
        <w:t>Pais.Atualizar</w:t>
      </w:r>
      <w:r>
        <w:t xml:space="preserve"> e </w:t>
      </w:r>
      <w:r>
        <w:rPr>
          <w:rFonts w:ascii="Courier New" w:hAnsi="Courier New"/>
          <w:sz w:val="18"/>
        </w:rPr>
        <w:t>Pais.Inativar/Reativar</w:t>
      </w:r>
    </w:p>
    <w:p>
      <w:r>
        <w:t xml:space="preserve">   (</w:t>
      </w:r>
      <w:r>
        <w:rPr>
          <w:rFonts w:ascii="Courier New" w:hAnsi="Courier New"/>
          <w:sz w:val="18"/>
        </w:rPr>
        <w:t>Pais.cs:50-76</w:t>
      </w:r>
      <w:r>
        <w:t xml:space="preserve">) expostos em </w:t>
      </w:r>
      <w:r>
        <w:rPr>
          <w:rFonts w:ascii="Courier New" w:hAnsi="Courier New"/>
          <w:sz w:val="18"/>
        </w:rPr>
        <w:t>PUT paises/{id}</w:t>
      </w:r>
      <w:r>
        <w:t xml:space="preserve"> e </w:t>
      </w:r>
      <w:r>
        <w:rPr>
          <w:rFonts w:ascii="Courier New" w:hAnsi="Courier New"/>
          <w:sz w:val="18"/>
        </w:rPr>
        <w:t>PATCH paises/{id}/ativo</w:t>
      </w:r>
      <w:r>
        <w:t xml:space="preserve"> (</w:t>
      </w:r>
      <w:r>
        <w:rPr>
          <w:rFonts w:ascii="Courier New" w:hAnsi="Courier New"/>
          <w:sz w:val="18"/>
        </w:rPr>
        <w:t>GeografiaController.cs:184-196</w:t>
      </w:r>
      <w:r>
        <w:t>).</w:t>
      </w:r>
    </w:p>
    <w:p>
      <w:r>
        <w:t xml:space="preserve">   Migration adicionou </w:t>
      </w:r>
      <w:r>
        <w:rPr>
          <w:b/>
        </w:rPr>
        <w:t>índice único em `nome`</w:t>
      </w:r>
      <w:r>
        <w:t xml:space="preserve"> (</w:t>
      </w:r>
      <w:r>
        <w:rPr>
          <w:rFonts w:ascii="Courier New" w:hAnsi="Courier New"/>
          <w:sz w:val="18"/>
        </w:rPr>
        <w:t>IX_paises_nome</w:t>
      </w:r>
      <w:r>
        <w:t>) além do ISO.</w:t>
      </w:r>
    </w:p>
    <w:p>
      <w:pPr>
        <w:pStyle w:val="ListNumber"/>
      </w:pPr>
      <w:r>
        <w:rPr>
          <w:b/>
        </w:rPr>
        <w:t>Resolução de módulos ativos (REG-012/015/017).</w:t>
      </w:r>
      <w:r>
        <w:t xml:space="preserve"> </w:t>
      </w:r>
      <w:r>
        <w:rPr>
          <w:rFonts w:ascii="Courier New" w:hAnsi="Courier New"/>
          <w:sz w:val="18"/>
        </w:rPr>
        <w:t>ResolverModulosAtivosQueryHandler</w:t>
      </w:r>
      <w:r>
        <w:t xml:space="preserve"> monta um </w:t>
      </w:r>
      <w:r>
        <w:rPr>
          <w:rFonts w:ascii="Courier New" w:hAnsi="Courier New"/>
          <w:sz w:val="18"/>
        </w:rPr>
        <w:t>HashSet</w:t>
      </w:r>
      <w:r>
        <w:t xml:space="preserve"> com:</w:t>
      </w:r>
    </w:p>
    <w:p>
      <w:r>
        <w:t xml:space="preserve">   baseline (</w:t>
      </w:r>
      <w:r>
        <w:rPr>
          <w:rFonts w:ascii="Courier New" w:hAnsi="Courier New"/>
          <w:sz w:val="18"/>
        </w:rPr>
        <w:t>ConfiguracaoGlobal</w:t>
      </w:r>
      <w:r>
        <w:t xml:space="preserve"> chave </w:t>
      </w:r>
      <w:r>
        <w:rPr>
          <w:rFonts w:ascii="Courier New" w:hAnsi="Courier New"/>
          <w:sz w:val="18"/>
        </w:rPr>
        <w:t>catalogo.baseline_modulos</w:t>
      </w:r>
      <w:r>
        <w:t>, lista separada por vírgula) + módulos do plano do</w:t>
      </w:r>
    </w:p>
    <w:p>
      <w:r>
        <w:t xml:space="preserve">   cliente + avulsos do usuário, e </w:t>
      </w:r>
      <w:r>
        <w:rPr>
          <w:b/>
        </w:rPr>
        <w:t>intersecta com os add-ons `Habilitado`</w:t>
      </w:r>
      <w:r>
        <w:t xml:space="preserve"> — sem duplicidade, ordenado</w:t>
      </w:r>
    </w:p>
    <w:p>
      <w:r>
        <w:t xml:space="preserve">   (</w:t>
      </w:r>
      <w:r>
        <w:rPr>
          <w:rFonts w:ascii="Courier New" w:hAnsi="Courier New"/>
          <w:sz w:val="18"/>
        </w:rPr>
        <w:t>CatalogoSaaSQueries.cs</w:t>
      </w:r>
      <w:r>
        <w:t>). A inserção de módulo avulso checa duplicata + índice único.</w:t>
      </w:r>
    </w:p>
    <w:p>
      <w:pPr>
        <w:pStyle w:val="ListNumber"/>
      </w:pPr>
      <w:r>
        <w:rPr>
          <w:b/>
        </w:rPr>
        <w:t>Add-on parent/child (REG-024).</w:t>
      </w:r>
      <w:r>
        <w:t xml:space="preserve"> Habilitar exige o pai habilitado; desabilitar bloqueia se houver filhos</w:t>
      </w:r>
    </w:p>
    <w:p>
      <w:r>
        <w:t xml:space="preserve">   habilitados (</w:t>
      </w:r>
      <w:r>
        <w:rPr>
          <w:rFonts w:ascii="Courier New" w:hAnsi="Courier New"/>
          <w:sz w:val="18"/>
        </w:rPr>
        <w:t>CatalogoSaaSHandlers.cs</w:t>
      </w:r>
      <w:r>
        <w:t>).</w:t>
      </w:r>
    </w:p>
    <w:p>
      <w:pPr>
        <w:pStyle w:val="ListNumber"/>
      </w:pPr>
      <w:r>
        <w:rPr>
          <w:b/>
        </w:rPr>
        <w:t>Autorização dos catálogos (decisão #9, REG-004).</w:t>
      </w:r>
      <w:r>
        <w:t xml:space="preserve"> </w:t>
      </w:r>
      <w:r>
        <w:rPr>
          <w:rFonts w:ascii="Courier New" w:hAnsi="Courier New"/>
          <w:sz w:val="18"/>
        </w:rPr>
        <w:t>GeografiaController</w:t>
      </w:r>
      <w:r>
        <w:t xml:space="preserve">, </w:t>
      </w:r>
      <w:r>
        <w:rPr>
          <w:rFonts w:ascii="Courier New" w:hAnsi="Courier New"/>
          <w:sz w:val="18"/>
        </w:rPr>
        <w:t>MoedasController</w:t>
      </w:r>
      <w:r>
        <w:t xml:space="preserve">, </w:t>
      </w:r>
      <w:r>
        <w:rPr>
          <w:rFonts w:ascii="Courier New" w:hAnsi="Courier New"/>
          <w:sz w:val="18"/>
        </w:rPr>
        <w:t>CuponsController</w:t>
      </w:r>
      <w:r>
        <w:t xml:space="preserve"> e</w:t>
      </w:r>
    </w:p>
    <w:p>
      <w:r>
        <w:t xml:space="preserve">   </w:t>
      </w:r>
      <w:r>
        <w:rPr>
          <w:rFonts w:ascii="Courier New" w:hAnsi="Courier New"/>
          <w:sz w:val="18"/>
        </w:rPr>
        <w:t>CatalogoSaaSController</w:t>
      </w:r>
      <w:r>
        <w:t xml:space="preserve"> carregam </w:t>
      </w:r>
      <w:r>
        <w:rPr>
          <w:rFonts w:ascii="Courier New" w:hAnsi="Courier New"/>
          <w:sz w:val="18"/>
        </w:rPr>
        <w:t>[AbacAuthorize("SuperAdmin","Configurar")]</w:t>
      </w:r>
      <w:r>
        <w:t>; os comerciais (Catálogo/Cupons) somam a</w:t>
      </w:r>
    </w:p>
    <w:p>
      <w:r>
        <w:t xml:space="preserve">   faixa de Suporte Comercial (</w:t>
      </w:r>
      <w:r>
        <w:rPr>
          <w:rFonts w:ascii="Courier New" w:hAnsi="Courier New"/>
          <w:sz w:val="18"/>
        </w:rPr>
        <w:t>SuperAdminSeguranca.RecursoSuporteComercial</w:t>
      </w:r>
      <w:r>
        <w:t>) — correção de segurança da fatia.</w:t>
      </w:r>
    </w:p>
    <w:p>
      <w:pPr>
        <w:pStyle w:val="ListNumber"/>
      </w:pPr>
      <w:r>
        <w:rPr>
          <w:b/>
        </w:rPr>
        <w:t>Geografia operacional.</w:t>
      </w:r>
      <w:r>
        <w:t xml:space="preserve"> </w:t>
      </w:r>
      <w:r>
        <w:rPr>
          <w:rFonts w:ascii="Courier New" w:hAnsi="Courier New"/>
          <w:sz w:val="18"/>
        </w:rPr>
        <w:t>GeografiaController</w:t>
      </w:r>
      <w:r>
        <w:t xml:space="preserve"> também sincroniza municípios (</w:t>
      </w:r>
      <w:r>
        <w:rPr>
          <w:rFonts w:ascii="Courier New" w:hAnsi="Courier New"/>
          <w:sz w:val="18"/>
        </w:rPr>
        <w:t>municipios/sincronizar</w:t>
      </w:r>
      <w:r>
        <w:t xml:space="preserve"> →</w:t>
      </w:r>
    </w:p>
    <w:p>
      <w:r>
        <w:t xml:space="preserve">   </w:t>
      </w:r>
      <w:r>
        <w:rPr>
          <w:rFonts w:ascii="Courier New" w:hAnsi="Courier New"/>
          <w:sz w:val="18"/>
        </w:rPr>
        <w:t>SincronizacaoGeografica</w:t>
      </w:r>
      <w:r>
        <w:t>), consulta CEP com cache (</w:t>
      </w:r>
      <w:r>
        <w:rPr>
          <w:rFonts w:ascii="Courier New" w:hAnsi="Courier New"/>
          <w:sz w:val="18"/>
        </w:rPr>
        <w:t>cep/{cep}</w:t>
      </w:r>
      <w:r>
        <w:t xml:space="preserve">, </w:t>
      </w:r>
      <w:r>
        <w:rPr>
          <w:rFonts w:ascii="Courier New" w:hAnsi="Courier New"/>
          <w:sz w:val="18"/>
        </w:rPr>
        <w:t>cep/cache</w:t>
      </w:r>
      <w:r>
        <w:t xml:space="preserve">, </w:t>
      </w:r>
      <w:r>
        <w:rPr>
          <w:rFonts w:ascii="Courier New" w:hAnsi="Courier New"/>
          <w:sz w:val="18"/>
        </w:rPr>
        <w:t>cep/{cep}/reprocessar</w:t>
      </w:r>
      <w:r>
        <w:t xml:space="preserve">, </w:t>
      </w:r>
      <w:r>
        <w:rPr>
          <w:rFonts w:ascii="Courier New" w:hAnsi="Courier New"/>
          <w:sz w:val="18"/>
        </w:rPr>
        <w:t>cep/manual</w:t>
      </w:r>
      <w:r>
        <w:t>) e</w:t>
      </w:r>
    </w:p>
    <w:p>
      <w:r>
        <w:t xml:space="preserve">   zonas de entrega.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 / fronteira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ModuloPlano</w:t>
            </w:r>
            <w:r>
              <w:t xml:space="preserve"> é 1:N de </w:t>
            </w:r>
            <w:r>
              <w:rPr>
                <w:rFonts w:ascii="Courier New" w:hAnsi="Courier New"/>
                <w:sz w:val="18"/>
              </w:rPr>
              <w:t>Plano</w:t>
            </w:r>
            <w:r>
              <w:t xml:space="preserve">; validação de cupom lê </w:t>
            </w:r>
            <w:r>
              <w:rPr>
                <w:rFonts w:ascii="Courier New" w:hAnsi="Courier New"/>
                <w:sz w:val="18"/>
              </w:rPr>
              <w:t>Plano.Preco</w:t>
            </w:r>
            <w:r>
              <w:t xml:space="preserve">; catálogos globais seguem a mesma lógica </w:t>
            </w:r>
            <w:r>
              <w:rPr>
                <w:rFonts w:ascii="Courier New" w:hAnsi="Courier New"/>
                <w:sz w:val="18"/>
              </w:rPr>
              <w:t>TenantId="system"</w:t>
            </w:r>
            <w:r>
              <w:t xml:space="preserve"> do Plano híbrido.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PEDIDOS_E_COBRANCA_SAAS (1.09)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UsoCupom</w:t>
            </w:r>
            <w:r>
              <w:t xml:space="preserve"> referencia </w:t>
            </w:r>
            <w:r>
              <w:rPr>
                <w:rFonts w:ascii="Courier New" w:hAnsi="Courier New"/>
                <w:sz w:val="18"/>
              </w:rPr>
              <w:t>PedidoId</w:t>
            </w:r>
            <w:r>
              <w:t xml:space="preserve">; </w:t>
            </w:r>
            <w:r>
              <w:rPr>
                <w:b/>
              </w:rPr>
              <w:t>Tipo de pagamento adiado para cá</w:t>
            </w:r>
            <w:r>
              <w:t xml:space="preserve"> (não implementado no 1.02).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PESSOA_E_ORGANIZACAO / ONBOARDING (1.07)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Pessoa</w:t>
            </w:r>
            <w:r>
              <w:t>/</w:t>
            </w:r>
            <w:r>
              <w:rPr>
                <w:rFonts w:ascii="Courier New" w:hAnsi="Courier New"/>
                <w:sz w:val="18"/>
              </w:rPr>
              <w:t>Endereco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Empresa</w:t>
            </w:r>
            <w:r>
              <w:t xml:space="preserve"> referenciam </w:t>
            </w:r>
            <w:r>
              <w:rPr>
                <w:rFonts w:ascii="Courier New" w:hAnsi="Courier New"/>
                <w:sz w:val="18"/>
              </w:rPr>
              <w:t>PaisId</w:t>
            </w:r>
            <w:r>
              <w:t>/</w:t>
            </w:r>
            <w:r>
              <w:rPr>
                <w:rFonts w:ascii="Courier New" w:hAnsi="Courier New"/>
                <w:sz w:val="18"/>
              </w:rPr>
              <w:t>Municipio</w:t>
            </w:r>
            <w:r>
              <w:t xml:space="preserve"> (FK de geografia); inativação de País deve checar uso.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ITenantProvider</w:t>
            </w:r>
            <w:r>
              <w:t xml:space="preserve">/RLS definem o tenant que segrega custom de global; resolução de módulos usa </w:t>
            </w:r>
            <w:r>
              <w:rPr>
                <w:rFonts w:ascii="Courier New" w:hAnsi="Courier New"/>
                <w:sz w:val="18"/>
              </w:rPr>
              <w:t>UsuarioId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PERMISSOES_DE_MENU (1.10) / USUARIOS_E_PAPEIS (1.11)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ModuloAtivoUsuario</w:t>
            </w:r>
            <w:r>
              <w:t xml:space="preserve"> alimenta enforcement modular; </w:t>
            </w:r>
            <w:r>
              <w:rPr>
                <w:rFonts w:ascii="Courier New" w:hAnsi="Courier New"/>
                <w:sz w:val="18"/>
              </w:rPr>
              <w:t>Menu.CapacidadeRequerida</w:t>
            </w:r>
            <w:r>
              <w:t xml:space="preserve"> liga item de menu à capacidade RBAC.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CONFIGURACAO (3.05)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WebsiteSetting (config pública) adiada para cá</w:t>
            </w:r>
            <w:r>
              <w:t xml:space="preserve">; por ora usa-se </w:t>
            </w:r>
            <w:r>
              <w:rPr>
                <w:rFonts w:ascii="Courier New" w:hAnsi="Courier New"/>
                <w:sz w:val="18"/>
              </w:rPr>
              <w:t>LandingPageSettings</w:t>
            </w:r>
            <w:r>
              <w:t xml:space="preserve"> (JSON) do DASHBOARD_E_LAYOUT.</w:t>
            </w:r>
          </w:p>
        </w:tc>
      </w:tr>
    </w:tbl>
    <w:p/>
    <w:p>
      <w:pPr>
        <w:pStyle w:val="Heading2"/>
      </w:pPr>
      <w:r>
        <w:t>6. O que NÃO está pronto (ver MC + decisões)</w:t>
      </w:r>
    </w:p>
    <w:p>
      <w:pPr>
        <w:pStyle w:val="ListBullet"/>
      </w:pPr>
      <w:r>
        <w:rPr>
          <w:b/>
        </w:rPr>
        <w:t>Tipo de pagamento (WebsiteSetting): não implementado</w:t>
      </w:r>
      <w:r>
        <w:t xml:space="preserve"> — adiados por decisão para 1.09 e 3.05 (gap registrado).</w:t>
      </w:r>
    </w:p>
    <w:p>
      <w:pPr>
        <w:pStyle w:val="ListBullet"/>
      </w:pPr>
      <w:r>
        <w:rPr>
          <w:b/>
        </w:rPr>
        <w:t>Configuração pública tipada (WebsiteSetting):</w:t>
      </w:r>
      <w:r>
        <w:t xml:space="preserve"> não existe entidade; mantém-se </w:t>
      </w:r>
      <w:r>
        <w:rPr>
          <w:rFonts w:ascii="Courier New" w:hAnsi="Courier New"/>
          <w:sz w:val="18"/>
        </w:rPr>
        <w:t>LandingPageSettings</w:t>
      </w:r>
      <w:r>
        <w:t xml:space="preserve"> genérico.</w:t>
      </w:r>
    </w:p>
    <w:p>
      <w:pPr>
        <w:pStyle w:val="ListBullet"/>
      </w:pPr>
      <w:r>
        <w:rPr>
          <w:b/>
        </w:rPr>
        <w:t>Resolução modular avançada não implementada:</w:t>
      </w:r>
      <w:r>
        <w:t xml:space="preserve"> REG-013 (admin vê tudo), REG-014 (herança de owner),</w:t>
      </w:r>
    </w:p>
    <w:p>
      <w:r>
        <w:t xml:space="preserve">  REG-016 (</w:t>
      </w:r>
      <w:r>
        <w:rPr>
          <w:rFonts w:ascii="Courier New" w:hAnsi="Courier New"/>
          <w:sz w:val="18"/>
        </w:rPr>
        <w:t>ReatribuirModulosUsuario</w:t>
      </w:r>
      <w:r>
        <w:t xml:space="preserve">/override que limpa) e REG-018 (carga padrão → 1.10). O enum tem </w:t>
      </w:r>
      <w:r>
        <w:rPr>
          <w:rFonts w:ascii="Courier New" w:hAnsi="Courier New"/>
          <w:sz w:val="18"/>
        </w:rPr>
        <w:t>Override</w:t>
      </w:r>
      <w:r>
        <w:t xml:space="preserve"> mas</w:t>
      </w:r>
    </w:p>
    <w:p>
      <w:r>
        <w:t xml:space="preserve">  não há comando; grep por </w:t>
      </w:r>
      <w:r>
        <w:rPr>
          <w:rFonts w:ascii="Courier New" w:hAnsi="Courier New"/>
          <w:sz w:val="18"/>
        </w:rPr>
        <w:t>Reatribuir</w:t>
      </w:r>
      <w:r>
        <w:t>/</w:t>
      </w:r>
      <w:r>
        <w:rPr>
          <w:rFonts w:ascii="Courier New" w:hAnsi="Courier New"/>
          <w:sz w:val="18"/>
        </w:rPr>
        <w:t>ObterPrecoModulo</w:t>
      </w:r>
      <w:r>
        <w:t xml:space="preserve"> = </w:t>
      </w:r>
      <w:r>
        <w:rPr>
          <w:b/>
        </w:rPr>
        <w:t>zero</w:t>
      </w:r>
      <w:r>
        <w:t xml:space="preserve"> (REG-019/020 preço por módulo também </w:t>
      </w:r>
      <w:r>
        <w:rPr>
          <w:b/>
        </w:rPr>
        <w:t>não</w:t>
      </w:r>
    </w:p>
    <w:p>
      <w:r>
        <w:t xml:space="preserve">  implantados apesar da decisão #8).</w:t>
      </w:r>
    </w:p>
    <w:p>
      <w:pPr>
        <w:pStyle w:val="ListBullet"/>
      </w:pPr>
      <w:r>
        <w:rPr>
          <w:b/>
        </w:rPr>
        <w:t>Cupom:</w:t>
      </w:r>
      <w:r>
        <w:t xml:space="preserve"> híbrido via </w:t>
      </w:r>
      <w:r>
        <w:rPr>
          <w:rFonts w:ascii="Courier New" w:hAnsi="Courier New"/>
          <w:sz w:val="18"/>
        </w:rPr>
        <w:t>TenantId="system"</w:t>
      </w:r>
      <w:r>
        <w:t xml:space="preserve"> mas </w:t>
      </w:r>
      <w:r>
        <w:rPr>
          <w:b/>
        </w:rPr>
        <w:t>não</w:t>
      </w:r>
      <w:r>
        <w:t xml:space="preserve"> marcado </w:t>
      </w:r>
      <w:r>
        <w:rPr>
          <w:rFonts w:ascii="Courier New" w:hAnsi="Courier New"/>
          <w:sz w:val="18"/>
        </w:rPr>
        <w:t>IGlobalEntity</w:t>
      </w:r>
      <w:r>
        <w:t>; a listagem usa o query filter padrão.</w:t>
      </w:r>
    </w:p>
    <w:p>
      <w:pPr>
        <w:pStyle w:val="ListBullet"/>
      </w:pPr>
      <w:r>
        <w:rPr>
          <w:b/>
        </w:rPr>
        <w:t>Telas (fase final de front):</w:t>
      </w:r>
      <w:r>
        <w:t xml:space="preserve"> Moedas, Funcionalidades e Cupons não têm página administrativa dedicada; Países/Add-ons têm.</w:t>
      </w:r>
    </w:p>
    <w:p>
      <w:pPr>
        <w:pStyle w:val="ListBullet"/>
      </w:pPr>
      <w:r>
        <w:rPr>
          <w:b/>
        </w:rPr>
        <w:t>Testes:</w:t>
      </w:r>
      <w:r>
        <w:t xml:space="preserve"> há </w:t>
      </w:r>
      <w:r>
        <w:rPr>
          <w:rFonts w:ascii="Courier New" w:hAnsi="Courier New"/>
          <w:sz w:val="18"/>
        </w:rPr>
        <w:t>PaisTests</w:t>
      </w:r>
      <w:r>
        <w:t xml:space="preserve">, </w:t>
      </w:r>
      <w:r>
        <w:rPr>
          <w:rFonts w:ascii="Courier New" w:hAnsi="Courier New"/>
          <w:sz w:val="18"/>
        </w:rPr>
        <w:t>GeografiaQueriesTests</w:t>
      </w:r>
      <w:r>
        <w:t xml:space="preserve">, </w:t>
      </w:r>
      <w:r>
        <w:rPr>
          <w:rFonts w:ascii="Courier New" w:hAnsi="Courier New"/>
          <w:sz w:val="18"/>
        </w:rPr>
        <w:t>GovernancaRbacCatalogoF1Tests</w:t>
      </w:r>
      <w:r>
        <w:t>; cobertura de Cupom/Moeda/resolução modular ainda parcial.</w:t>
      </w:r>
    </w:p>
    <w:p>
      <w:pPr>
        <w:pStyle w:val="Heading2"/>
      </w:pPr>
      <w:r>
        <w:t>7. Rastreabilidade</w:t>
      </w:r>
    </w:p>
    <w:p>
      <w:r>
        <w:t>EF (contrato + 24 REG) · MC (P0: cupom/tipo-pagamento/add-ons) · VERIFICACAO_IMPLEMENTACAO_V1 (matriz campo×código, 2026-07-29) ·</w:t>
      </w:r>
    </w:p>
    <w:p>
      <w:r>
        <w:t xml:space="preserve">DECISOES_IMPLANTACAO_V1 (4 decisões P0 + defaults 5-9) · migrations </w:t>
      </w:r>
      <w:r>
        <w:rPr>
          <w:rFonts w:ascii="Courier New" w:hAnsi="Courier New"/>
          <w:sz w:val="18"/>
        </w:rPr>
        <w:t>20260731013438_Implanta_1_02_CatalogosGlobaisSaaS</w:t>
      </w:r>
      <w:r>
        <w:t>,</w:t>
      </w:r>
    </w:p>
    <w:p>
      <w:r>
        <w:rPr>
          <w:rFonts w:ascii="Courier New" w:hAnsi="Courier New"/>
          <w:sz w:val="18"/>
        </w:rPr>
        <w:t>20260620233957_AddGeografiaEntities</w:t>
      </w:r>
      <w:r>
        <w:t xml:space="preserve">, </w:t>
      </w:r>
      <w:r>
        <w:rPr>
          <w:rFonts w:ascii="Courier New" w:hAnsi="Courier New"/>
          <w:sz w:val="18"/>
        </w:rPr>
        <w:t>20260621190109_AddSincronizacaoGeografica</w:t>
      </w:r>
      <w:r>
        <w:t xml:space="preserve">, </w:t>
      </w:r>
      <w:r>
        <w:rPr>
          <w:rFonts w:ascii="Courier New" w:hAnsi="Courier New"/>
          <w:sz w:val="18"/>
        </w:rPr>
        <w:t>20260726030645_AddCatalogoSaaSAddOns</w:t>
      </w:r>
      <w:r>
        <w:t>,</w:t>
      </w:r>
    </w:p>
    <w:p>
      <w:r>
        <w:rPr>
          <w:rFonts w:ascii="Courier New" w:hAnsi="Courier New"/>
          <w:sz w:val="18"/>
        </w:rPr>
        <w:t>20260707123944_Fechamento_GestaoClientes_PaisIdGuid_Status</w:t>
      </w:r>
      <w:r>
        <w:t xml:space="preserve"> (</w:t>
      </w:r>
      <w:r>
        <w:rPr>
          <w:rFonts w:ascii="Courier New" w:hAnsi="Courier New"/>
          <w:sz w:val="18"/>
        </w:rPr>
        <w:t>Epros.Modules.GestaoClientes/Migrations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