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1.07 ONBOARDING_E_EMPRESA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 xml:space="preserve">(migration </w:t>
      </w:r>
      <w:r>
        <w:rPr>
          <w:rFonts w:ascii="Courier New" w:hAnsi="Courier New"/>
          <w:sz w:val="18"/>
        </w:rPr>
        <w:t>Implanta_1_07_OnboardingEmpresa</w:t>
      </w:r>
      <w:r>
        <w:t xml:space="preserve">, branch </w:t>
      </w:r>
      <w:r>
        <w:rPr>
          <w:rFonts w:ascii="Courier New" w:hAnsi="Courier New"/>
          <w:sz w:val="18"/>
        </w:rPr>
        <w:t>pente-fino/aplicativo</w:t>
      </w:r>
      <w:r>
        <w:t>, suíte 928/0).</w:t>
      </w:r>
    </w:p>
    <w:p>
      <w:pPr>
        <w:pStyle w:val="Heading2"/>
      </w:pPr>
      <w:r>
        <w:t>1. O que o submódulo faz</w:t>
      </w:r>
    </w:p>
    <w:p>
      <w:r>
        <w:t xml:space="preserve">Provisiona um </w:t>
      </w:r>
      <w:r>
        <w:rPr>
          <w:b/>
        </w:rPr>
        <w:t>tenant novo em uma única transação atômica</w:t>
      </w:r>
      <w:r>
        <w:t xml:space="preserve"> a partir do self-register público. Ao registrar, o</w:t>
      </w:r>
    </w:p>
    <w:p>
      <w:r>
        <w:t xml:space="preserve">sistema cria, na mesma transação (dois DbContexts numa conexão física): o </w:t>
      </w:r>
      <w:r>
        <w:rPr>
          <w:b/>
        </w:rPr>
        <w:t>TenantId</w:t>
      </w:r>
      <w:r>
        <w:t xml:space="preserve">, a </w:t>
      </w:r>
      <w:r>
        <w:rPr>
          <w:b/>
        </w:rPr>
        <w:t>Empresa</w:t>
      </w:r>
      <w:r>
        <w:t xml:space="preserve"> operacional</w:t>
      </w:r>
    </w:p>
    <w:p>
      <w:r>
        <w:t xml:space="preserve">inicial, o </w:t>
      </w:r>
      <w:r>
        <w:rPr>
          <w:b/>
        </w:rPr>
        <w:t>Usuário admin</w:t>
      </w:r>
      <w:r>
        <w:t xml:space="preserve"> (com vínculos </w:t>
      </w:r>
      <w:r>
        <w:rPr>
          <w:rFonts w:ascii="Courier New" w:hAnsi="Courier New"/>
          <w:sz w:val="18"/>
        </w:rPr>
        <w:t>UsuarioEmpresa</w:t>
      </w:r>
      <w:r>
        <w:t xml:space="preserve"> IsAdmin e </w:t>
      </w:r>
      <w:r>
        <w:rPr>
          <w:rFonts w:ascii="Courier New" w:hAnsi="Courier New"/>
          <w:sz w:val="18"/>
        </w:rPr>
        <w:t>AcessoUsuarioTenant</w:t>
      </w:r>
      <w:r>
        <w:t xml:space="preserve"> Proprietário), a</w:t>
      </w:r>
    </w:p>
    <w:p>
      <w:r>
        <w:rPr>
          <w:b/>
        </w:rPr>
        <w:t>ConfiguracaoEmpresa</w:t>
      </w:r>
      <w:r>
        <w:t xml:space="preserve"> default, o primeiro </w:t>
      </w:r>
      <w:r>
        <w:rPr>
          <w:b/>
        </w:rPr>
        <w:t>AnoFinanceiro</w:t>
      </w:r>
      <w:r>
        <w:t xml:space="preserve">, o </w:t>
      </w:r>
      <w:r>
        <w:rPr>
          <w:b/>
        </w:rPr>
        <w:t>Idioma</w:t>
      </w:r>
      <w:r>
        <w:t xml:space="preserve"> default e — a decisão-chave da 1.07 — o</w:t>
      </w:r>
    </w:p>
    <w:p>
      <w:r>
        <w:rPr>
          <w:b/>
        </w:rPr>
        <w:t>Cliente SaaS + AssinaturaCliente em Trial</w:t>
      </w:r>
      <w:r>
        <w:t xml:space="preserve"> num plano trial, de modo que o tenant </w:t>
      </w:r>
      <w:r>
        <w:rPr>
          <w:b/>
        </w:rPr>
        <w:t>opera na hora, sem pagar</w:t>
      </w:r>
    </w:p>
    <w:p>
      <w:r>
        <w:t xml:space="preserve">(fim do trial recai no gating de StatusSaaS). Aceita </w:t>
      </w:r>
      <w:r>
        <w:rPr>
          <w:b/>
        </w:rPr>
        <w:t>PJ (CNPJ) e PF (CPF)</w:t>
      </w:r>
      <w:r>
        <w:t>. Dispara e-mail de boas-vindas via hook</w:t>
      </w:r>
    </w:p>
    <w:p>
      <w:r>
        <w:t xml:space="preserve">resiliente. Mantém </w:t>
      </w:r>
      <w:r>
        <w:rPr>
          <w:b/>
        </w:rPr>
        <w:t>integridade fiscal</w:t>
      </w:r>
      <w:r>
        <w:t xml:space="preserve">: FKs fiscais que dependem de modelos governados ficam </w:t>
      </w:r>
      <w:r>
        <w:rPr>
          <w:b/>
        </w:rPr>
        <w:t>nulas</w:t>
      </w:r>
      <w:r>
        <w:t xml:space="preserve"> em vez de</w:t>
      </w:r>
    </w:p>
    <w:p>
      <w:r>
        <w:t xml:space="preserve">fabricadas (sem </w:t>
      </w:r>
      <w:r>
        <w:rPr>
          <w:rFonts w:ascii="Courier New" w:hAnsi="Courier New"/>
          <w:sz w:val="18"/>
        </w:rPr>
        <w:t>Guid.NewGuid()</w:t>
      </w:r>
      <w:r>
        <w:t xml:space="preserve"> fiscal).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`src/Modules/Epros.Modules.Aplicativo/Application/Handlers/AuthHandlers.cs`</w:t>
      </w:r>
      <w:r>
        <w:t xml:space="preserve"> —</w:t>
      </w:r>
    </w:p>
    <w:p>
      <w:r>
        <w:t xml:space="preserve">  </w:t>
      </w:r>
      <w:r>
        <w:rPr>
          <w:rFonts w:ascii="Courier New" w:hAnsi="Courier New"/>
          <w:sz w:val="18"/>
        </w:rPr>
        <w:t>RegistrarNovoTenantCommandHandler</w:t>
      </w:r>
      <w:r>
        <w:t xml:space="preserve"> (o coração; a transação inteira vive aqui, ~</w:t>
      </w:r>
      <w:r>
        <w:rPr>
          <w:rFonts w:ascii="Courier New" w:hAnsi="Courier New"/>
          <w:sz w:val="18"/>
        </w:rPr>
        <w:t>:749-1160</w:t>
      </w:r>
      <w:r>
        <w:t>).</w:t>
      </w:r>
    </w:p>
    <w:p>
      <w:pPr>
        <w:pStyle w:val="ListBullet"/>
      </w:pPr>
      <w:r>
        <w:rPr>
          <w:b/>
        </w:rPr>
        <w:t>`.../Application/Commands/AuthCommands.cs`</w:t>
      </w:r>
      <w:r>
        <w:t xml:space="preserve"> — </w:t>
      </w:r>
      <w:r>
        <w:rPr>
          <w:rFonts w:ascii="Courier New" w:hAnsi="Courier New"/>
          <w:sz w:val="18"/>
        </w:rPr>
        <w:t>RegistrarNovoTenantCommand</w:t>
      </w:r>
      <w:r>
        <w:t xml:space="preserve"> + validador (política de senha, IBGE,</w:t>
      </w:r>
    </w:p>
    <w:p>
      <w:r>
        <w:t xml:space="preserve">  tipo de telefone).</w:t>
      </w:r>
    </w:p>
    <w:p>
      <w:pPr>
        <w:pStyle w:val="ListBullet"/>
      </w:pPr>
      <w:r>
        <w:rPr>
          <w:b/>
        </w:rPr>
        <w:t>`src/Modules/Epros.Modules.Aplicativo/Application/Services/OnboardingSaaSProvisioner.cs`</w:t>
      </w:r>
      <w:r>
        <w:t xml:space="preserve"> — ponto único do</w:t>
      </w:r>
    </w:p>
    <w:p>
      <w:r>
        <w:t xml:space="preserve">  provisionamento SaaS (plano trial, Cliente, assinatura trial) reusado pelo self-register e pelo handler avulso.</w:t>
      </w:r>
    </w:p>
    <w:p>
      <w:pPr>
        <w:pStyle w:val="ListBullet"/>
      </w:pPr>
      <w:r>
        <w:rPr>
          <w:b/>
        </w:rPr>
        <w:t>`.../Application/Handlers/OnboardingHandlers.cs`</w:t>
      </w:r>
      <w:r>
        <w:t xml:space="preserve"> — config de empresa, idiomas, Cliente SaaS avulso, e</w:t>
      </w:r>
    </w:p>
    <w:p>
      <w:r>
        <w:t xml:space="preserve">  </w:t>
      </w:r>
      <w:r>
        <w:rPr>
          <w:rFonts w:ascii="Courier New" w:hAnsi="Courier New"/>
          <w:sz w:val="18"/>
        </w:rPr>
        <w:t>ObterContextoSessaoQueryHandler</w:t>
      </w:r>
      <w:r>
        <w:t xml:space="preserve"> (resolve </w:t>
      </w:r>
      <w:r>
        <w:rPr>
          <w:rFonts w:ascii="Courier New" w:hAnsi="Courier New"/>
          <w:sz w:val="18"/>
        </w:rPr>
        <w:t>block</w:t>
      </w:r>
      <w:r>
        <w:t>).</w:t>
      </w:r>
    </w:p>
    <w:p>
      <w:pPr>
        <w:pStyle w:val="ListBullet"/>
      </w:pPr>
      <w:r>
        <w:rPr>
          <w:b/>
        </w:rPr>
        <w:t>`src/API/Epros.API/Controllers/AuthController.cs:160`</w:t>
      </w:r>
      <w:r>
        <w:t xml:space="preserve"> — </w:t>
      </w:r>
      <w:r>
        <w:rPr>
          <w:rFonts w:ascii="Courier New" w:hAnsi="Courier New"/>
          <w:sz w:val="18"/>
        </w:rPr>
        <w:t>POST /api/v1/public/auth/registrar-tenant</w:t>
      </w:r>
    </w:p>
    <w:p>
      <w:r>
        <w:t xml:space="preserve">  </w:t>
      </w:r>
      <w:r>
        <w:rPr>
          <w:rFonts w:ascii="Courier New" w:hAnsi="Courier New"/>
          <w:sz w:val="18"/>
        </w:rPr>
        <w:t>[AllowAnonymous]</w:t>
      </w:r>
      <w:r>
        <w:t xml:space="preserve">; </w:t>
      </w:r>
      <w:r>
        <w:rPr>
          <w:b/>
        </w:rPr>
        <w:t>`OnboardingController.cs`</w:t>
      </w:r>
      <w:r>
        <w:t xml:space="preserve"> — config/idioma/</w:t>
      </w:r>
      <w:r>
        <w:rPr>
          <w:rFonts w:ascii="Courier New" w:hAnsi="Courier New"/>
          <w:sz w:val="18"/>
        </w:rPr>
        <w:t>onboarding/cliente-saas</w:t>
      </w:r>
      <w:r>
        <w:t>.</w:t>
      </w:r>
    </w:p>
    <w:p>
      <w:pPr>
        <w:pStyle w:val="ListBullet"/>
      </w:pPr>
      <w:r>
        <w:rPr>
          <w:b/>
        </w:rPr>
        <w:t>Domínio:</w:t>
      </w:r>
      <w:r>
        <w:t xml:space="preserve"> </w:t>
      </w:r>
      <w:r>
        <w:rPr>
          <w:rFonts w:ascii="Courier New" w:hAnsi="Courier New"/>
          <w:sz w:val="18"/>
        </w:rPr>
        <w:t>Epros.Modules.GestaoClientes/Domain/Entities/Empresa.cs</w:t>
      </w:r>
      <w:r>
        <w:t xml:space="preserve">, </w:t>
      </w:r>
      <w:r>
        <w:rPr>
          <w:rFonts w:ascii="Courier New" w:hAnsi="Courier New"/>
          <w:sz w:val="18"/>
        </w:rPr>
        <w:t>Cliente.cs</w:t>
      </w:r>
      <w:r>
        <w:t xml:space="preserve">, </w:t>
      </w:r>
      <w:r>
        <w:rPr>
          <w:rFonts w:ascii="Courier New" w:hAnsi="Courier New"/>
          <w:sz w:val="18"/>
        </w:rPr>
        <w:t>AssinaturaCliente.cs</w:t>
      </w:r>
      <w:r>
        <w:t>;</w:t>
      </w:r>
    </w:p>
    <w:p>
      <w:r>
        <w:t xml:space="preserve">  </w:t>
      </w:r>
      <w:r>
        <w:rPr>
          <w:rFonts w:ascii="Courier New" w:hAnsi="Courier New"/>
          <w:sz w:val="18"/>
        </w:rPr>
        <w:t>Epros.Modules.Aplicativo/Domain/Entities/ConfiguracaoEmpresa.cs</w:t>
      </w:r>
      <w:r>
        <w:t xml:space="preserve">, </w:t>
      </w:r>
      <w:r>
        <w:rPr>
          <w:rFonts w:ascii="Courier New" w:hAnsi="Courier New"/>
          <w:sz w:val="18"/>
        </w:rPr>
        <w:t>Usuario.cs</w:t>
      </w:r>
      <w:r>
        <w:t xml:space="preserve">, </w:t>
      </w:r>
      <w:r>
        <w:rPr>
          <w:rFonts w:ascii="Courier New" w:hAnsi="Courier New"/>
          <w:sz w:val="18"/>
        </w:rPr>
        <w:t>AnoFinanceiro.cs</w:t>
      </w:r>
      <w:r>
        <w:t>.</w:t>
      </w:r>
    </w:p>
    <w:p>
      <w:pPr>
        <w:pStyle w:val="Heading2"/>
      </w:pPr>
      <w:r>
        <w:t>3. Entidades e campos implantados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(V1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880"/>
          </w:tcPr>
          <w:p>
            <w:r>
              <w:t xml:space="preserve">RazaoSocial, NomeFantasia, Cnpj, </w:t>
            </w:r>
            <w:r>
              <w:rPr>
                <w:b/>
              </w:rPr>
              <w:t>Cpf?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Empresa.cs:17</w:t>
            </w:r>
            <w:r>
              <w:t xml:space="preserve">, invariante relaxada: aceita CNPJ </w:t>
            </w:r>
            <w:r>
              <w:rPr>
                <w:b/>
              </w:rPr>
              <w:t>ou</w:t>
            </w:r>
            <w:r>
              <w:t xml:space="preserve"> CPF, </w:t>
            </w:r>
            <w:r>
              <w:rPr>
                <w:rFonts w:ascii="Courier New" w:hAnsi="Courier New"/>
                <w:sz w:val="18"/>
              </w:rPr>
              <w:t>:108-118</w:t>
            </w:r>
            <w:r>
              <w:t>), RegimeTributario/Apuracao, ProdutoGrupoId?/TributarioGrupoId?/PlanoContasFinanceiroId?/EmpresaParametrosDfeId? (</w:t>
            </w:r>
            <w:r>
              <w:rPr>
                <w:b/>
              </w:rPr>
              <w:t>nulos deliberados</w:t>
            </w:r>
            <w:r>
              <w:t>)</w:t>
            </w:r>
          </w:p>
        </w:tc>
        <w:tc>
          <w:tcPr>
            <w:tcW w:type="dxa" w:w="2880"/>
          </w:tcPr>
          <w:p>
            <w:r>
              <w:t>Empresa operacional inicial do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</w:t>
            </w:r>
            <w:r>
              <w:t xml:space="preserve"> (admin)</w:t>
            </w:r>
          </w:p>
        </w:tc>
        <w:tc>
          <w:tcPr>
            <w:tcW w:type="dxa" w:w="2880"/>
          </w:tcPr>
          <w:p>
            <w:r>
              <w:t xml:space="preserve">Nome, Email (login </w:t>
            </w:r>
            <w:r>
              <w:rPr>
                <w:b/>
              </w:rPr>
              <w:t>global</w:t>
            </w:r>
            <w:r>
              <w:t xml:space="preserve"> único), SenhaHash (PBKDF2), Status, Tipo Company</w:t>
            </w:r>
          </w:p>
        </w:tc>
        <w:tc>
          <w:tcPr>
            <w:tcW w:type="dxa" w:w="2880"/>
          </w:tcPr>
          <w:p>
            <w:r>
              <w:t>Administrador do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UsuarioEmpresa</w:t>
            </w:r>
          </w:p>
        </w:tc>
        <w:tc>
          <w:tcPr>
            <w:tcW w:type="dxa" w:w="2880"/>
          </w:tcPr>
          <w:p>
            <w:r>
              <w:t xml:space="preserve">UsuarioId, EmpresaId, </w:t>
            </w:r>
            <w:r>
              <w:rPr>
                <w:b/>
              </w:rPr>
              <w:t>IsAdmin=true</w:t>
            </w:r>
            <w:r>
              <w:t xml:space="preserve"> (perfil dispensado)</w:t>
            </w:r>
          </w:p>
        </w:tc>
        <w:tc>
          <w:tcPr>
            <w:tcW w:type="dxa" w:w="2880"/>
          </w:tcPr>
          <w:p>
            <w:r>
              <w:t>Vínculo usuário↔empresa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AcessoUsuarioTenant</w:t>
            </w:r>
          </w:p>
        </w:tc>
        <w:tc>
          <w:tcPr>
            <w:tcW w:type="dxa" w:w="2880"/>
          </w:tcPr>
          <w:p>
            <w:r>
              <w:t>UsuarioId, TenantId, papel Proprietário</w:t>
            </w:r>
          </w:p>
        </w:tc>
        <w:tc>
          <w:tcPr>
            <w:tcW w:type="dxa" w:w="2880"/>
          </w:tcPr>
          <w:p>
            <w:r>
              <w:t>Membership N:N (1.04)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Cliente</w:t>
            </w:r>
            <w:r>
              <w:t xml:space="preserve"> (assinante SaaS)</w:t>
            </w:r>
          </w:p>
        </w:tc>
        <w:tc>
          <w:tcPr>
            <w:tcW w:type="dxa" w:w="2880"/>
          </w:tcPr>
          <w:p>
            <w:r>
              <w:t xml:space="preserve">TenantId, PlanoId (trial), StatusSaaS </w:t>
            </w:r>
            <w:r>
              <w:rPr>
                <w:b/>
              </w:rPr>
              <w:t>TrialGratuito</w:t>
            </w:r>
            <w:r>
              <w:t>, documento (CNPJ/CPF)</w:t>
            </w:r>
          </w:p>
        </w:tc>
        <w:tc>
          <w:tcPr>
            <w:tcW w:type="dxa" w:w="2880"/>
          </w:tcPr>
          <w:p>
            <w:r>
              <w:t>Vínculo comercial que destrava o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AssinaturaCliente</w:t>
            </w:r>
          </w:p>
        </w:tc>
        <w:tc>
          <w:tcPr>
            <w:tcW w:type="dxa" w:w="2880"/>
          </w:tcPr>
          <w:p>
            <w:r>
              <w:t>ClienteId, PlanoId, Status Ativa, DataFim=agora+trial_days, TrialAte, MetodoPagamento "Trial"</w:t>
            </w:r>
          </w:p>
        </w:tc>
        <w:tc>
          <w:tcPr>
            <w:tcW w:type="dxa" w:w="2880"/>
          </w:tcPr>
          <w:p>
            <w:r>
              <w:t>Assinatura trial vigente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ConfiguracaoEmpresa</w:t>
            </w:r>
          </w:p>
        </w:tc>
        <w:tc>
          <w:tcPr>
            <w:tcW w:type="dxa" w:w="2880"/>
          </w:tcPr>
          <w:p>
            <w:r>
              <w:t xml:space="preserve">Nome, Email, Telefone, </w:t>
            </w:r>
            <w:r>
              <w:rPr>
                <w:b/>
              </w:rPr>
              <w:t>TelefoneTipo?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:14</w:t>
            </w:r>
            <w:r>
              <w:t>, coluna nova), TimeZoneId, DateFormat, CurrencyId, VatType, CurrencyPosition</w:t>
            </w:r>
          </w:p>
        </w:tc>
        <w:tc>
          <w:tcPr>
            <w:tcW w:type="dxa" w:w="2880"/>
          </w:tcPr>
          <w:p>
            <w:r>
              <w:t>Config default da empresa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AnoFinanceiro</w:t>
            </w:r>
          </w:p>
        </w:tc>
        <w:tc>
          <w:tcPr>
            <w:tcW w:type="dxa" w:w="2880"/>
          </w:tcPr>
          <w:p>
            <w:r>
              <w:t>from=agora, to=+365, ativo</w:t>
            </w:r>
          </w:p>
        </w:tc>
        <w:tc>
          <w:tcPr>
            <w:tcW w:type="dxa" w:w="2880"/>
          </w:tcPr>
          <w:p>
            <w:r>
              <w:t>Primeiro exercício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2880"/>
          </w:tcPr>
          <w:p>
            <w:r>
              <w:t>code, countryCode, enabled (base "en" protegido)</w:t>
            </w:r>
          </w:p>
        </w:tc>
        <w:tc>
          <w:tcPr>
            <w:tcW w:type="dxa" w:w="2880"/>
          </w:tcPr>
          <w:p>
            <w:r>
              <w:t>Idioma default</w:t>
            </w:r>
          </w:p>
        </w:tc>
      </w:tr>
    </w:tbl>
    <w:p/>
    <w:p>
      <w:pPr>
        <w:pStyle w:val="Heading2"/>
      </w:pPr>
      <w:r>
        <w:t>4. A lógica (regras implantadas)</w:t>
      </w:r>
    </w:p>
    <w:p>
      <w:pPr>
        <w:pStyle w:val="ListNumber"/>
      </w:pPr>
      <w:r>
        <w:rPr>
          <w:b/>
        </w:rPr>
        <w:t>Transação atômica de dois contextos (REG-001/002).</w:t>
      </w:r>
      <w:r>
        <w:t xml:space="preserve"> </w:t>
      </w:r>
      <w:r>
        <w:rPr>
          <w:rFonts w:ascii="Courier New" w:hAnsi="Courier New"/>
          <w:sz w:val="18"/>
        </w:rPr>
        <w:t>RegistrarNovoTenantCommandHandler</w:t>
      </w:r>
      <w:r>
        <w:t xml:space="preserve"> gera o </w:t>
      </w:r>
      <w:r>
        <w:rPr>
          <w:rFonts w:ascii="Courier New" w:hAnsi="Courier New"/>
          <w:sz w:val="18"/>
        </w:rPr>
        <w:t>TenantId</w:t>
      </w:r>
    </w:p>
    <w:p>
      <w:r>
        <w:t xml:space="preserve">   (</w:t>
      </w:r>
      <w:r>
        <w:rPr>
          <w:rFonts w:ascii="Courier New" w:hAnsi="Courier New"/>
          <w:sz w:val="18"/>
        </w:rPr>
        <w:t>tenant-{guid}</w:t>
      </w:r>
      <w:r>
        <w:t xml:space="preserve">) antes de tudo e abre </w:t>
      </w:r>
      <w:r>
        <w:rPr>
          <w:rFonts w:ascii="Courier New" w:hAnsi="Courier New"/>
          <w:sz w:val="18"/>
        </w:rPr>
        <w:t>BeginTransactionAsync</w:t>
      </w:r>
      <w:r>
        <w:t xml:space="preserve"> (</w:t>
      </w:r>
      <w:r>
        <w:rPr>
          <w:rFonts w:ascii="Courier New" w:hAnsi="Courier New"/>
          <w:sz w:val="18"/>
        </w:rPr>
        <w:t>AuthHandlers.cs:906</w:t>
      </w:r>
      <w:r>
        <w:t>) compartilhada entre</w:t>
      </w:r>
    </w:p>
    <w:p>
      <w:r>
        <w:t xml:space="preserve">   </w:t>
      </w:r>
      <w:r>
        <w:rPr>
          <w:rFonts w:ascii="Courier New" w:hAnsi="Courier New"/>
          <w:sz w:val="18"/>
        </w:rPr>
        <w:t>ContextAplicativo</w:t>
      </w:r>
      <w:r>
        <w:t xml:space="preserve"> e </w:t>
      </w:r>
      <w:r>
        <w:rPr>
          <w:rFonts w:ascii="Courier New" w:hAnsi="Courier New"/>
          <w:sz w:val="18"/>
        </w:rPr>
        <w:t>ContextGestaoClientes</w:t>
      </w:r>
      <w:r>
        <w:t>; commit único (</w:t>
      </w:r>
      <w:r>
        <w:rPr>
          <w:rFonts w:ascii="Courier New" w:hAnsi="Courier New"/>
          <w:sz w:val="18"/>
        </w:rPr>
        <w:t>:1147-1150</w:t>
      </w:r>
      <w:r>
        <w:t>) ou rollback em exceção.</w:t>
      </w:r>
    </w:p>
    <w:p>
      <w:pPr>
        <w:pStyle w:val="ListNumber"/>
      </w:pPr>
      <w:r>
        <w:rPr>
          <w:b/>
        </w:rPr>
        <w:t>Trial automático — fecha a §3.2 (tenant nascia bloqueado).</w:t>
      </w:r>
      <w:r>
        <w:t xml:space="preserve"> Dentro da transação, o handler chama o provisioner:</w:t>
      </w:r>
    </w:p>
    <w:p>
      <w:r>
        <w:t xml:space="preserve">   </w:t>
      </w:r>
      <w:r>
        <w:rPr>
          <w:rFonts w:ascii="Courier New" w:hAnsi="Courier New"/>
          <w:sz w:val="18"/>
        </w:rPr>
        <w:t>ObterOuCriarPlanoTrialAsync</w:t>
      </w:r>
      <w:r>
        <w:t xml:space="preserve"> (</w:t>
      </w:r>
      <w:r>
        <w:rPr>
          <w:rFonts w:ascii="Courier New" w:hAnsi="Courier New"/>
          <w:sz w:val="18"/>
        </w:rPr>
        <w:t>:992</w:t>
      </w:r>
      <w:r>
        <w:t xml:space="preserve">), </w:t>
      </w:r>
      <w:r>
        <w:rPr>
          <w:rFonts w:ascii="Courier New" w:hAnsi="Courier New"/>
          <w:sz w:val="18"/>
        </w:rPr>
        <w:t>ObterTrialDaysAsync</w:t>
      </w:r>
      <w:r>
        <w:t xml:space="preserve"> (</w:t>
      </w:r>
      <w:r>
        <w:rPr>
          <w:rFonts w:ascii="Courier New" w:hAnsi="Courier New"/>
          <w:sz w:val="18"/>
        </w:rPr>
        <w:t>:995</w:t>
      </w:r>
      <w:r>
        <w:t xml:space="preserve">), </w:t>
      </w:r>
      <w:r>
        <w:rPr>
          <w:rFonts w:ascii="Courier New" w:hAnsi="Courier New"/>
          <w:sz w:val="18"/>
        </w:rPr>
        <w:t>CriarCliente(... StatusSaaS.TrialGratuito)</w:t>
      </w:r>
    </w:p>
    <w:p>
      <w:r>
        <w:t xml:space="preserve">   (</w:t>
      </w:r>
      <w:r>
        <w:rPr>
          <w:rFonts w:ascii="Courier New" w:hAnsi="Courier New"/>
          <w:sz w:val="18"/>
        </w:rPr>
        <w:t>:998-1004</w:t>
      </w:r>
      <w:r>
        <w:t xml:space="preserve">) e </w:t>
      </w:r>
      <w:r>
        <w:rPr>
          <w:rFonts w:ascii="Courier New" w:hAnsi="Courier New"/>
          <w:sz w:val="18"/>
        </w:rPr>
        <w:t>CriarAssinaturaTrial</w:t>
      </w:r>
      <w:r>
        <w:t xml:space="preserve"> (</w:t>
      </w:r>
      <w:r>
        <w:rPr>
          <w:rFonts w:ascii="Courier New" w:hAnsi="Courier New"/>
          <w:sz w:val="18"/>
        </w:rPr>
        <w:t>:1019</w:t>
      </w:r>
      <w:r>
        <w:t xml:space="preserve">). Como </w:t>
      </w:r>
      <w:r>
        <w:rPr>
          <w:rFonts w:ascii="Courier New" w:hAnsi="Courier New"/>
          <w:sz w:val="18"/>
        </w:rPr>
        <w:t>ObterContextoSessaoQueryHandler</w:t>
      </w:r>
      <w:r>
        <w:t xml:space="preserve"> faz `if (cliente == null)</w:t>
      </w:r>
    </w:p>
    <w:p>
      <w:r>
        <w:t xml:space="preserve">   block = true`, criar o Cliente destrava o tenant. Esse handler passou a tratar </w:t>
      </w:r>
      <w:r>
        <w:rPr>
          <w:b/>
        </w:rPr>
        <w:t>TrialGratuito como operacional</w:t>
      </w:r>
    </w:p>
    <w:p>
      <w:r>
        <w:t xml:space="preserve">   (</w:t>
      </w:r>
      <w:r>
        <w:rPr>
          <w:rFonts w:ascii="Courier New" w:hAnsi="Courier New"/>
          <w:sz w:val="18"/>
        </w:rPr>
        <w:t>OnboardingHandlers.cs:360-367</w:t>
      </w:r>
      <w:r>
        <w:t xml:space="preserve">), alinhado ao </w:t>
      </w:r>
      <w:r>
        <w:rPr>
          <w:rFonts w:ascii="Courier New" w:hAnsi="Courier New"/>
          <w:sz w:val="18"/>
        </w:rPr>
        <w:t>InquilinoSaaSMiddleware</w:t>
      </w:r>
      <w:r>
        <w:t>.</w:t>
      </w:r>
    </w:p>
    <w:p>
      <w:pPr>
        <w:pStyle w:val="ListNumber"/>
      </w:pPr>
      <w:r>
        <w:rPr>
          <w:b/>
        </w:rPr>
        <w:t>Plano trial resolvido idempotentemente.</w:t>
      </w:r>
      <w:r>
        <w:t xml:space="preserve"> </w:t>
      </w:r>
      <w:r>
        <w:rPr>
          <w:rFonts w:ascii="Courier New" w:hAnsi="Courier New"/>
          <w:sz w:val="18"/>
        </w:rPr>
        <w:t>OnboardingSaaSProvisioner.ObterOuCriarPlanoTrialAsync</w:t>
      </w:r>
      <w:r>
        <w:t xml:space="preserve"> (</w:t>
      </w:r>
      <w:r>
        <w:rPr>
          <w:rFonts w:ascii="Courier New" w:hAnsi="Courier New"/>
          <w:sz w:val="18"/>
        </w:rPr>
        <w:t>:57-106</w:t>
      </w:r>
      <w:r>
        <w:t>):</w:t>
      </w:r>
    </w:p>
    <w:p>
      <w:r>
        <w:t xml:space="preserve">   1º tenta o plano trial </w:t>
      </w:r>
      <w:r>
        <w:rPr>
          <w:b/>
        </w:rPr>
        <w:t>global</w:t>
      </w:r>
      <w:r>
        <w:t xml:space="preserve"> (</w:t>
      </w:r>
      <w:r>
        <w:rPr>
          <w:rFonts w:ascii="Courier New" w:hAnsi="Courier New"/>
          <w:sz w:val="18"/>
        </w:rPr>
        <w:t>TenantId=="system"</w:t>
      </w:r>
      <w:r>
        <w:t>, nome "Trial Gratuito"); 2º um plano trial já existente do</w:t>
      </w:r>
    </w:p>
    <w:p>
      <w:r>
        <w:t xml:space="preserve">   próprio tenant; 3º cria um novo com </w:t>
      </w:r>
      <w:r>
        <w:rPr>
          <w:b/>
        </w:rPr>
        <w:t>todos os módulos core ligados</w:t>
      </w:r>
      <w:r>
        <w:t xml:space="preserve"> (</w:t>
      </w:r>
      <w:r>
        <w:rPr>
          <w:rFonts w:ascii="Courier New" w:hAnsi="Courier New"/>
          <w:sz w:val="18"/>
        </w:rPr>
        <w:t>moduloCrm..moduloPdv = true</w:t>
      </w:r>
      <w:r>
        <w:t xml:space="preserve">) e limites </w:t>
      </w:r>
      <w:r>
        <w:rPr>
          <w:rFonts w:ascii="Courier New" w:hAnsi="Courier New"/>
          <w:sz w:val="18"/>
        </w:rPr>
        <w:t>0</w:t>
      </w:r>
    </w:p>
    <w:p>
      <w:r>
        <w:t xml:space="preserve">   (ilimitado no trial), </w:t>
      </w:r>
      <w:r>
        <w:rPr>
          <w:rFonts w:ascii="Courier New" w:hAnsi="Courier New"/>
          <w:sz w:val="18"/>
        </w:rPr>
        <w:t>diasToleranciaInadimplencia: 15</w:t>
      </w:r>
      <w:r>
        <w:t>.</w:t>
      </w:r>
    </w:p>
    <w:p>
      <w:pPr>
        <w:pStyle w:val="ListNumber"/>
      </w:pPr>
      <w:r>
        <w:rPr>
          <w:b/>
        </w:rPr>
        <w:t>Duração do trial via ConfiguracaoGlobal.</w:t>
      </w:r>
      <w:r>
        <w:t xml:space="preserve"> </w:t>
      </w:r>
      <w:r>
        <w:rPr>
          <w:rFonts w:ascii="Courier New" w:hAnsi="Courier New"/>
          <w:sz w:val="18"/>
        </w:rPr>
        <w:t>ObterTrialDaysAsync</w:t>
      </w:r>
      <w:r>
        <w:t xml:space="preserve"> (</w:t>
      </w:r>
      <w:r>
        <w:rPr>
          <w:rFonts w:ascii="Courier New" w:hAnsi="Courier New"/>
          <w:sz w:val="18"/>
        </w:rPr>
        <w:t>:37-49</w:t>
      </w:r>
      <w:r>
        <w:t xml:space="preserve">) lê a chave </w:t>
      </w:r>
      <w:r>
        <w:rPr>
          <w:rFonts w:ascii="Courier New" w:hAnsi="Courier New"/>
          <w:sz w:val="18"/>
        </w:rPr>
        <w:t>trial_days</w:t>
      </w:r>
      <w:r>
        <w:t>; **default</w:t>
      </w:r>
    </w:p>
    <w:p>
      <w:r>
        <w:t xml:space="preserve">   30** quando ausente/não-numérica. </w:t>
      </w:r>
      <w:r>
        <w:rPr>
          <w:rFonts w:ascii="Courier New" w:hAnsi="Courier New"/>
          <w:sz w:val="18"/>
        </w:rPr>
        <w:t>DataFim</w:t>
      </w:r>
      <w:r>
        <w:t>/</w:t>
      </w:r>
      <w:r>
        <w:rPr>
          <w:rFonts w:ascii="Courier New" w:hAnsi="Courier New"/>
          <w:sz w:val="18"/>
        </w:rPr>
        <w:t>TrialAte</w:t>
      </w:r>
      <w:r>
        <w:t xml:space="preserve"> da assinatura = </w:t>
      </w:r>
      <w:r>
        <w:rPr>
          <w:rFonts w:ascii="Courier New" w:hAnsi="Courier New"/>
          <w:sz w:val="18"/>
        </w:rPr>
        <w:t>UtcNow + trialDays</w:t>
      </w:r>
      <w:r>
        <w:t xml:space="preserve"> (</w:t>
      </w:r>
      <w:r>
        <w:rPr>
          <w:rFonts w:ascii="Courier New" w:hAnsi="Courier New"/>
          <w:sz w:val="18"/>
        </w:rPr>
        <w:t>:145-158</w:t>
      </w:r>
      <w:r>
        <w:t>).</w:t>
      </w:r>
    </w:p>
    <w:p>
      <w:pPr>
        <w:pStyle w:val="ListNumber"/>
      </w:pPr>
      <w:r>
        <w:rPr>
          <w:b/>
        </w:rPr>
        <w:t>Cadastro PF e PJ (REG-004).</w:t>
      </w:r>
      <w:r>
        <w:t xml:space="preserve"> O handler exige ao menos um documento: rejeita se não houver CNPJ </w:t>
      </w:r>
      <w:r>
        <w:rPr>
          <w:b/>
        </w:rPr>
        <w:t>nem</w:t>
      </w:r>
      <w:r>
        <w:t xml:space="preserve"> CPF</w:t>
      </w:r>
    </w:p>
    <w:p>
      <w:r>
        <w:t xml:space="preserve">   (</w:t>
      </w:r>
      <w:r>
        <w:rPr>
          <w:rFonts w:ascii="Courier New" w:hAnsi="Courier New"/>
          <w:sz w:val="18"/>
        </w:rPr>
        <w:t>:800-807</w:t>
      </w:r>
      <w:r>
        <w:t>); valida o dígito do CPF (</w:t>
      </w:r>
      <w:r>
        <w:rPr>
          <w:rFonts w:ascii="Courier New" w:hAnsi="Courier New"/>
          <w:sz w:val="18"/>
        </w:rPr>
        <w:t>ValidarCpf</w:t>
      </w:r>
      <w:r>
        <w:t xml:space="preserve">, </w:t>
      </w:r>
      <w:r>
        <w:rPr>
          <w:rFonts w:ascii="Courier New" w:hAnsi="Courier New"/>
          <w:sz w:val="18"/>
        </w:rPr>
        <w:t>:807-810</w:t>
      </w:r>
      <w:r>
        <w:t>); dedupe cross-tenant de CNPJ (</w:t>
      </w:r>
      <w:r>
        <w:rPr>
          <w:rFonts w:ascii="Courier New" w:hAnsi="Courier New"/>
          <w:sz w:val="18"/>
        </w:rPr>
        <w:t>:855</w:t>
      </w:r>
      <w:r>
        <w:t xml:space="preserve">) </w:t>
      </w:r>
      <w:r>
        <w:rPr>
          <w:b/>
        </w:rPr>
        <w:t>e de CPF</w:t>
      </w:r>
    </w:p>
    <w:p>
      <w:r>
        <w:t xml:space="preserve">   (</w:t>
      </w:r>
      <w:r>
        <w:rPr>
          <w:rFonts w:ascii="Courier New" w:hAnsi="Courier New"/>
          <w:sz w:val="18"/>
        </w:rPr>
        <w:t>:859</w:t>
      </w:r>
      <w:r>
        <w:t xml:space="preserve">, </w:t>
      </w:r>
      <w:r>
        <w:rPr>
          <w:rFonts w:ascii="Courier New" w:hAnsi="Courier New"/>
          <w:sz w:val="18"/>
        </w:rPr>
        <w:t>AnyAsync(e.Cpf == cpfLimpo)</w:t>
      </w:r>
      <w:r>
        <w:t xml:space="preserve">). A entidade </w:t>
      </w:r>
      <w:r>
        <w:rPr>
          <w:rFonts w:ascii="Courier New" w:hAnsi="Courier New"/>
          <w:sz w:val="18"/>
        </w:rPr>
        <w:t>Empresa</w:t>
      </w:r>
      <w:r>
        <w:t xml:space="preserve"> exige um documento fiscal íntegro — CNPJ </w:t>
      </w:r>
      <w:r>
        <w:rPr>
          <w:b/>
        </w:rPr>
        <w:t>ou</w:t>
      </w:r>
      <w:r>
        <w:t xml:space="preserve"> CPF</w:t>
      </w:r>
    </w:p>
    <w:p>
      <w:r>
        <w:t xml:space="preserve">   (</w:t>
      </w:r>
      <w:r>
        <w:rPr>
          <w:rFonts w:ascii="Courier New" w:hAnsi="Courier New"/>
          <w:sz w:val="18"/>
        </w:rPr>
        <w:t>Empresa.cs:108-118</w:t>
      </w:r>
      <w:r>
        <w:t>).</w:t>
      </w:r>
    </w:p>
    <w:p>
      <w:pPr>
        <w:pStyle w:val="ListNumber"/>
      </w:pPr>
      <w:r>
        <w:rPr>
          <w:b/>
        </w:rPr>
        <w:t>Identidade global por e-mail (1.04).</w:t>
      </w:r>
      <w:r>
        <w:t xml:space="preserve"> E-mail é o login e é </w:t>
      </w:r>
      <w:r>
        <w:rPr>
          <w:b/>
        </w:rPr>
        <w:t>único global</w:t>
      </w:r>
      <w:r>
        <w:t xml:space="preserve"> (índice </w:t>
      </w:r>
      <w:r>
        <w:rPr>
          <w:rFonts w:ascii="Courier New" w:hAnsi="Courier New"/>
          <w:sz w:val="18"/>
        </w:rPr>
        <w:t>ix_usuarios_email</w:t>
      </w:r>
      <w:r>
        <w:t xml:space="preserve"> sem</w:t>
      </w:r>
    </w:p>
    <w:p>
      <w:r>
        <w:t xml:space="preserve">   escopo de tenant); a checagem no registro usa </w:t>
      </w:r>
      <w:r>
        <w:rPr>
          <w:rFonts w:ascii="Courier New" w:hAnsi="Courier New"/>
          <w:sz w:val="18"/>
        </w:rPr>
        <w:t>IgnoreQueryFilters</w:t>
      </w:r>
      <w:r>
        <w:t>. Senha: mín. 8 + letra + número (validador de</w:t>
      </w:r>
    </w:p>
    <w:p>
      <w:r>
        <w:t xml:space="preserve">   </w:t>
      </w:r>
      <w:r>
        <w:rPr>
          <w:rFonts w:ascii="Courier New" w:hAnsi="Courier New"/>
          <w:sz w:val="18"/>
        </w:rPr>
        <w:t>AuthCommands.cs</w:t>
      </w:r>
      <w:r>
        <w:t>).</w:t>
      </w:r>
    </w:p>
    <w:p>
      <w:pPr>
        <w:pStyle w:val="ListNumber"/>
      </w:pPr>
      <w:r>
        <w:rPr>
          <w:b/>
        </w:rPr>
        <w:t>ConfiguracaoEmpresa + TipoTelefone persistidos.</w:t>
      </w:r>
      <w:r>
        <w:t xml:space="preserve"> A config default é criada (</w:t>
      </w:r>
      <w:r>
        <w:rPr>
          <w:rFonts w:ascii="Courier New" w:hAnsi="Courier New"/>
          <w:sz w:val="18"/>
        </w:rPr>
        <w:t>:1106-1129</w:t>
      </w:r>
      <w:r>
        <w:t>) com tz/dateformat/</w:t>
      </w:r>
    </w:p>
    <w:p>
      <w:r>
        <w:t xml:space="preserve">   currency/vat defaults; </w:t>
      </w:r>
      <w:r>
        <w:rPr>
          <w:rFonts w:ascii="Courier New" w:hAnsi="Courier New"/>
          <w:sz w:val="18"/>
        </w:rPr>
        <w:t>TipoTelefone</w:t>
      </w:r>
      <w:r>
        <w:t xml:space="preserve"> — antes descartado — agora persiste em </w:t>
      </w:r>
      <w:r>
        <w:rPr>
          <w:rFonts w:ascii="Courier New" w:hAnsi="Courier New"/>
          <w:sz w:val="18"/>
        </w:rPr>
        <w:t>ConfiguracaoEmpresa.TelefoneTipo</w:t>
      </w:r>
    </w:p>
    <w:p>
      <w:r>
        <w:t xml:space="preserve">   (coluna nova). AnoFinanceiro (</w:t>
      </w:r>
      <w:r>
        <w:rPr>
          <w:rFonts w:ascii="Courier New" w:hAnsi="Courier New"/>
          <w:sz w:val="18"/>
        </w:rPr>
        <w:t>:1129-1147</w:t>
      </w:r>
      <w:r>
        <w:t>) e Idioma default também são criados.</w:t>
      </w:r>
    </w:p>
    <w:p>
      <w:pPr>
        <w:pStyle w:val="ListNumber"/>
      </w:pPr>
      <w:r>
        <w:rPr>
          <w:b/>
        </w:rPr>
        <w:t>Integridade fiscal — nulos honestos.</w:t>
      </w:r>
      <w:r>
        <w:t xml:space="preserve"> ProdutoGrupo, TributarioGrupo, PlanoDeContas, NaturezaFinanceira, CFOPs e</w:t>
      </w:r>
    </w:p>
    <w:p>
      <w:r>
        <w:t xml:space="preserve">   EmpresaParametrosDfe </w:t>
      </w:r>
      <w:r>
        <w:rPr>
          <w:b/>
        </w:rPr>
        <w:t>não são semeados</w:t>
      </w:r>
      <w:r>
        <w:t xml:space="preserve"> (decisão do Especialista de Negócio: validar-antes-de-usar). Os FKs</w:t>
      </w:r>
    </w:p>
    <w:p>
      <w:r>
        <w:t xml:space="preserve">   correspondentes ficam </w:t>
      </w:r>
      <w:r>
        <w:rPr>
          <w:b/>
        </w:rPr>
        <w:t>nulos</w:t>
      </w:r>
      <w:r>
        <w:t xml:space="preserve"> de propósito. </w:t>
      </w:r>
      <w:r>
        <w:rPr>
          <w:rFonts w:ascii="Courier New" w:hAnsi="Courier New"/>
          <w:sz w:val="18"/>
        </w:rPr>
        <w:t>EmpresaParametrosDfe.CriarPadraoHomologacao(...)</w:t>
      </w:r>
      <w:r>
        <w:t xml:space="preserve"> garante que, se</w:t>
      </w:r>
    </w:p>
    <w:p>
      <w:r>
        <w:t xml:space="preserve">   um dia forem semeados, o ambiente DF-e nasce em </w:t>
      </w:r>
      <w:r>
        <w:rPr>
          <w:b/>
        </w:rPr>
        <w:t>Homologação (2)</w:t>
      </w:r>
      <w:r>
        <w:t>, nunca produção.</w:t>
      </w:r>
    </w:p>
    <w:p>
      <w:pPr>
        <w:pStyle w:val="ListNumber"/>
      </w:pPr>
      <w:r>
        <w:rPr>
          <w:b/>
        </w:rPr>
        <w:t>E-mail de boas-vindas (REG-045) — hook resiliente.</w:t>
      </w:r>
      <w:r>
        <w:t xml:space="preserve"> Após o commit, </w:t>
      </w:r>
      <w:r>
        <w:rPr>
          <w:rFonts w:ascii="Courier New" w:hAnsi="Courier New"/>
          <w:sz w:val="18"/>
        </w:rPr>
        <w:t>EnviarEmailBoasVindasAsync</w:t>
      </w:r>
    </w:p>
    <w:p>
      <w:r>
        <w:t xml:space="preserve">   (</w:t>
      </w:r>
      <w:r>
        <w:rPr>
          <w:rFonts w:ascii="Courier New" w:hAnsi="Courier New"/>
          <w:sz w:val="18"/>
        </w:rPr>
        <w:t>:1156</w:t>
      </w:r>
      <w:r>
        <w:t xml:space="preserve">, </w:t>
      </w:r>
      <w:r>
        <w:rPr>
          <w:rFonts w:ascii="Courier New" w:hAnsi="Courier New"/>
          <w:sz w:val="18"/>
        </w:rPr>
        <w:t>:1191-1216</w:t>
      </w:r>
      <w:r>
        <w:t xml:space="preserve">) dispara via </w:t>
      </w:r>
      <w:r>
        <w:rPr>
          <w:rFonts w:ascii="Courier New" w:hAnsi="Courier New"/>
          <w:sz w:val="18"/>
        </w:rPr>
        <w:t>INotificacaoService</w:t>
      </w:r>
      <w:r>
        <w:t xml:space="preserve"> num </w:t>
      </w:r>
      <w:r>
        <w:rPr>
          <w:rFonts w:ascii="Courier New" w:hAnsi="Courier New"/>
          <w:sz w:val="18"/>
        </w:rPr>
        <w:t>try/catch</w:t>
      </w:r>
      <w:r>
        <w:t xml:space="preserve"> no-op — </w:t>
      </w:r>
      <w:r>
        <w:rPr>
          <w:b/>
        </w:rPr>
        <w:t>não bloqueia o cadastro</w:t>
      </w:r>
      <w:r>
        <w:t xml:space="preserve"> se</w:t>
      </w:r>
    </w:p>
    <w:p>
      <w:r>
        <w:t xml:space="preserve">   não houver provedor (hoje </w:t>
      </w:r>
      <w:r>
        <w:rPr>
          <w:rFonts w:ascii="Courier New" w:hAnsi="Courier New"/>
          <w:sz w:val="18"/>
        </w:rPr>
        <w:t>MockNotificacaoService</w:t>
      </w:r>
      <w:r>
        <w:t>).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</w:t>
            </w:r>
          </w:p>
        </w:tc>
        <w:tc>
          <w:tcPr>
            <w:tcW w:type="dxa" w:w="4320"/>
          </w:tcPr>
          <w:p>
            <w:r>
              <w:t xml:space="preserve">Provisiona </w:t>
            </w:r>
            <w:r>
              <w:rPr>
                <w:rFonts w:ascii="Courier New" w:hAnsi="Courier New"/>
                <w:sz w:val="18"/>
              </w:rPr>
              <w:t>Cliente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AssinaturaCliente</w:t>
            </w:r>
            <w:r>
              <w:t xml:space="preserve"> no plano trial; </w:t>
            </w:r>
            <w:r>
              <w:rPr>
                <w:rFonts w:ascii="Courier New" w:hAnsi="Courier New"/>
                <w:sz w:val="18"/>
              </w:rPr>
              <w:t>trial_days</w:t>
            </w:r>
            <w:r>
              <w:t xml:space="preserve"> vem da </w:t>
            </w:r>
            <w:r>
              <w:rPr>
                <w:rFonts w:ascii="Courier New" w:hAnsi="Courier New"/>
                <w:sz w:val="18"/>
              </w:rPr>
              <w:t>ConfiguracaoGlobal</w:t>
            </w:r>
            <w:r>
              <w:t xml:space="preserve"> da 1.01. FK </w:t>
            </w:r>
            <w:r>
              <w:rPr>
                <w:rFonts w:ascii="Courier New" w:hAnsi="Courier New"/>
                <w:sz w:val="18"/>
              </w:rPr>
              <w:t>Cliente.PlanoId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LIMITES_DE_PLANO (1.06)</w:t>
            </w:r>
          </w:p>
        </w:tc>
        <w:tc>
          <w:tcPr>
            <w:tcW w:type="dxa" w:w="4320"/>
          </w:tcPr>
          <w:p>
            <w:r>
              <w:t xml:space="preserve">O plano trial nasce com flags de módulo ligadas e limites </w:t>
            </w:r>
            <w:r>
              <w:rPr>
                <w:rFonts w:ascii="Courier New" w:hAnsi="Courier New"/>
                <w:sz w:val="18"/>
              </w:rPr>
              <w:t>0</w:t>
            </w:r>
            <w:r>
              <w:t xml:space="preserve">; a criação de empresa aplica cota via </w:t>
            </w:r>
            <w:r>
              <w:rPr>
                <w:rFonts w:ascii="Courier New" w:hAnsi="Courier New"/>
                <w:sz w:val="18"/>
              </w:rPr>
              <w:t>IValidadorLimitesSaaS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 xml:space="preserve">Cria </w:t>
            </w:r>
            <w:r>
              <w:rPr>
                <w:rFonts w:ascii="Courier New" w:hAnsi="Courier New"/>
                <w:sz w:val="18"/>
              </w:rPr>
              <w:t>Usuario</w:t>
            </w:r>
            <w:r>
              <w:t xml:space="preserve"> global + </w:t>
            </w:r>
            <w:r>
              <w:rPr>
                <w:rFonts w:ascii="Courier New" w:hAnsi="Courier New"/>
                <w:sz w:val="18"/>
              </w:rPr>
              <w:t>UsuarioEmpresa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AcessoUsuarioTenant</w:t>
            </w:r>
            <w:r>
              <w:t xml:space="preserve"> (membership N:N); login/seleção de tenant e empresa vivem no mesmo </w:t>
            </w:r>
            <w:r>
              <w:rPr>
                <w:rFonts w:ascii="Courier New" w:hAnsi="Courier New"/>
                <w:sz w:val="18"/>
              </w:rPr>
              <w:t>AuthHandlers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STATUS_SAAS / gating (1.05)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StatusSaaS.TrialGratuito</w:t>
            </w:r>
            <w:r>
              <w:t xml:space="preserve"> é tratado como operacional; ao fim do trial o gating de status assume o bloqueio.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FISCAL</w:t>
            </w:r>
          </w:p>
        </w:tc>
        <w:tc>
          <w:tcPr>
            <w:tcW w:type="dxa" w:w="4320"/>
          </w:tcPr>
          <w:p>
            <w:r>
              <w:t xml:space="preserve">FKs fiscais nulos deliberados; </w:t>
            </w:r>
            <w:r>
              <w:rPr>
                <w:rFonts w:ascii="Courier New" w:hAnsi="Courier New"/>
                <w:sz w:val="18"/>
              </w:rPr>
              <w:t>EmpresaParametrosDfe.CriarPadraoHomologacao</w:t>
            </w:r>
            <w:r>
              <w:t xml:space="preserve"> fixa Homologação. Pendências de seed roteadas ao Especialista de Negócio.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 `Epros.App/pages/cadastro.vue`</w:t>
            </w:r>
          </w:p>
        </w:tc>
        <w:tc>
          <w:tcPr>
            <w:tcW w:type="dxa" w:w="4320"/>
          </w:tcPr>
          <w:p>
            <w:r>
              <w:t xml:space="preserve">Reescrito para chamar </w:t>
            </w:r>
            <w:r>
              <w:rPr>
                <w:rFonts w:ascii="Courier New" w:hAnsi="Courier New"/>
                <w:sz w:val="18"/>
              </w:rPr>
              <w:t>POST /public/auth/registrar-tenant</w:t>
            </w:r>
            <w:r>
              <w:t xml:space="preserve"> (toggle PF/PJ, UF+município IBGE, tipo de telefone, senha mín. 8); build Nuxt pendente de ambiente.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Seeds fiscais operacionais (REG-006/007/008/009/010)</w:t>
      </w:r>
      <w:r>
        <w:t xml:space="preserve"> — ProdutoGrupo, TributarioGrupo, PlanoDeContas,</w:t>
      </w:r>
    </w:p>
    <w:p>
      <w:r>
        <w:t xml:space="preserve">  NaturezaFinanceira, CFOPs padrão e EmpresaParametrosDfe </w:t>
      </w:r>
      <w:r>
        <w:rPr>
          <w:b/>
        </w:rPr>
        <w:t>não são semeados no ato</w:t>
      </w:r>
      <w:r>
        <w:t xml:space="preserve">. </w:t>
      </w:r>
      <w:r>
        <w:rPr>
          <w:b/>
        </w:rPr>
        <w:t>ADIADO-COM-MOTIVO</w:t>
      </w:r>
      <w:r>
        <w:t xml:space="preserve"> (skill</w:t>
      </w:r>
    </w:p>
    <w:p>
      <w:r>
        <w:t xml:space="preserve">  fiscal: nunca inventar; 2 pedidos de ingestão — CFOPs e plano de contas — já registrados). </w:t>
      </w:r>
      <w:r>
        <w:rPr>
          <w:b/>
        </w:rPr>
        <w:t>Requer contador/negócio</w:t>
      </w:r>
    </w:p>
    <w:p>
      <w:r>
        <w:t xml:space="preserve">  para definir os modelos governados (MC §8).</w:t>
      </w:r>
    </w:p>
    <w:p>
      <w:pPr>
        <w:pStyle w:val="ListBullet"/>
      </w:pPr>
      <w:r>
        <w:rPr>
          <w:b/>
        </w:rPr>
        <w:t>Provedor SMTP de produção</w:t>
      </w:r>
      <w:r>
        <w:t xml:space="preserve"> — o hook de e-mail está pronto, mas hoje roda </w:t>
      </w:r>
      <w:r>
        <w:rPr>
          <w:rFonts w:ascii="Courier New" w:hAnsi="Courier New"/>
          <w:sz w:val="18"/>
        </w:rPr>
        <w:t>MockNotificacaoService</w:t>
      </w:r>
      <w:r>
        <w:t>. **Requer</w:t>
      </w:r>
    </w:p>
    <w:p>
      <w:r>
        <w:t xml:space="preserve">  ambiente</w:t>
      </w:r>
      <w:r>
        <w:rPr>
          <w:b/>
        </w:rPr>
        <w:t xml:space="preserve"> (configurar provedor). </w:t>
      </w:r>
      <w:r>
        <w:t>ADIADO-COM-MOTIVO** (MC "Notificacao de boas-vindas").</w:t>
      </w:r>
    </w:p>
    <w:p>
      <w:pPr>
        <w:pStyle w:val="ListBullet"/>
      </w:pPr>
      <w:r>
        <w:rPr>
          <w:b/>
        </w:rPr>
        <w:t>Endereço detalhado "nulo honesto"</w:t>
      </w:r>
      <w:r>
        <w:t xml:space="preserve"> — logradouro/CEP/número não são persistidos como nulos porque o VO </w:t>
      </w:r>
      <w:r>
        <w:rPr>
          <w:rFonts w:ascii="Courier New" w:hAnsi="Courier New"/>
          <w:sz w:val="18"/>
        </w:rPr>
        <w:t>Endereco</w:t>
      </w:r>
    </w:p>
    <w:p>
      <w:r>
        <w:t xml:space="preserve">  compartilhado exige campos não-vazios; quando ausente usa mínimo válido com cidade/UF reais do IBGE (ponto adiado,</w:t>
      </w:r>
    </w:p>
    <w:p>
      <w:r>
        <w:t xml:space="preserve">  MC §8 / DECISÕES).</w:t>
      </w:r>
    </w:p>
    <w:p>
      <w:pPr>
        <w:pStyle w:val="ListBullet"/>
      </w:pPr>
      <w:r>
        <w:rPr>
          <w:b/>
        </w:rPr>
        <w:t>Build Nuxt do `cadastro.vue`</w:t>
      </w:r>
      <w:r>
        <w:t xml:space="preserve"> — .vue estruturalmente correto e apontando ao endpoint real, mas Node ausente no</w:t>
      </w:r>
    </w:p>
    <w:p>
      <w:r>
        <w:t xml:space="preserve">  ambiente impediu o build. </w:t>
      </w:r>
      <w:r>
        <w:rPr>
          <w:b/>
        </w:rPr>
        <w:t>Requer ambiente.</w:t>
      </w:r>
    </w:p>
    <w:p>
      <w:pPr>
        <w:pStyle w:val="ListBullet"/>
      </w:pPr>
      <w:r>
        <w:rPr>
          <w:b/>
        </w:rPr>
        <w:t>Entidade de "status de onboarding" / auditoria de tentativa</w:t>
      </w:r>
      <w:r>
        <w:t xml:space="preserve"> — estado é implícito na transação; sem tabela de</w:t>
      </w:r>
    </w:p>
    <w:p>
      <w:r>
        <w:t xml:space="preserve">  auditoria (MC/EF §18, decisão pendente).</w:t>
      </w:r>
    </w:p>
    <w:p>
      <w:pPr>
        <w:pStyle w:val="ListBullet"/>
      </w:pPr>
      <w:r>
        <w:rPr>
          <w:b/>
        </w:rPr>
        <w:t>Registro comercial Siser (REG-022)</w:t>
      </w:r>
      <w:r>
        <w:t xml:space="preserve"> — não acionado no self-register público (MC "Registro comercial Siser",</w:t>
      </w:r>
    </w:p>
    <w:p>
      <w:r>
        <w:t xml:space="preserve">  decisão pendente).</w:t>
      </w:r>
    </w:p>
    <w:p>
      <w:pPr>
        <w:pStyle w:val="Heading2"/>
      </w:pPr>
      <w:r>
        <w:t>7. Rastreabilidade</w:t>
      </w:r>
    </w:p>
    <w:p>
      <w:r>
        <w:t>EF (</w:t>
      </w:r>
      <w:r>
        <w:rPr>
          <w:rFonts w:ascii="Courier New" w:hAnsi="Courier New"/>
          <w:sz w:val="18"/>
        </w:rPr>
        <w:t>EF_0_APLICATIVO_ONBOARDING_E_EMPRESA_V1.md</w:t>
      </w:r>
      <w:r>
        <w:t>, REG-001..045) · MC (</w:t>
      </w:r>
      <w:r>
        <w:rPr>
          <w:rFonts w:ascii="Courier New" w:hAnsi="Courier New"/>
          <w:sz w:val="18"/>
        </w:rPr>
        <w:t>MC_..._V1.md</w:t>
      </w:r>
      <w:r>
        <w:t xml:space="preserve"> §8 Estado de implantação 1.07) ·</w:t>
      </w:r>
    </w:p>
    <w:p>
      <w:r>
        <w:t>VERIFICACAO_IMPLEMENTACAO_V1 (matriz EF×código, cobertura ~60% base + fixes) · DECISOES_IMPLANTACAO_V1 (trial</w:t>
      </w:r>
    </w:p>
    <w:p>
      <w:r>
        <w:t>automático, PF+PJ, hook de e-mail, senha única, persistir TipoTelefone/endereço) · migration</w:t>
      </w:r>
    </w:p>
    <w:p>
      <w:r>
        <w:rPr>
          <w:rFonts w:ascii="Courier New" w:hAnsi="Courier New"/>
          <w:sz w:val="18"/>
        </w:rPr>
        <w:t>20260731210308_Implanta_1_07_OnboardingEmpresa</w:t>
      </w:r>
      <w:r>
        <w:t xml:space="preserve"> (</w:t>
      </w:r>
      <w:r>
        <w:rPr>
          <w:rFonts w:ascii="Courier New" w:hAnsi="Courier New"/>
          <w:sz w:val="18"/>
        </w:rPr>
        <w:t>aplicativo.configuracoes_empresas.telefone_tipo</w:t>
      </w:r>
      <w:r>
        <w:t>, aditiva) · gate</w:t>
      </w:r>
    </w:p>
    <w:p>
      <w:r>
        <w:rPr>
          <w:rFonts w:ascii="Courier New" w:hAnsi="Courier New"/>
          <w:sz w:val="18"/>
        </w:rPr>
        <w:t>dotnet build</w:t>
      </w:r>
      <w:r>
        <w:t xml:space="preserve"> verde + suíte </w:t>
      </w:r>
      <w:r>
        <w:rPr>
          <w:b/>
        </w:rPr>
        <w:t>928/0</w:t>
      </w:r>
      <w:r>
        <w:t xml:space="preserve"> (baseline 921).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